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84" w:lineRule="exact"/>
        <w:ind w:left="0" w:firstLine="562" w:firstLineChars="200"/>
        <w:jc w:val="both"/>
      </w:pPr>
      <w:r>
        <w:rPr>
          <w:rFonts w:hint="eastAsia" w:eastAsia="宋体"/>
          <w:lang w:eastAsia="zh-CN"/>
        </w:rPr>
        <w:t>东海证券股份</w:t>
      </w:r>
      <w:r>
        <w:t>有限公司</w:t>
      </w:r>
      <w:r>
        <w:rPr>
          <w:rFonts w:hint="eastAsia" w:eastAsia="宋体"/>
          <w:lang w:eastAsia="zh-CN"/>
        </w:rPr>
        <w:t>关于</w:t>
      </w:r>
      <w:r>
        <w:t>旗下部分</w:t>
      </w:r>
      <w:r>
        <w:rPr>
          <w:rFonts w:hint="eastAsia" w:eastAsia="宋体"/>
          <w:lang w:eastAsia="zh-CN"/>
        </w:rPr>
        <w:t>集合资产管理计划</w:t>
      </w:r>
      <w:r>
        <w:t>增加</w:t>
      </w:r>
    </w:p>
    <w:p>
      <w:pPr>
        <w:pStyle w:val="2"/>
        <w:spacing w:line="484" w:lineRule="exact"/>
        <w:ind w:left="0" w:firstLine="1401" w:firstLineChars="500"/>
        <w:jc w:val="both"/>
        <w:rPr>
          <w:rFonts w:hint="eastAsia" w:ascii="Microsoft JhengHei" w:eastAsia="Microsoft JhengHei"/>
          <w:b/>
          <w:sz w:val="28"/>
        </w:rPr>
      </w:pPr>
      <w:r>
        <w:rPr>
          <w:rFonts w:hint="eastAsia"/>
        </w:rPr>
        <w:t>南京苏宁基金销售有限公司</w:t>
      </w:r>
      <w:r>
        <w:rPr>
          <w:rFonts w:hint="eastAsia" w:ascii="Microsoft JhengHei" w:eastAsia="Microsoft JhengHei"/>
          <w:b/>
          <w:sz w:val="28"/>
        </w:rPr>
        <w:t>为</w:t>
      </w:r>
      <w:r>
        <w:rPr>
          <w:rFonts w:hint="eastAsia"/>
          <w:b/>
          <w:sz w:val="28"/>
          <w:szCs w:val="28"/>
        </w:rPr>
        <w:t>代销机构</w:t>
      </w:r>
      <w:r>
        <w:rPr>
          <w:rFonts w:hint="eastAsia" w:ascii="Microsoft JhengHei" w:eastAsia="Microsoft JhengHei"/>
          <w:b/>
          <w:sz w:val="28"/>
        </w:rPr>
        <w:t>的公告</w:t>
      </w:r>
    </w:p>
    <w:p>
      <w:pPr>
        <w:rPr>
          <w:rFonts w:hint="eastAsia"/>
        </w:rPr>
      </w:pPr>
    </w:p>
    <w:p>
      <w:pPr>
        <w:autoSpaceDE/>
        <w:autoSpaceDN/>
        <w:spacing w:line="360" w:lineRule="auto"/>
        <w:ind w:left="0" w:right="0" w:firstLine="2160" w:firstLineChars="900"/>
        <w:rPr>
          <w:rFonts w:hint="eastAsia" w:cstheme="minorBidi"/>
          <w:spacing w:val="0"/>
          <w:kern w:val="2"/>
          <w:sz w:val="24"/>
          <w:szCs w:val="24"/>
          <w:lang w:val="en-US" w:eastAsia="zh-CN" w:bidi="ar-SA"/>
        </w:rPr>
      </w:pPr>
      <w:r>
        <w:rPr>
          <w:rFonts w:hint="eastAsia" w:cstheme="minorBidi"/>
          <w:spacing w:val="0"/>
          <w:kern w:val="2"/>
          <w:sz w:val="24"/>
          <w:szCs w:val="24"/>
          <w:lang w:val="en-US" w:eastAsia="zh-CN" w:bidi="ar-SA"/>
        </w:rPr>
        <w:t>公告送出日期：2022年9月10日</w:t>
      </w:r>
    </w:p>
    <w:p>
      <w:pPr>
        <w:autoSpaceDE/>
        <w:autoSpaceDN/>
        <w:spacing w:line="360" w:lineRule="auto"/>
        <w:ind w:left="0" w:right="0" w:firstLine="2160" w:firstLineChars="900"/>
        <w:rPr>
          <w:rFonts w:hint="eastAsia" w:cstheme="minorBidi"/>
          <w:spacing w:val="0"/>
          <w:kern w:val="2"/>
          <w:sz w:val="24"/>
          <w:szCs w:val="24"/>
          <w:lang w:val="en-US" w:eastAsia="zh-CN" w:bidi="ar-SA"/>
        </w:rPr>
      </w:pPr>
    </w:p>
    <w:p>
      <w:pPr>
        <w:autoSpaceDE/>
        <w:autoSpaceDN/>
        <w:spacing w:line="360" w:lineRule="auto"/>
        <w:ind w:left="0" w:right="0" w:firstLine="480" w:firstLineChars="200"/>
        <w:rPr>
          <w:rFonts w:hint="eastAsia" w:eastAsia="宋体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cstheme="minorBidi"/>
          <w:spacing w:val="0"/>
          <w:kern w:val="2"/>
          <w:sz w:val="24"/>
          <w:szCs w:val="24"/>
          <w:lang w:val="en-US" w:bidi="ar-SA"/>
        </w:rPr>
        <w:t>根据</w:t>
      </w:r>
      <w:r>
        <w:rPr>
          <w:rFonts w:hint="eastAsia" w:cstheme="minorBidi"/>
          <w:spacing w:val="0"/>
          <w:kern w:val="2"/>
          <w:sz w:val="24"/>
          <w:szCs w:val="24"/>
          <w:lang w:val="en-US" w:eastAsia="zh-CN" w:bidi="ar-SA"/>
        </w:rPr>
        <w:t>东海证券股份</w:t>
      </w:r>
      <w:r>
        <w:rPr>
          <w:rFonts w:hint="eastAsia" w:cstheme="minorBidi"/>
          <w:spacing w:val="0"/>
          <w:kern w:val="2"/>
          <w:sz w:val="24"/>
          <w:szCs w:val="24"/>
          <w:lang w:val="en-US" w:bidi="ar-SA"/>
        </w:rPr>
        <w:t>有限公司</w:t>
      </w:r>
      <w:r>
        <w:rPr>
          <w:rFonts w:hint="eastAsia" w:cstheme="minorBidi"/>
          <w:kern w:val="2"/>
          <w:sz w:val="24"/>
          <w:szCs w:val="24"/>
          <w:lang w:val="en-US" w:bidi="ar-SA"/>
        </w:rPr>
        <w:t>（</w:t>
      </w:r>
      <w:r>
        <w:rPr>
          <w:rFonts w:hint="eastAsia" w:cstheme="minorBidi"/>
          <w:spacing w:val="0"/>
          <w:kern w:val="2"/>
          <w:sz w:val="24"/>
          <w:szCs w:val="24"/>
          <w:lang w:val="en-US" w:bidi="ar-SA"/>
        </w:rPr>
        <w:t>简称“</w:t>
      </w:r>
      <w:r>
        <w:rPr>
          <w:rFonts w:hint="eastAsia" w:cstheme="minorBidi"/>
          <w:spacing w:val="0"/>
          <w:kern w:val="2"/>
          <w:sz w:val="24"/>
          <w:szCs w:val="24"/>
          <w:lang w:val="en-US" w:eastAsia="zh-CN" w:bidi="ar-SA"/>
        </w:rPr>
        <w:t>本公司</w:t>
      </w:r>
      <w:r>
        <w:rPr>
          <w:rFonts w:hint="eastAsia" w:cstheme="minorBidi"/>
          <w:spacing w:val="0"/>
          <w:kern w:val="2"/>
          <w:sz w:val="24"/>
          <w:szCs w:val="24"/>
          <w:lang w:val="en-US" w:bidi="ar-SA"/>
        </w:rPr>
        <w:t>”）与</w:t>
      </w:r>
      <w:r>
        <w:rPr>
          <w:rFonts w:hint="eastAsia" w:cstheme="minorBidi"/>
          <w:kern w:val="2"/>
          <w:sz w:val="24"/>
          <w:szCs w:val="24"/>
          <w:lang w:val="en-US" w:bidi="ar-SA"/>
        </w:rPr>
        <w:t>南京苏宁基金销售有限公司</w:t>
      </w:r>
      <w:r>
        <w:rPr>
          <w:rFonts w:hint="eastAsia" w:ascii="宋体" w:hAnsi="宋体" w:cstheme="minorBidi"/>
          <w:sz w:val="24"/>
        </w:rPr>
        <w:t>（以下简称“</w:t>
      </w:r>
      <w:r>
        <w:rPr>
          <w:rFonts w:hint="eastAsia" w:ascii="宋体" w:hAnsi="宋体" w:cstheme="minorBidi"/>
          <w:sz w:val="24"/>
          <w:lang w:eastAsia="zh-CN"/>
        </w:rPr>
        <w:t>苏宁基金</w:t>
      </w:r>
      <w:r>
        <w:rPr>
          <w:rFonts w:hint="eastAsia" w:ascii="宋体" w:hAnsi="宋体" w:cstheme="minorBidi"/>
          <w:sz w:val="24"/>
        </w:rPr>
        <w:t>”）</w:t>
      </w:r>
      <w:r>
        <w:rPr>
          <w:rFonts w:hint="eastAsia" w:cstheme="minorBidi"/>
          <w:spacing w:val="0"/>
          <w:kern w:val="2"/>
          <w:sz w:val="24"/>
          <w:szCs w:val="24"/>
          <w:lang w:val="en-US" w:bidi="ar-SA"/>
        </w:rPr>
        <w:t>签署的</w:t>
      </w:r>
      <w:r>
        <w:rPr>
          <w:rFonts w:hint="eastAsia" w:cstheme="minorBidi"/>
          <w:kern w:val="2"/>
          <w:sz w:val="24"/>
          <w:szCs w:val="24"/>
          <w:lang w:val="en-US" w:bidi="ar-SA"/>
        </w:rPr>
        <w:t>代理推广协议及补充协议</w:t>
      </w:r>
      <w:r>
        <w:rPr>
          <w:rFonts w:hint="eastAsia" w:cstheme="minorBidi"/>
          <w:spacing w:val="0"/>
          <w:kern w:val="2"/>
          <w:sz w:val="24"/>
          <w:szCs w:val="24"/>
          <w:lang w:val="en-US" w:bidi="ar-SA"/>
        </w:rPr>
        <w:t xml:space="preserve">，自 </w:t>
      </w:r>
      <w:r>
        <w:rPr>
          <w:rFonts w:hint="eastAsia" w:ascii="宋体" w:hAnsi="宋体" w:eastAsia="宋体" w:cstheme="minorBidi"/>
          <w:kern w:val="2"/>
          <w:sz w:val="24"/>
          <w:szCs w:val="24"/>
          <w:lang w:val="en-US" w:bidi="ar-SA"/>
        </w:rPr>
        <w:t xml:space="preserve">2022 </w:t>
      </w:r>
      <w:r>
        <w:rPr>
          <w:rFonts w:hint="eastAsia" w:cstheme="minorBidi"/>
          <w:spacing w:val="0"/>
          <w:kern w:val="2"/>
          <w:sz w:val="24"/>
          <w:szCs w:val="24"/>
          <w:lang w:val="en-US" w:bidi="ar-SA"/>
        </w:rPr>
        <w:t xml:space="preserve">年 </w:t>
      </w:r>
      <w:r>
        <w:rPr>
          <w:rFonts w:hint="eastAsia" w:ascii="宋体" w:hAnsi="宋体" w:eastAsia="宋体" w:cstheme="minorBidi"/>
          <w:kern w:val="2"/>
          <w:sz w:val="24"/>
          <w:szCs w:val="24"/>
          <w:lang w:val="en-US" w:bidi="ar-SA"/>
        </w:rPr>
        <w:t xml:space="preserve">9 </w:t>
      </w:r>
      <w:r>
        <w:rPr>
          <w:rFonts w:hint="eastAsia" w:cstheme="minorBidi"/>
          <w:spacing w:val="0"/>
          <w:kern w:val="2"/>
          <w:sz w:val="24"/>
          <w:szCs w:val="24"/>
          <w:lang w:val="en-US" w:bidi="ar-SA"/>
        </w:rPr>
        <w:t xml:space="preserve">月 </w:t>
      </w:r>
      <w:r>
        <w:rPr>
          <w:rFonts w:hint="eastAsia" w:ascii="宋体" w:hAnsi="宋体" w:cstheme="minorBidi"/>
          <w:kern w:val="2"/>
          <w:sz w:val="24"/>
          <w:szCs w:val="24"/>
          <w:lang w:val="en-US" w:eastAsia="zh-CN" w:bidi="ar-SA"/>
        </w:rPr>
        <w:t>13</w:t>
      </w:r>
      <w:r>
        <w:rPr>
          <w:rFonts w:hint="eastAsia" w:cstheme="minorBidi"/>
          <w:spacing w:val="0"/>
          <w:kern w:val="2"/>
          <w:sz w:val="24"/>
          <w:szCs w:val="24"/>
          <w:lang w:val="en-US" w:bidi="ar-SA"/>
        </w:rPr>
        <w:t>日起，</w:t>
      </w:r>
      <w:r>
        <w:rPr>
          <w:rFonts w:hint="eastAsia" w:cstheme="minorBidi"/>
          <w:spacing w:val="0"/>
          <w:kern w:val="2"/>
          <w:sz w:val="24"/>
          <w:szCs w:val="24"/>
          <w:lang w:val="en-US" w:eastAsia="zh-CN" w:bidi="ar-SA"/>
        </w:rPr>
        <w:t>本公司</w:t>
      </w:r>
      <w:r>
        <w:rPr>
          <w:rFonts w:hint="eastAsia" w:cstheme="minorBidi"/>
          <w:spacing w:val="0"/>
          <w:kern w:val="2"/>
          <w:sz w:val="24"/>
          <w:szCs w:val="24"/>
          <w:lang w:val="en-US" w:bidi="ar-SA"/>
        </w:rPr>
        <w:t>旗下部分</w:t>
      </w:r>
      <w:r>
        <w:rPr>
          <w:rFonts w:hint="eastAsia" w:cstheme="minorBidi"/>
          <w:spacing w:val="0"/>
          <w:kern w:val="2"/>
          <w:sz w:val="24"/>
          <w:szCs w:val="24"/>
          <w:lang w:val="en-US" w:eastAsia="zh-CN" w:bidi="ar-SA"/>
        </w:rPr>
        <w:t>集合资产管理计划</w:t>
      </w:r>
      <w:r>
        <w:rPr>
          <w:rFonts w:hint="eastAsia" w:cstheme="minorBidi"/>
          <w:spacing w:val="0"/>
          <w:kern w:val="2"/>
          <w:sz w:val="24"/>
          <w:szCs w:val="24"/>
          <w:lang w:val="en-US" w:bidi="ar-SA"/>
        </w:rPr>
        <w:t>增加</w:t>
      </w:r>
      <w:r>
        <w:rPr>
          <w:rFonts w:hint="eastAsia" w:ascii="宋体" w:hAnsi="宋体" w:cstheme="minorBidi"/>
          <w:sz w:val="24"/>
          <w:lang w:eastAsia="zh-CN"/>
        </w:rPr>
        <w:t>苏宁基金</w:t>
      </w:r>
      <w:bookmarkStart w:id="0" w:name="_GoBack"/>
      <w:bookmarkEnd w:id="0"/>
      <w:r>
        <w:rPr>
          <w:rFonts w:hint="eastAsia" w:cstheme="minorBidi"/>
          <w:kern w:val="2"/>
          <w:sz w:val="24"/>
          <w:szCs w:val="24"/>
          <w:lang w:val="en-US" w:bidi="ar-SA"/>
        </w:rPr>
        <w:t>为</w:t>
      </w:r>
      <w:r>
        <w:rPr>
          <w:rFonts w:hint="eastAsia" w:cstheme="minorBidi"/>
          <w:kern w:val="2"/>
          <w:sz w:val="24"/>
          <w:szCs w:val="24"/>
          <w:lang w:val="en-US" w:eastAsia="zh-CN" w:bidi="ar-SA"/>
        </w:rPr>
        <w:t>代销</w:t>
      </w:r>
      <w:r>
        <w:rPr>
          <w:rFonts w:hint="eastAsia" w:cstheme="minorBidi"/>
          <w:kern w:val="2"/>
          <w:sz w:val="24"/>
          <w:szCs w:val="24"/>
          <w:lang w:val="en-US" w:bidi="ar-SA"/>
        </w:rPr>
        <w:t>机构。现将有关事项公告如下</w:t>
      </w:r>
      <w:r>
        <w:rPr>
          <w:rFonts w:hint="eastAsia" w:cstheme="minorBidi"/>
          <w:kern w:val="2"/>
          <w:sz w:val="24"/>
          <w:szCs w:val="24"/>
          <w:lang w:val="en-US" w:eastAsia="zh-CN" w:bidi="ar-SA"/>
        </w:rPr>
        <w:t>：</w:t>
      </w:r>
    </w:p>
    <w:p>
      <w:pPr>
        <w:autoSpaceDE/>
        <w:autoSpaceDN/>
        <w:spacing w:before="0" w:after="0" w:line="360" w:lineRule="auto"/>
        <w:ind w:left="0" w:firstLine="480" w:firstLineChars="200"/>
        <w:jc w:val="both"/>
        <w:rPr>
          <w:rFonts w:hint="eastAsia" w:cstheme="minorBidi"/>
          <w:kern w:val="2"/>
          <w:sz w:val="24"/>
          <w:szCs w:val="24"/>
          <w:lang w:val="en-US" w:bidi="ar-SA"/>
        </w:rPr>
      </w:pPr>
      <w:r>
        <w:rPr>
          <w:rFonts w:hint="eastAsia" w:cstheme="minorBidi"/>
          <w:kern w:val="2"/>
          <w:sz w:val="24"/>
          <w:szCs w:val="24"/>
          <w:lang w:val="en-US" w:bidi="ar-SA"/>
        </w:rPr>
        <w:t>一、涉及</w:t>
      </w:r>
      <w:r>
        <w:rPr>
          <w:rFonts w:hint="eastAsia" w:eastAsia="宋体" w:cstheme="minorBidi"/>
          <w:kern w:val="2"/>
          <w:sz w:val="24"/>
          <w:szCs w:val="24"/>
          <w:lang w:val="en-US" w:eastAsia="zh-CN" w:bidi="ar-SA"/>
        </w:rPr>
        <w:t>集合资产管理计划</w:t>
      </w:r>
      <w:r>
        <w:rPr>
          <w:rFonts w:hint="eastAsia" w:cstheme="minorBidi"/>
          <w:kern w:val="2"/>
          <w:sz w:val="24"/>
          <w:szCs w:val="24"/>
          <w:lang w:val="en-US" w:bidi="ar-SA"/>
        </w:rPr>
        <w:t>及业务范围</w:t>
      </w:r>
    </w:p>
    <w:tbl>
      <w:tblPr>
        <w:tblStyle w:val="6"/>
        <w:tblW w:w="5004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7"/>
        <w:gridCol w:w="2688"/>
        <w:gridCol w:w="4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538" w:type="pct"/>
            <w:vAlign w:val="center"/>
          </w:tcPr>
          <w:p>
            <w:pPr>
              <w:autoSpaceDE/>
              <w:autoSpaceDN/>
              <w:spacing w:line="360" w:lineRule="auto"/>
              <w:jc w:val="center"/>
              <w:rPr>
                <w:rFonts w:hint="eastAsia" w:ascii="宋体" w:eastAsia="宋体" w:cstheme="minorBidi"/>
                <w:b w:val="0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宋体" w:eastAsia="宋体" w:cstheme="minorBidi"/>
                <w:b w:val="0"/>
                <w:kern w:val="2"/>
                <w:sz w:val="24"/>
                <w:szCs w:val="24"/>
                <w:lang w:val="en-US" w:bidi="ar-SA"/>
              </w:rPr>
              <w:t>序号</w:t>
            </w:r>
          </w:p>
        </w:tc>
        <w:tc>
          <w:tcPr>
            <w:tcW w:w="1612" w:type="pct"/>
            <w:vAlign w:val="center"/>
          </w:tcPr>
          <w:p>
            <w:pPr>
              <w:autoSpaceDE/>
              <w:autoSpaceDN/>
              <w:spacing w:line="360" w:lineRule="auto"/>
              <w:ind w:right="0"/>
              <w:jc w:val="center"/>
              <w:rPr>
                <w:rFonts w:hint="eastAsia" w:ascii="宋体" w:eastAsia="宋体" w:cstheme="minorBidi"/>
                <w:b w:val="0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宋体" w:cstheme="minorBidi"/>
                <w:b w:val="0"/>
                <w:kern w:val="2"/>
                <w:sz w:val="24"/>
                <w:szCs w:val="24"/>
                <w:lang w:val="en-US" w:eastAsia="zh-CN" w:bidi="ar-SA"/>
              </w:rPr>
              <w:t>集合资产管理计划</w:t>
            </w:r>
            <w:r>
              <w:rPr>
                <w:rFonts w:hint="eastAsia" w:ascii="宋体" w:eastAsia="宋体" w:cstheme="minorBidi"/>
                <w:b w:val="0"/>
                <w:kern w:val="2"/>
                <w:sz w:val="24"/>
                <w:szCs w:val="24"/>
                <w:lang w:val="en-US" w:bidi="ar-SA"/>
              </w:rPr>
              <w:t>代码</w:t>
            </w:r>
          </w:p>
        </w:tc>
        <w:tc>
          <w:tcPr>
            <w:tcW w:w="2848" w:type="pct"/>
            <w:vAlign w:val="center"/>
          </w:tcPr>
          <w:p>
            <w:pPr>
              <w:autoSpaceDE/>
              <w:autoSpaceDN/>
              <w:spacing w:line="360" w:lineRule="auto"/>
              <w:ind w:left="0" w:right="0" w:firstLine="480" w:firstLineChars="200"/>
              <w:jc w:val="center"/>
              <w:rPr>
                <w:rFonts w:hint="eastAsia" w:ascii="宋体" w:eastAsia="宋体" w:cstheme="minorBidi"/>
                <w:b w:val="0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宋体" w:cstheme="minorBidi"/>
                <w:b w:val="0"/>
                <w:kern w:val="2"/>
                <w:sz w:val="24"/>
                <w:szCs w:val="24"/>
                <w:lang w:val="en-US" w:eastAsia="zh-CN" w:bidi="ar-SA"/>
              </w:rPr>
              <w:t>集合资产管理计划</w:t>
            </w:r>
            <w:r>
              <w:rPr>
                <w:rFonts w:hint="eastAsia" w:ascii="宋体" w:eastAsia="宋体" w:cstheme="minorBidi"/>
                <w:b w:val="0"/>
                <w:kern w:val="2"/>
                <w:sz w:val="24"/>
                <w:szCs w:val="24"/>
                <w:lang w:val="en-US" w:bidi="ar-SA"/>
              </w:rPr>
              <w:t>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538" w:type="pct"/>
            <w:vMerge w:val="restart"/>
            <w:vAlign w:val="center"/>
          </w:tcPr>
          <w:p>
            <w:pPr>
              <w:autoSpaceDE/>
              <w:autoSpaceDN/>
              <w:spacing w:before="0" w:line="360" w:lineRule="auto"/>
              <w:ind w:firstLine="480" w:firstLineChars="200"/>
              <w:jc w:val="both"/>
              <w:rPr>
                <w:rFonts w:hint="eastAsia" w:ascii="宋体" w:cstheme="minorBidi"/>
                <w:b w:val="0"/>
                <w:kern w:val="2"/>
                <w:sz w:val="24"/>
                <w:szCs w:val="24"/>
                <w:lang w:val="en-US" w:bidi="ar-SA"/>
              </w:rPr>
            </w:pPr>
          </w:p>
          <w:p>
            <w:pPr>
              <w:autoSpaceDE/>
              <w:autoSpaceDN/>
              <w:spacing w:line="360" w:lineRule="auto"/>
              <w:ind w:left="0" w:firstLine="480" w:firstLineChars="200"/>
              <w:jc w:val="both"/>
              <w:rPr>
                <w:rFonts w:hint="eastAsia" w:ascii="宋体" w:cstheme="minorBidi"/>
                <w:b w:val="0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宋体" w:cstheme="minorBidi"/>
                <w:b w:val="0"/>
                <w:kern w:val="2"/>
                <w:sz w:val="24"/>
                <w:szCs w:val="24"/>
                <w:lang w:val="en-US" w:bidi="ar-SA"/>
              </w:rPr>
              <w:t>1</w:t>
            </w:r>
          </w:p>
        </w:tc>
        <w:tc>
          <w:tcPr>
            <w:tcW w:w="1612" w:type="pct"/>
            <w:vAlign w:val="center"/>
          </w:tcPr>
          <w:p>
            <w:pPr>
              <w:autoSpaceDE/>
              <w:autoSpaceDN/>
              <w:spacing w:before="0" w:line="360" w:lineRule="auto"/>
              <w:ind w:left="0" w:right="0" w:firstLine="480" w:firstLineChars="200"/>
              <w:jc w:val="both"/>
              <w:rPr>
                <w:rFonts w:hint="eastAsia" w:asci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theme="minorBidi"/>
                <w:kern w:val="2"/>
                <w:sz w:val="24"/>
                <w:szCs w:val="24"/>
                <w:lang w:val="en-US" w:bidi="ar-SA"/>
              </w:rPr>
              <w:t xml:space="preserve">A </w:t>
            </w: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份额</w:t>
            </w:r>
            <w:r>
              <w:rPr>
                <w:rFonts w:hint="eastAsia" w:cstheme="minorBidi"/>
                <w:kern w:val="2"/>
                <w:sz w:val="24"/>
                <w:szCs w:val="24"/>
                <w:lang w:val="en-US" w:bidi="ar-SA"/>
              </w:rPr>
              <w:t>：</w:t>
            </w:r>
            <w:r>
              <w:rPr>
                <w:rFonts w:hint="eastAsia" w:ascii="宋体" w:cstheme="minorBidi"/>
                <w:kern w:val="2"/>
                <w:sz w:val="24"/>
                <w:szCs w:val="24"/>
                <w:lang w:val="en-US" w:eastAsia="zh-CN" w:bidi="ar-SA"/>
              </w:rPr>
              <w:t>970107</w:t>
            </w:r>
          </w:p>
        </w:tc>
        <w:tc>
          <w:tcPr>
            <w:tcW w:w="2848" w:type="pct"/>
            <w:vMerge w:val="restart"/>
            <w:vAlign w:val="center"/>
          </w:tcPr>
          <w:p>
            <w:pPr>
              <w:autoSpaceDE/>
              <w:autoSpaceDN/>
              <w:spacing w:before="0" w:line="360" w:lineRule="auto"/>
              <w:ind w:left="0" w:right="0" w:firstLine="480" w:firstLineChars="200"/>
              <w:jc w:val="center"/>
              <w:rPr>
                <w:rFonts w:hint="eastAsia" w:cstheme="minorBidi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bidi="ar-SA"/>
              </w:rPr>
              <w:t>东海证券海鑫双悦3个月滚动持有债券型集合资产管理计划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538" w:type="pct"/>
            <w:vMerge w:val="continue"/>
            <w:tcBorders>
              <w:top w:val="nil"/>
            </w:tcBorders>
            <w:vAlign w:val="center"/>
          </w:tcPr>
          <w:p>
            <w:pPr>
              <w:autoSpaceDE/>
              <w:autoSpaceDN/>
              <w:spacing w:line="360" w:lineRule="auto"/>
              <w:ind w:firstLine="480" w:firstLineChars="200"/>
              <w:jc w:val="both"/>
              <w:rPr>
                <w:rFonts w:hint="eastAsia" w:cstheme="minorBidi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612" w:type="pct"/>
            <w:vAlign w:val="center"/>
          </w:tcPr>
          <w:p>
            <w:pPr>
              <w:autoSpaceDE/>
              <w:autoSpaceDN/>
              <w:spacing w:before="0" w:line="360" w:lineRule="auto"/>
              <w:ind w:left="0" w:right="0" w:firstLine="480" w:firstLineChars="200"/>
              <w:jc w:val="both"/>
              <w:rPr>
                <w:rFonts w:hint="eastAsia" w:asci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theme="minorBidi"/>
                <w:kern w:val="2"/>
                <w:sz w:val="24"/>
                <w:szCs w:val="24"/>
                <w:lang w:val="en-US" w:bidi="ar-SA"/>
              </w:rPr>
              <w:t xml:space="preserve">C </w:t>
            </w: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份额</w:t>
            </w:r>
            <w:r>
              <w:rPr>
                <w:rFonts w:hint="eastAsia" w:cstheme="minorBidi"/>
                <w:kern w:val="2"/>
                <w:sz w:val="24"/>
                <w:szCs w:val="24"/>
                <w:lang w:val="en-US" w:bidi="ar-SA"/>
              </w:rPr>
              <w:t>：</w:t>
            </w:r>
            <w:r>
              <w:rPr>
                <w:rFonts w:hint="eastAsia" w:ascii="宋体" w:cstheme="minorBidi"/>
                <w:kern w:val="2"/>
                <w:sz w:val="24"/>
                <w:szCs w:val="24"/>
                <w:lang w:val="en-US" w:eastAsia="zh-CN" w:bidi="ar-SA"/>
              </w:rPr>
              <w:t>970108</w:t>
            </w:r>
          </w:p>
        </w:tc>
        <w:tc>
          <w:tcPr>
            <w:tcW w:w="2848" w:type="pct"/>
            <w:vMerge w:val="continue"/>
            <w:tcBorders>
              <w:top w:val="nil"/>
            </w:tcBorders>
            <w:vAlign w:val="center"/>
          </w:tcPr>
          <w:p>
            <w:pPr>
              <w:autoSpaceDE/>
              <w:autoSpaceDN/>
              <w:spacing w:line="360" w:lineRule="auto"/>
              <w:ind w:firstLine="480" w:firstLineChars="200"/>
              <w:jc w:val="both"/>
              <w:rPr>
                <w:rFonts w:hint="eastAsia" w:cstheme="minorBidi"/>
                <w:kern w:val="2"/>
                <w:sz w:val="24"/>
                <w:szCs w:val="24"/>
                <w:lang w:val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" w:hRule="atLeast"/>
        </w:trPr>
        <w:tc>
          <w:tcPr>
            <w:tcW w:w="538" w:type="pct"/>
            <w:vAlign w:val="center"/>
          </w:tcPr>
          <w:p>
            <w:pPr>
              <w:autoSpaceDE/>
              <w:autoSpaceDN/>
              <w:spacing w:before="0" w:line="360" w:lineRule="auto"/>
              <w:ind w:right="0" w:firstLine="480" w:firstLineChars="200"/>
              <w:jc w:val="both"/>
              <w:rPr>
                <w:rFonts w:hint="eastAsia" w:ascii="宋体" w:cstheme="minorBidi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theme="minorBidi"/>
                <w:b w:val="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612" w:type="pct"/>
            <w:vAlign w:val="center"/>
          </w:tcPr>
          <w:p>
            <w:pPr>
              <w:autoSpaceDE/>
              <w:autoSpaceDN/>
              <w:spacing w:before="0" w:line="360" w:lineRule="auto"/>
              <w:ind w:left="0" w:right="0" w:firstLine="960" w:firstLineChars="400"/>
              <w:jc w:val="both"/>
              <w:rPr>
                <w:rFonts w:hint="eastAsia" w:ascii="宋体" w:eastAsia="宋体" w:cstheme="minorBidi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宋体" w:eastAsia="宋体" w:cstheme="minorBidi"/>
                <w:kern w:val="2"/>
                <w:sz w:val="24"/>
                <w:szCs w:val="24"/>
                <w:lang w:val="en-US" w:eastAsia="zh-CN" w:bidi="ar-SA"/>
              </w:rPr>
              <w:t>970081</w:t>
            </w:r>
          </w:p>
        </w:tc>
        <w:tc>
          <w:tcPr>
            <w:tcW w:w="2848" w:type="pct"/>
            <w:vAlign w:val="center"/>
          </w:tcPr>
          <w:p>
            <w:pPr>
              <w:autoSpaceDE/>
              <w:autoSpaceDN/>
              <w:spacing w:line="360" w:lineRule="auto"/>
              <w:jc w:val="center"/>
              <w:rPr>
                <w:rFonts w:hint="eastAsia" w:cstheme="minorBidi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bidi="ar-SA"/>
              </w:rPr>
              <w:t>东海证券海鑫添利短债债券型集合资产</w:t>
            </w:r>
          </w:p>
          <w:p>
            <w:pPr>
              <w:autoSpaceDE/>
              <w:autoSpaceDN/>
              <w:spacing w:line="360" w:lineRule="auto"/>
              <w:jc w:val="center"/>
              <w:rPr>
                <w:rFonts w:hint="eastAsia" w:cstheme="minorBidi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bidi="ar-SA"/>
              </w:rPr>
              <w:t>管理计划</w:t>
            </w:r>
          </w:p>
        </w:tc>
      </w:tr>
    </w:tbl>
    <w:p>
      <w:pPr>
        <w:autoSpaceDE/>
        <w:autoSpaceDN/>
        <w:spacing w:before="0" w:line="360" w:lineRule="auto"/>
        <w:ind w:left="0" w:right="0" w:firstLine="480" w:firstLineChars="200"/>
        <w:jc w:val="both"/>
        <w:rPr>
          <w:rFonts w:hint="eastAsia" w:cstheme="minorBidi"/>
          <w:spacing w:val="0"/>
          <w:kern w:val="2"/>
          <w:sz w:val="24"/>
          <w:szCs w:val="24"/>
          <w:lang w:val="en-US" w:bidi="ar-SA"/>
        </w:rPr>
      </w:pPr>
    </w:p>
    <w:p>
      <w:pPr>
        <w:spacing w:line="360" w:lineRule="auto"/>
        <w:ind w:firstLine="480" w:firstLineChars="200"/>
        <w:rPr>
          <w:rFonts w:ascii="宋体" w:hAnsi="宋体" w:cstheme="minorBidi"/>
          <w:sz w:val="24"/>
        </w:rPr>
      </w:pPr>
      <w:r>
        <w:rPr>
          <w:rFonts w:hint="eastAsia" w:cstheme="minorBidi"/>
          <w:spacing w:val="0"/>
          <w:kern w:val="2"/>
          <w:sz w:val="24"/>
          <w:szCs w:val="24"/>
          <w:lang w:val="en-US" w:bidi="ar-SA"/>
        </w:rPr>
        <w:t>投资</w:t>
      </w:r>
      <w:r>
        <w:rPr>
          <w:rFonts w:hint="eastAsia" w:cstheme="minorBidi"/>
          <w:spacing w:val="0"/>
          <w:kern w:val="2"/>
          <w:sz w:val="24"/>
          <w:szCs w:val="24"/>
          <w:lang w:val="en-US" w:eastAsia="zh-CN" w:bidi="ar-SA"/>
        </w:rPr>
        <w:t>者</w:t>
      </w:r>
      <w:r>
        <w:rPr>
          <w:rFonts w:hint="eastAsia" w:cstheme="minorBidi"/>
          <w:spacing w:val="0"/>
          <w:kern w:val="2"/>
          <w:sz w:val="24"/>
          <w:szCs w:val="24"/>
          <w:lang w:val="en-US" w:bidi="ar-SA"/>
        </w:rPr>
        <w:t>可按照</w:t>
      </w:r>
      <w:r>
        <w:rPr>
          <w:rFonts w:hint="eastAsia" w:ascii="宋体" w:hAnsi="宋体" w:cstheme="minorBidi"/>
          <w:sz w:val="24"/>
          <w:lang w:eastAsia="zh-CN"/>
        </w:rPr>
        <w:t>苏宁基金</w:t>
      </w:r>
      <w:r>
        <w:rPr>
          <w:rFonts w:hint="eastAsia" w:cstheme="minorBidi"/>
          <w:spacing w:val="0"/>
          <w:kern w:val="2"/>
          <w:sz w:val="24"/>
          <w:szCs w:val="24"/>
          <w:lang w:val="en-US" w:bidi="ar-SA"/>
        </w:rPr>
        <w:t>提供的方式办理上述</w:t>
      </w:r>
      <w:r>
        <w:rPr>
          <w:rFonts w:hint="eastAsia" w:cstheme="minorBidi"/>
          <w:spacing w:val="0"/>
          <w:kern w:val="2"/>
          <w:sz w:val="24"/>
          <w:szCs w:val="24"/>
          <w:lang w:val="en-US" w:eastAsia="zh-CN" w:bidi="ar-SA"/>
        </w:rPr>
        <w:t>资产管理计划</w:t>
      </w:r>
      <w:r>
        <w:rPr>
          <w:rFonts w:hint="eastAsia" w:cstheme="minorBidi"/>
          <w:spacing w:val="0"/>
          <w:kern w:val="2"/>
          <w:sz w:val="24"/>
          <w:szCs w:val="24"/>
          <w:lang w:val="en-US" w:bidi="ar-SA"/>
        </w:rPr>
        <w:t>的开户、申购、赎回、定投业务。</w:t>
      </w:r>
      <w:r>
        <w:rPr>
          <w:rFonts w:hint="eastAsia" w:ascii="宋体" w:hAnsi="宋体" w:cstheme="minorBidi"/>
          <w:sz w:val="24"/>
        </w:rPr>
        <w:t>上述业务的最终上线时间以</w:t>
      </w:r>
      <w:r>
        <w:rPr>
          <w:rFonts w:hint="eastAsia" w:ascii="宋体" w:hAnsi="宋体" w:cstheme="minorBidi"/>
          <w:sz w:val="24"/>
          <w:lang w:eastAsia="zh-CN"/>
        </w:rPr>
        <w:t>苏宁基金</w:t>
      </w:r>
      <w:r>
        <w:rPr>
          <w:rFonts w:hint="eastAsia" w:ascii="宋体" w:hAnsi="宋体" w:cstheme="minorBidi"/>
          <w:sz w:val="24"/>
        </w:rPr>
        <w:t>为准，具体费率等优惠规则、定投规则以</w:t>
      </w:r>
      <w:r>
        <w:rPr>
          <w:rFonts w:hint="eastAsia" w:ascii="宋体" w:hAnsi="宋体" w:cstheme="minorBidi"/>
          <w:sz w:val="24"/>
          <w:lang w:eastAsia="zh-CN"/>
        </w:rPr>
        <w:t>苏宁基金</w:t>
      </w:r>
      <w:r>
        <w:rPr>
          <w:rFonts w:hint="eastAsia" w:ascii="宋体" w:hAnsi="宋体" w:cstheme="minorBidi"/>
          <w:sz w:val="24"/>
        </w:rPr>
        <w:t>的安排为准。</w:t>
      </w:r>
    </w:p>
    <w:p>
      <w:pPr>
        <w:autoSpaceDE/>
        <w:autoSpaceDN/>
        <w:spacing w:before="0" w:line="360" w:lineRule="auto"/>
        <w:ind w:left="0" w:right="0" w:firstLine="480" w:firstLineChars="200"/>
        <w:jc w:val="both"/>
        <w:rPr>
          <w:rFonts w:hint="eastAsia" w:eastAsia="宋体" w:cstheme="minorBidi"/>
          <w:kern w:val="2"/>
          <w:sz w:val="24"/>
          <w:szCs w:val="24"/>
          <w:lang w:val="en-US" w:eastAsia="zh-CN" w:bidi="ar-SA"/>
        </w:rPr>
      </w:pPr>
    </w:p>
    <w:p>
      <w:pPr>
        <w:autoSpaceDE/>
        <w:autoSpaceDN/>
        <w:spacing w:line="360" w:lineRule="auto"/>
        <w:ind w:left="0" w:firstLine="480" w:firstLineChars="200"/>
        <w:jc w:val="both"/>
        <w:rPr>
          <w:rFonts w:hint="eastAsia" w:cstheme="minorBidi"/>
          <w:kern w:val="2"/>
          <w:sz w:val="24"/>
          <w:szCs w:val="24"/>
          <w:lang w:val="en-US" w:bidi="ar-SA"/>
        </w:rPr>
      </w:pPr>
      <w:r>
        <w:rPr>
          <w:rFonts w:hint="eastAsia" w:cstheme="minorBidi"/>
          <w:kern w:val="2"/>
          <w:sz w:val="24"/>
          <w:szCs w:val="24"/>
          <w:lang w:val="en-US" w:eastAsia="zh-CN" w:bidi="ar-SA"/>
        </w:rPr>
        <w:t>二</w:t>
      </w:r>
      <w:r>
        <w:rPr>
          <w:rFonts w:hint="eastAsia" w:cstheme="minorBidi"/>
          <w:kern w:val="2"/>
          <w:sz w:val="24"/>
          <w:szCs w:val="24"/>
          <w:lang w:val="en-US" w:bidi="ar-SA"/>
        </w:rPr>
        <w:t>、投资人可通过以下途径了解或咨询相关情况</w:t>
      </w:r>
    </w:p>
    <w:p>
      <w:pPr>
        <w:autoSpaceDE/>
        <w:autoSpaceDN/>
        <w:spacing w:line="360" w:lineRule="auto"/>
        <w:ind w:firstLine="480" w:firstLineChars="200"/>
        <w:jc w:val="both"/>
        <w:rPr>
          <w:rFonts w:hint="eastAsia" w:ascii="宋体" w:hAnsi="宋体" w:eastAsia="宋体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theme="minorBidi"/>
          <w:kern w:val="2"/>
          <w:sz w:val="24"/>
          <w:szCs w:val="24"/>
          <w:lang w:val="en-US" w:bidi="ar-SA"/>
        </w:rPr>
        <w:t>（一）</w:t>
      </w:r>
      <w:r>
        <w:rPr>
          <w:rFonts w:hint="eastAsia" w:ascii="宋体" w:hAnsi="宋体" w:cstheme="minorBidi"/>
          <w:kern w:val="2"/>
          <w:sz w:val="24"/>
          <w:szCs w:val="24"/>
          <w:lang w:val="en-US" w:eastAsia="zh-CN" w:bidi="ar-SA"/>
        </w:rPr>
        <w:t>南京苏宁基金销售有限公司</w:t>
      </w:r>
    </w:p>
    <w:p>
      <w:pPr>
        <w:autoSpaceDE/>
        <w:autoSpaceDN/>
        <w:spacing w:line="360" w:lineRule="auto"/>
        <w:ind w:firstLine="480" w:firstLineChars="200"/>
        <w:jc w:val="both"/>
        <w:rPr>
          <w:rFonts w:hint="eastAsia" w:ascii="宋体" w:hAnsi="宋体" w:cstheme="minorBidi"/>
          <w:kern w:val="2"/>
          <w:sz w:val="24"/>
          <w:szCs w:val="24"/>
          <w:lang w:val="en-US" w:bidi="ar-SA"/>
        </w:rPr>
      </w:pPr>
      <w:r>
        <w:rPr>
          <w:rFonts w:hint="eastAsia" w:ascii="宋体" w:hAnsi="宋体" w:cstheme="minorBidi"/>
          <w:kern w:val="2"/>
          <w:sz w:val="24"/>
          <w:szCs w:val="24"/>
          <w:lang w:val="en-US" w:bidi="ar-SA"/>
        </w:rPr>
        <w:t>客服电话：95177</w:t>
      </w:r>
    </w:p>
    <w:p>
      <w:pPr>
        <w:autoSpaceDE/>
        <w:autoSpaceDN/>
        <w:spacing w:line="360" w:lineRule="auto"/>
        <w:ind w:firstLine="480" w:firstLineChars="200"/>
        <w:jc w:val="both"/>
        <w:rPr>
          <w:rFonts w:hint="eastAsia" w:ascii="宋体" w:hAnsi="宋体" w:cstheme="minorBidi"/>
          <w:kern w:val="2"/>
          <w:sz w:val="24"/>
          <w:szCs w:val="24"/>
          <w:lang w:val="en-US" w:bidi="ar-SA"/>
        </w:rPr>
      </w:pPr>
      <w:r>
        <w:rPr>
          <w:rFonts w:hint="eastAsia" w:ascii="宋体" w:hAnsi="宋体" w:cstheme="minorBidi"/>
          <w:kern w:val="2"/>
          <w:sz w:val="24"/>
          <w:szCs w:val="24"/>
          <w:lang w:val="en-US" w:bidi="ar-SA"/>
        </w:rPr>
        <w:t>官方网站: www.snjijin.com</w:t>
      </w:r>
    </w:p>
    <w:p>
      <w:pPr>
        <w:autoSpaceDE/>
        <w:autoSpaceDN/>
        <w:spacing w:line="360" w:lineRule="auto"/>
        <w:ind w:firstLine="480" w:firstLineChars="200"/>
        <w:jc w:val="both"/>
        <w:rPr>
          <w:rFonts w:hint="eastAsia" w:ascii="宋体" w:hAnsi="宋体" w:cstheme="minorBidi"/>
          <w:kern w:val="2"/>
          <w:sz w:val="24"/>
          <w:szCs w:val="24"/>
          <w:lang w:val="en-US" w:bidi="ar-SA"/>
        </w:rPr>
      </w:pPr>
      <w:r>
        <w:rPr>
          <w:rFonts w:hint="eastAsia" w:ascii="宋体" w:hAnsi="宋体" w:cstheme="minorBidi"/>
          <w:kern w:val="2"/>
          <w:sz w:val="24"/>
          <w:szCs w:val="24"/>
          <w:lang w:val="en-US" w:bidi="ar-SA"/>
        </w:rPr>
        <w:t>（二）东海证券股份有限公司</w:t>
      </w:r>
    </w:p>
    <w:p>
      <w:pPr>
        <w:autoSpaceDE/>
        <w:autoSpaceDN/>
        <w:spacing w:line="360" w:lineRule="auto"/>
        <w:ind w:firstLine="480" w:firstLineChars="200"/>
        <w:jc w:val="both"/>
        <w:rPr>
          <w:rFonts w:hint="eastAsia" w:ascii="宋体" w:hAnsi="宋体" w:cstheme="minorBidi"/>
          <w:kern w:val="2"/>
          <w:sz w:val="24"/>
          <w:szCs w:val="24"/>
          <w:lang w:val="en-US" w:bidi="ar-SA"/>
        </w:rPr>
      </w:pPr>
      <w:r>
        <w:rPr>
          <w:rFonts w:hint="eastAsia" w:ascii="宋体" w:hAnsi="宋体" w:cstheme="minorBidi"/>
          <w:kern w:val="2"/>
          <w:sz w:val="24"/>
          <w:szCs w:val="24"/>
          <w:lang w:val="en-US" w:bidi="ar-SA"/>
        </w:rPr>
        <w:t>客服电话：95531/400-8888-588</w:t>
      </w:r>
    </w:p>
    <w:p>
      <w:pPr>
        <w:autoSpaceDE/>
        <w:autoSpaceDN/>
        <w:spacing w:line="360" w:lineRule="auto"/>
        <w:ind w:firstLine="480" w:firstLineChars="200"/>
        <w:jc w:val="both"/>
        <w:rPr>
          <w:rFonts w:hint="eastAsia" w:ascii="宋体" w:hAnsi="宋体" w:cstheme="minorBidi"/>
          <w:kern w:val="2"/>
          <w:sz w:val="24"/>
          <w:szCs w:val="24"/>
          <w:lang w:val="en-US" w:bidi="ar-SA"/>
        </w:rPr>
      </w:pPr>
      <w:r>
        <w:rPr>
          <w:rFonts w:hint="eastAsia" w:ascii="宋体" w:hAnsi="宋体" w:cstheme="minorBidi"/>
          <w:kern w:val="2"/>
          <w:sz w:val="24"/>
          <w:szCs w:val="24"/>
          <w:lang w:val="en-US" w:bidi="ar-SA"/>
        </w:rPr>
        <w:t>官方网站：</w:t>
      </w:r>
      <w:r>
        <w:rPr>
          <w:rFonts w:hint="eastAsia" w:ascii="宋体" w:hAnsi="宋体" w:cstheme="minorBidi"/>
          <w:kern w:val="2"/>
          <w:sz w:val="24"/>
          <w:szCs w:val="24"/>
          <w:lang w:val="en-US" w:bidi="ar-SA"/>
        </w:rPr>
        <w:fldChar w:fldCharType="begin"/>
      </w:r>
      <w:r>
        <w:rPr>
          <w:rFonts w:hint="eastAsia" w:ascii="宋体" w:hAnsi="宋体" w:cstheme="minorBidi"/>
          <w:kern w:val="2"/>
          <w:sz w:val="24"/>
          <w:szCs w:val="24"/>
          <w:lang w:val="en-US" w:bidi="ar-SA"/>
        </w:rPr>
        <w:instrText xml:space="preserve"> HYPERLINK "http://www.longone.com.cn" </w:instrText>
      </w:r>
      <w:r>
        <w:rPr>
          <w:rFonts w:hint="eastAsia" w:ascii="宋体" w:hAnsi="宋体" w:cstheme="minorBidi"/>
          <w:kern w:val="2"/>
          <w:sz w:val="24"/>
          <w:szCs w:val="24"/>
          <w:lang w:val="en-US" w:bidi="ar-SA"/>
        </w:rPr>
        <w:fldChar w:fldCharType="separate"/>
      </w:r>
      <w:r>
        <w:rPr>
          <w:rStyle w:val="8"/>
          <w:rFonts w:hint="eastAsia" w:ascii="宋体" w:hAnsi="宋体" w:cstheme="minorBidi"/>
          <w:kern w:val="2"/>
          <w:sz w:val="24"/>
          <w:szCs w:val="24"/>
          <w:lang w:val="en-US" w:bidi="ar-SA"/>
        </w:rPr>
        <w:t>www.longone.com.cn</w:t>
      </w:r>
      <w:r>
        <w:rPr>
          <w:rFonts w:hint="eastAsia" w:ascii="宋体" w:hAnsi="宋体" w:cstheme="minorBidi"/>
          <w:kern w:val="2"/>
          <w:sz w:val="24"/>
          <w:szCs w:val="24"/>
          <w:lang w:val="en-US" w:bidi="ar-SA"/>
        </w:rPr>
        <w:fldChar w:fldCharType="end"/>
      </w:r>
    </w:p>
    <w:p>
      <w:pPr>
        <w:autoSpaceDE/>
        <w:autoSpaceDN/>
        <w:spacing w:line="360" w:lineRule="auto"/>
        <w:ind w:firstLine="480" w:firstLineChars="200"/>
        <w:jc w:val="both"/>
        <w:rPr>
          <w:rFonts w:hint="eastAsia" w:ascii="宋体" w:hAnsi="宋体" w:cstheme="minorBidi"/>
          <w:kern w:val="2"/>
          <w:sz w:val="24"/>
          <w:szCs w:val="24"/>
          <w:lang w:val="en-US" w:bidi="ar-SA"/>
        </w:rPr>
      </w:pPr>
    </w:p>
    <w:p>
      <w:pPr>
        <w:spacing w:line="360" w:lineRule="auto"/>
        <w:ind w:firstLine="480" w:firstLineChars="200"/>
        <w:rPr>
          <w:rFonts w:ascii="宋体" w:hAnsi="宋体" w:cstheme="minorBidi"/>
          <w:sz w:val="24"/>
        </w:rPr>
      </w:pPr>
      <w:r>
        <w:rPr>
          <w:rFonts w:hint="eastAsia" w:cstheme="minorBidi"/>
          <w:kern w:val="2"/>
          <w:sz w:val="24"/>
          <w:szCs w:val="24"/>
          <w:lang w:val="en-US" w:eastAsia="zh-CN" w:bidi="ar-SA"/>
        </w:rPr>
        <w:t>三</w:t>
      </w:r>
      <w:r>
        <w:rPr>
          <w:rFonts w:hint="eastAsia" w:cstheme="minorBidi"/>
          <w:kern w:val="2"/>
          <w:sz w:val="24"/>
          <w:szCs w:val="24"/>
          <w:lang w:val="en-US" w:bidi="ar-SA"/>
        </w:rPr>
        <w:t>、</w:t>
      </w:r>
      <w:r>
        <w:rPr>
          <w:rFonts w:hint="eastAsia" w:ascii="宋体" w:hAnsi="宋体" w:cstheme="minorBidi"/>
          <w:sz w:val="24"/>
        </w:rPr>
        <w:t>重要提示：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、投资者欲了解本产品的详细情况，请咨询阅读资产管理合同和招募说明书。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2、该</w:t>
      </w:r>
      <w:r>
        <w:rPr>
          <w:rFonts w:ascii="宋体" w:hAnsi="宋体"/>
          <w:sz w:val="24"/>
        </w:rPr>
        <w:t>活动</w:t>
      </w:r>
      <w:r>
        <w:rPr>
          <w:rFonts w:hint="eastAsia" w:ascii="宋体" w:hAnsi="宋体"/>
          <w:sz w:val="24"/>
        </w:rPr>
        <w:t>及</w:t>
      </w:r>
      <w:r>
        <w:rPr>
          <w:rFonts w:ascii="宋体" w:hAnsi="宋体"/>
          <w:sz w:val="24"/>
        </w:rPr>
        <w:t>本公告</w:t>
      </w:r>
      <w:r>
        <w:rPr>
          <w:rFonts w:hint="eastAsia" w:ascii="宋体" w:hAnsi="宋体"/>
          <w:sz w:val="24"/>
        </w:rPr>
        <w:t>的</w:t>
      </w:r>
      <w:r>
        <w:rPr>
          <w:rFonts w:ascii="宋体" w:hAnsi="宋体"/>
          <w:sz w:val="24"/>
        </w:rPr>
        <w:t>解释权归东海证券所有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有关本次活动的具体规定如有变化，敬请投资者留意相关公告。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、风险</w:t>
      </w:r>
      <w:r>
        <w:rPr>
          <w:rFonts w:ascii="宋体" w:hAnsi="宋体"/>
          <w:sz w:val="24"/>
        </w:rPr>
        <w:t>提示：</w:t>
      </w:r>
      <w:r>
        <w:rPr>
          <w:rFonts w:hint="eastAsia" w:ascii="宋体" w:hAnsi="宋体"/>
          <w:sz w:val="24"/>
        </w:rPr>
        <w:t>本公司</w:t>
      </w:r>
      <w:r>
        <w:rPr>
          <w:rFonts w:ascii="宋体" w:hAnsi="宋体"/>
          <w:sz w:val="24"/>
        </w:rPr>
        <w:t>承诺以</w:t>
      </w:r>
      <w:r>
        <w:rPr>
          <w:rFonts w:hint="eastAsia" w:ascii="宋体" w:hAnsi="宋体"/>
          <w:sz w:val="24"/>
        </w:rPr>
        <w:t>诚实信用</w:t>
      </w:r>
      <w:r>
        <w:rPr>
          <w:rFonts w:ascii="宋体" w:hAnsi="宋体"/>
          <w:sz w:val="24"/>
        </w:rPr>
        <w:t>、勤勉尽责的原则管理和运用集合计划资产，但不保证集合计划一定盈利，也不保证最低收益。投资</w:t>
      </w:r>
      <w:r>
        <w:rPr>
          <w:rFonts w:hint="eastAsia" w:ascii="宋体" w:hAnsi="宋体"/>
          <w:sz w:val="24"/>
        </w:rPr>
        <w:t>需</w:t>
      </w:r>
      <w:r>
        <w:rPr>
          <w:rFonts w:ascii="宋体" w:hAnsi="宋体"/>
          <w:sz w:val="24"/>
        </w:rPr>
        <w:t>谨慎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敬请投资者注意投资风险。投资者</w:t>
      </w:r>
      <w:r>
        <w:rPr>
          <w:rFonts w:hint="eastAsia" w:ascii="宋体" w:hAnsi="宋体"/>
          <w:sz w:val="24"/>
        </w:rPr>
        <w:t>欲</w:t>
      </w:r>
      <w:r>
        <w:rPr>
          <w:rFonts w:ascii="宋体" w:hAnsi="宋体"/>
          <w:sz w:val="24"/>
        </w:rPr>
        <w:t>了解本</w:t>
      </w:r>
      <w:r>
        <w:rPr>
          <w:rFonts w:hint="eastAsia" w:ascii="宋体" w:hAnsi="宋体"/>
          <w:sz w:val="24"/>
        </w:rPr>
        <w:t>集合</w:t>
      </w:r>
      <w:r>
        <w:rPr>
          <w:rFonts w:ascii="宋体" w:hAnsi="宋体"/>
          <w:sz w:val="24"/>
        </w:rPr>
        <w:t>计划的详细情况，请于投资集合计划前应认真阅读集合计划的产品合同、招募说明书等法律文件及相关业务公告。敬请投资者</w:t>
      </w:r>
      <w:r>
        <w:rPr>
          <w:rFonts w:hint="eastAsia" w:ascii="宋体" w:hAnsi="宋体"/>
          <w:sz w:val="24"/>
        </w:rPr>
        <w:t>关注</w:t>
      </w:r>
      <w:r>
        <w:rPr>
          <w:rFonts w:ascii="宋体" w:hAnsi="宋体"/>
          <w:sz w:val="24"/>
        </w:rPr>
        <w:t>适当性管理相关规定，听取销售机构的适当性意见，提前做好风险测评，并根据自身的风险承受能力购买风险等级相匹配的产品。</w:t>
      </w:r>
    </w:p>
    <w:p>
      <w:pPr>
        <w:spacing w:line="360" w:lineRule="auto"/>
        <w:ind w:firstLine="480" w:firstLineChars="200"/>
        <w:rPr>
          <w:rFonts w:ascii="宋体" w:hAnsi="宋体" w:cstheme="minorBidi"/>
          <w:sz w:val="24"/>
        </w:rPr>
      </w:pPr>
      <w:r>
        <w:rPr>
          <w:rFonts w:hint="eastAsia" w:ascii="宋体" w:hAnsi="宋体" w:cstheme="minorBidi"/>
          <w:sz w:val="24"/>
        </w:rPr>
        <w:t>特此公告。</w:t>
      </w:r>
    </w:p>
    <w:p>
      <w:pPr>
        <w:autoSpaceDE/>
        <w:autoSpaceDN/>
        <w:spacing w:line="360" w:lineRule="auto"/>
        <w:ind w:firstLine="480" w:firstLineChars="200"/>
        <w:jc w:val="both"/>
        <w:rPr>
          <w:rFonts w:hint="eastAsia" w:cstheme="minorBidi"/>
          <w:kern w:val="2"/>
          <w:sz w:val="24"/>
          <w:szCs w:val="24"/>
          <w:lang w:val="en-US" w:bidi="ar-SA"/>
        </w:rPr>
      </w:pPr>
    </w:p>
    <w:p>
      <w:pPr>
        <w:autoSpaceDE/>
        <w:autoSpaceDN/>
        <w:spacing w:line="360" w:lineRule="auto"/>
        <w:ind w:firstLine="480" w:firstLineChars="200"/>
        <w:jc w:val="both"/>
        <w:rPr>
          <w:rFonts w:hint="eastAsia" w:cstheme="minorBidi"/>
          <w:kern w:val="2"/>
          <w:sz w:val="24"/>
          <w:szCs w:val="24"/>
          <w:lang w:val="en-US" w:bidi="ar-SA"/>
        </w:rPr>
      </w:pPr>
    </w:p>
    <w:p>
      <w:pPr>
        <w:autoSpaceDE/>
        <w:autoSpaceDN/>
        <w:spacing w:line="360" w:lineRule="auto"/>
        <w:ind w:firstLine="480" w:firstLineChars="200"/>
        <w:jc w:val="both"/>
        <w:rPr>
          <w:rFonts w:hint="eastAsia" w:cstheme="minorBidi"/>
          <w:kern w:val="2"/>
          <w:sz w:val="24"/>
          <w:szCs w:val="24"/>
          <w:lang w:val="en-US" w:bidi="ar-SA"/>
        </w:rPr>
      </w:pPr>
    </w:p>
    <w:p>
      <w:pPr>
        <w:autoSpaceDE/>
        <w:autoSpaceDN/>
        <w:spacing w:before="0" w:line="360" w:lineRule="auto"/>
        <w:ind w:left="0" w:right="0" w:firstLine="5520" w:firstLineChars="2300"/>
        <w:jc w:val="both"/>
        <w:rPr>
          <w:rFonts w:hint="eastAsia" w:cstheme="minorBidi"/>
          <w:kern w:val="2"/>
          <w:sz w:val="24"/>
          <w:szCs w:val="24"/>
          <w:lang w:val="en-US" w:bidi="ar-SA"/>
        </w:rPr>
      </w:pPr>
      <w:r>
        <w:rPr>
          <w:rFonts w:hint="eastAsia" w:cstheme="minorBidi"/>
          <w:kern w:val="2"/>
          <w:sz w:val="24"/>
          <w:szCs w:val="24"/>
          <w:lang w:val="en-US" w:eastAsia="zh-CN" w:bidi="ar-SA"/>
        </w:rPr>
        <w:t>东海证券股份</w:t>
      </w:r>
      <w:r>
        <w:rPr>
          <w:rFonts w:hint="eastAsia" w:cstheme="minorBidi"/>
          <w:kern w:val="2"/>
          <w:sz w:val="24"/>
          <w:szCs w:val="24"/>
          <w:lang w:val="en-US" w:bidi="ar-SA"/>
        </w:rPr>
        <w:t>有限公司</w:t>
      </w:r>
    </w:p>
    <w:p>
      <w:pPr>
        <w:autoSpaceDE/>
        <w:autoSpaceDN/>
        <w:spacing w:before="0" w:line="360" w:lineRule="auto"/>
        <w:ind w:left="0" w:right="0" w:firstLine="5760" w:firstLineChars="2400"/>
        <w:jc w:val="both"/>
        <w:rPr>
          <w:rFonts w:hint="eastAsia" w:cstheme="minorBidi"/>
          <w:kern w:val="2"/>
          <w:sz w:val="24"/>
          <w:szCs w:val="24"/>
          <w:lang w:val="en-US" w:bidi="ar-SA"/>
        </w:rPr>
      </w:pPr>
      <w:r>
        <w:rPr>
          <w:rFonts w:hint="eastAsia" w:ascii="宋体" w:eastAsia="宋体" w:cstheme="minorBidi"/>
          <w:kern w:val="2"/>
          <w:sz w:val="24"/>
          <w:szCs w:val="24"/>
          <w:lang w:val="en-US" w:bidi="ar-SA"/>
        </w:rPr>
        <w:t xml:space="preserve">2022 </w:t>
      </w:r>
      <w:r>
        <w:rPr>
          <w:rFonts w:hint="eastAsia" w:cstheme="minorBidi"/>
          <w:kern w:val="2"/>
          <w:sz w:val="24"/>
          <w:szCs w:val="24"/>
          <w:lang w:val="en-US" w:bidi="ar-SA"/>
        </w:rPr>
        <w:t xml:space="preserve">年 </w:t>
      </w:r>
      <w:r>
        <w:rPr>
          <w:rFonts w:hint="eastAsia" w:ascii="宋体" w:eastAsia="宋体" w:cstheme="minorBidi"/>
          <w:kern w:val="2"/>
          <w:sz w:val="24"/>
          <w:szCs w:val="24"/>
          <w:lang w:val="en-US" w:bidi="ar-SA"/>
        </w:rPr>
        <w:t xml:space="preserve">9 </w:t>
      </w:r>
      <w:r>
        <w:rPr>
          <w:rFonts w:hint="eastAsia" w:cstheme="minorBidi"/>
          <w:kern w:val="2"/>
          <w:sz w:val="24"/>
          <w:szCs w:val="24"/>
          <w:lang w:val="en-US" w:bidi="ar-SA"/>
        </w:rPr>
        <w:t xml:space="preserve">月 </w:t>
      </w:r>
      <w:r>
        <w:rPr>
          <w:rFonts w:hint="eastAsia" w:ascii="宋体" w:cstheme="minorBidi"/>
          <w:kern w:val="2"/>
          <w:sz w:val="24"/>
          <w:szCs w:val="24"/>
          <w:lang w:val="en-US" w:eastAsia="zh-CN" w:bidi="ar-SA"/>
        </w:rPr>
        <w:t>10</w:t>
      </w:r>
      <w:r>
        <w:rPr>
          <w:rFonts w:hint="eastAsia" w:cstheme="minorBidi"/>
          <w:kern w:val="2"/>
          <w:sz w:val="24"/>
          <w:szCs w:val="24"/>
          <w:lang w:val="en-US" w:bidi="ar-SA"/>
        </w:rPr>
        <w:t>日</w:t>
      </w:r>
    </w:p>
    <w:p>
      <w:pPr>
        <w:autoSpaceDE/>
        <w:autoSpaceDN/>
        <w:spacing w:line="360" w:lineRule="auto"/>
        <w:ind w:firstLine="480" w:firstLineChars="200"/>
        <w:jc w:val="both"/>
        <w:rPr>
          <w:rFonts w:hint="eastAsia" w:cstheme="minorBidi"/>
          <w:kern w:val="2"/>
          <w:sz w:val="24"/>
          <w:szCs w:val="24"/>
          <w:lang w:val="en-US" w:bidi="ar-SA"/>
        </w:rPr>
      </w:pPr>
    </w:p>
    <w:sectPr>
      <w:headerReference r:id="rId5" w:type="default"/>
      <w:pgSz w:w="11911" w:h="16838"/>
      <w:pgMar w:top="1440" w:right="1797" w:bottom="1440" w:left="1797" w:header="0" w:footer="1123" w:gutter="0"/>
      <w:cols w:space="0" w:num="1"/>
      <w:rtlGutter w:val="0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kNTdkMjRmMWZiNDdjMzMwNjk1YzJjZWU4YjAyOWMifQ=="/>
  </w:docVars>
  <w:rsids>
    <w:rsidRoot w:val="5BAC6C19"/>
    <w:rsid w:val="032D29B2"/>
    <w:rsid w:val="06383B48"/>
    <w:rsid w:val="06C947A0"/>
    <w:rsid w:val="07D63618"/>
    <w:rsid w:val="0D7C07BE"/>
    <w:rsid w:val="0E0465FF"/>
    <w:rsid w:val="0E176739"/>
    <w:rsid w:val="0ED85EC8"/>
    <w:rsid w:val="11BF336F"/>
    <w:rsid w:val="12274A70"/>
    <w:rsid w:val="13A97E33"/>
    <w:rsid w:val="14052346"/>
    <w:rsid w:val="14153784"/>
    <w:rsid w:val="19C24BC8"/>
    <w:rsid w:val="1A69031C"/>
    <w:rsid w:val="1CA44A0F"/>
    <w:rsid w:val="205729C5"/>
    <w:rsid w:val="21224D81"/>
    <w:rsid w:val="2650413E"/>
    <w:rsid w:val="26B02C92"/>
    <w:rsid w:val="27F136FF"/>
    <w:rsid w:val="2BC41856"/>
    <w:rsid w:val="2F794705"/>
    <w:rsid w:val="2FA8323D"/>
    <w:rsid w:val="31350565"/>
    <w:rsid w:val="32DD31FD"/>
    <w:rsid w:val="364A0BAA"/>
    <w:rsid w:val="37802F26"/>
    <w:rsid w:val="3B8907CC"/>
    <w:rsid w:val="3C0E4427"/>
    <w:rsid w:val="3CC35212"/>
    <w:rsid w:val="41384420"/>
    <w:rsid w:val="446049AD"/>
    <w:rsid w:val="48C055EE"/>
    <w:rsid w:val="4A4F4589"/>
    <w:rsid w:val="50506965"/>
    <w:rsid w:val="51261320"/>
    <w:rsid w:val="516A1CA8"/>
    <w:rsid w:val="51DC0DF8"/>
    <w:rsid w:val="53B74FC3"/>
    <w:rsid w:val="5488491F"/>
    <w:rsid w:val="549F610D"/>
    <w:rsid w:val="5B6930F4"/>
    <w:rsid w:val="5BAC6C19"/>
    <w:rsid w:val="5CD13C9A"/>
    <w:rsid w:val="630F0AA5"/>
    <w:rsid w:val="6AC50223"/>
    <w:rsid w:val="74D53759"/>
    <w:rsid w:val="75E4177A"/>
    <w:rsid w:val="7BBA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059"/>
      <w:outlineLvl w:val="1"/>
    </w:pPr>
    <w:rPr>
      <w:rFonts w:ascii="Microsoft JhengHei" w:hAnsi="Microsoft JhengHei" w:eastAsia="Microsoft JhengHei" w:cs="Microsoft JhengHei"/>
      <w:b/>
      <w:bCs/>
      <w:sz w:val="28"/>
      <w:szCs w:val="28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622"/>
      <w:outlineLvl w:val="2"/>
    </w:pPr>
    <w:rPr>
      <w:rFonts w:ascii="Microsoft JhengHei" w:hAnsi="Microsoft JhengHei" w:eastAsia="Microsoft JhengHei" w:cs="Microsoft JhengHei"/>
      <w:b/>
      <w:bCs/>
      <w:sz w:val="24"/>
      <w:szCs w:val="24"/>
      <w:lang w:val="zh-CN" w:eastAsia="zh-CN" w:bidi="zh-CN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Table Paragraph"/>
    <w:basedOn w:val="1"/>
    <w:qFormat/>
    <w:uiPriority w:val="1"/>
    <w:pPr>
      <w:ind w:left="505"/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743</Words>
  <Characters>822</Characters>
  <Lines>0</Lines>
  <Paragraphs>0</Paragraphs>
  <TotalTime>0</TotalTime>
  <ScaleCrop>false</ScaleCrop>
  <LinksUpToDate>false</LinksUpToDate>
  <CharactersWithSpaces>834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2022-09-09T06:04:00Z</dcterms:created>
  <dc:creator>董小燕</dc:creator>
  <cp:lastModifiedBy>董小燕</cp:lastModifiedBy>
  <dcterms:modified xsi:type="dcterms:W3CDTF">2022-09-09T07:42:36Z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B253AFCE936344FCAC683F99B4D767D6</vt:lpwstr>
  </property>
</Properties>
</file>