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8E" w:rsidRPr="0070538E" w:rsidRDefault="0070538E" w:rsidP="0070538E">
      <w:pPr>
        <w:widowControl/>
        <w:shd w:val="clear" w:color="auto" w:fill="FFFFFF"/>
        <w:spacing w:after="272" w:line="571" w:lineRule="atLeast"/>
        <w:jc w:val="left"/>
        <w:outlineLvl w:val="0"/>
        <w:rPr>
          <w:rFonts w:ascii="微软雅黑" w:eastAsia="微软雅黑" w:hAnsi="微软雅黑" w:cs="宋体" w:hint="eastAsia"/>
          <w:b/>
          <w:bCs/>
          <w:color w:val="333333"/>
          <w:kern w:val="36"/>
          <w:sz w:val="38"/>
          <w:szCs w:val="38"/>
        </w:rPr>
      </w:pPr>
      <w:r w:rsidRPr="0070538E">
        <w:rPr>
          <w:rFonts w:ascii="微软雅黑" w:eastAsia="微软雅黑" w:hAnsi="微软雅黑" w:cs="宋体" w:hint="eastAsia"/>
          <w:b/>
          <w:bCs/>
          <w:color w:val="333333"/>
          <w:kern w:val="36"/>
          <w:sz w:val="38"/>
          <w:szCs w:val="38"/>
        </w:rPr>
        <w:t>中信证券股份有限公司中信证券卓越成长两年持有期混合型集合资产管理计划开放日常申购、赎回业务公告</w:t>
      </w:r>
    </w:p>
    <w:p w:rsidR="0070538E" w:rsidRPr="0070538E" w:rsidRDefault="0070538E" w:rsidP="0070538E">
      <w:pPr>
        <w:widowControl/>
        <w:shd w:val="clear" w:color="auto" w:fill="FFFFFF"/>
        <w:spacing w:line="380" w:lineRule="atLeast"/>
        <w:jc w:val="left"/>
        <w:rPr>
          <w:rFonts w:ascii="微软雅黑" w:eastAsia="微软雅黑" w:hAnsi="微软雅黑" w:cs="宋体" w:hint="eastAsia"/>
          <w:color w:val="555555"/>
          <w:kern w:val="0"/>
          <w:sz w:val="19"/>
          <w:szCs w:val="19"/>
        </w:rPr>
      </w:pPr>
      <w:r w:rsidRPr="0070538E">
        <w:rPr>
          <w:rFonts w:ascii="微软雅黑" w:eastAsia="微软雅黑" w:hAnsi="微软雅黑" w:cs="宋体" w:hint="eastAsia"/>
          <w:color w:val="555555"/>
          <w:kern w:val="0"/>
          <w:sz w:val="19"/>
          <w:szCs w:val="19"/>
        </w:rPr>
        <w:t> </w:t>
      </w:r>
    </w:p>
    <w:p w:rsidR="0070538E" w:rsidRPr="0070538E" w:rsidRDefault="0070538E" w:rsidP="0070538E">
      <w:pPr>
        <w:widowControl/>
        <w:shd w:val="clear" w:color="auto" w:fill="FFFFFF"/>
        <w:spacing w:line="380" w:lineRule="atLeast"/>
        <w:jc w:val="center"/>
        <w:rPr>
          <w:rFonts w:ascii="宋体" w:eastAsia="宋体" w:hAnsi="宋体" w:cs="宋体" w:hint="eastAsia"/>
          <w:color w:val="555555"/>
          <w:kern w:val="0"/>
          <w:sz w:val="24"/>
          <w:szCs w:val="24"/>
        </w:rPr>
      </w:pPr>
    </w:p>
    <w:p w:rsidR="0070538E" w:rsidRPr="0070538E" w:rsidRDefault="0070538E" w:rsidP="0070538E">
      <w:pPr>
        <w:widowControl/>
        <w:shd w:val="clear" w:color="auto" w:fill="FFFFFF"/>
        <w:spacing w:line="560" w:lineRule="atLeast"/>
        <w:jc w:val="center"/>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公告送出日期：</w:t>
      </w:r>
      <w:r w:rsidRPr="0070538E">
        <w:rPr>
          <w:rFonts w:ascii="宋体" w:eastAsia="宋体" w:hAnsi="宋体" w:cs="宋体" w:hint="eastAsia"/>
          <w:color w:val="555555"/>
          <w:kern w:val="0"/>
          <w:sz w:val="24"/>
          <w:szCs w:val="24"/>
          <w:bdr w:val="none" w:sz="0" w:space="0" w:color="auto" w:frame="1"/>
        </w:rPr>
        <w:t>2020年6月1日（基金合同生效日）</w:t>
      </w:r>
    </w:p>
    <w:p w:rsidR="0070538E" w:rsidRPr="0070538E" w:rsidRDefault="0070538E" w:rsidP="0070538E">
      <w:pPr>
        <w:widowControl/>
        <w:shd w:val="clear" w:color="auto" w:fill="FFFFFF"/>
        <w:spacing w:line="560" w:lineRule="atLeast"/>
        <w:jc w:val="center"/>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 </w:t>
      </w:r>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bookmarkStart w:id="0" w:name="_Toc275961395"/>
      <w:r w:rsidRPr="0070538E">
        <w:rPr>
          <w:rFonts w:ascii="宋体" w:eastAsia="宋体" w:hAnsi="宋体" w:cs="宋体" w:hint="eastAsia"/>
          <w:color w:val="000000"/>
          <w:kern w:val="0"/>
          <w:sz w:val="24"/>
          <w:szCs w:val="24"/>
          <w:bdr w:val="none" w:sz="0" w:space="0" w:color="auto" w:frame="1"/>
        </w:rPr>
        <w:t>1</w:t>
      </w:r>
      <w:r w:rsidRPr="0070538E">
        <w:rPr>
          <w:rFonts w:ascii="宋体" w:eastAsia="宋体" w:hAnsi="宋体" w:cs="宋体" w:hint="eastAsia"/>
          <w:color w:val="000000"/>
          <w:kern w:val="0"/>
          <w:sz w:val="24"/>
        </w:rPr>
        <w:t> </w:t>
      </w:r>
      <w:bookmarkEnd w:id="0"/>
      <w:r w:rsidRPr="0070538E">
        <w:rPr>
          <w:rFonts w:ascii="宋体" w:eastAsia="宋体" w:hAnsi="宋体" w:cs="宋体" w:hint="eastAsia"/>
          <w:color w:val="000000"/>
          <w:kern w:val="0"/>
          <w:sz w:val="24"/>
          <w:szCs w:val="24"/>
          <w:bdr w:val="none" w:sz="0" w:space="0" w:color="auto" w:frame="1"/>
        </w:rPr>
        <w:t>公告基本信息</w:t>
      </w:r>
    </w:p>
    <w:tbl>
      <w:tblPr>
        <w:tblW w:w="0" w:type="dxa"/>
        <w:jc w:val="center"/>
        <w:tblCellMar>
          <w:left w:w="0" w:type="dxa"/>
          <w:right w:w="0" w:type="dxa"/>
        </w:tblCellMar>
        <w:tblLook w:val="04A0"/>
      </w:tblPr>
      <w:tblGrid>
        <w:gridCol w:w="2015"/>
        <w:gridCol w:w="2169"/>
        <w:gridCol w:w="2169"/>
        <w:gridCol w:w="2169"/>
      </w:tblGrid>
      <w:tr w:rsidR="0070538E" w:rsidRPr="0070538E" w:rsidTr="0070538E">
        <w:trPr>
          <w:jc w:val="center"/>
        </w:trPr>
        <w:tc>
          <w:tcPr>
            <w:tcW w:w="4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基金名称</w:t>
            </w:r>
          </w:p>
        </w:tc>
        <w:tc>
          <w:tcPr>
            <w:tcW w:w="435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中信证券卓越成长两年持有期混合型集合资产管理计划</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基金简称</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中信证券卓越成长</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基金主代码</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900010</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基金运作方式</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契约型开放式</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基金合同生效日</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2020年6月1日</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基金管理人名称</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中信证券股份有限公司</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基金托管人名称</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中信银行股份有限公司</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基金注册登记机构名称</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中国证券登记结算有限责任公司</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公告依据</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《中华人民共和国证券投资基金法》及配套法规、《中信证券卓越成长两年持有期混合型集合资产管理计划资产管理合同》、《中信证券卓越成长两年持有期混合型集合资产管理计划招募说明书》</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申购起始日</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2020年6月1日（基金合同生效日）</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lastRenderedPageBreak/>
              <w:t>赎回起始日</w:t>
            </w:r>
          </w:p>
        </w:tc>
        <w:tc>
          <w:tcPr>
            <w:tcW w:w="43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2020年6月1日（基金合同生效日）</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下属分级基金的基金简称</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中信证券卓越成长A</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中信证券卓越成长B</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中信证券卓越成长C</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下属分级基金的交易代码</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53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900010</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53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900090</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53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900100</w:t>
            </w:r>
          </w:p>
        </w:tc>
      </w:tr>
      <w:tr w:rsidR="0070538E" w:rsidRPr="0070538E" w:rsidTr="0070538E">
        <w:trPr>
          <w:jc w:val="center"/>
        </w:trPr>
        <w:tc>
          <w:tcPr>
            <w:tcW w:w="4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该分级基金是否开放申购、赎回（转换、定期定额投资）</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开放赎回</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38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开放申购、赎回</w:t>
            </w:r>
          </w:p>
        </w:tc>
        <w:tc>
          <w:tcPr>
            <w:tcW w:w="4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538E" w:rsidRPr="0070538E" w:rsidRDefault="0070538E" w:rsidP="0070538E">
            <w:pPr>
              <w:widowControl/>
              <w:spacing w:line="560" w:lineRule="atLeast"/>
              <w:jc w:val="left"/>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开放申购、赎回</w:t>
            </w:r>
          </w:p>
        </w:tc>
      </w:tr>
    </w:tbl>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hint="eastAsia"/>
          <w:color w:val="555555"/>
          <w:kern w:val="0"/>
          <w:sz w:val="16"/>
          <w:szCs w:val="16"/>
        </w:rPr>
      </w:pPr>
      <w:bookmarkStart w:id="1" w:name="_Toc275961396"/>
      <w:r w:rsidRPr="0070538E">
        <w:rPr>
          <w:rFonts w:ascii="宋体" w:eastAsia="宋体" w:hAnsi="宋体" w:cs="宋体" w:hint="eastAsia"/>
          <w:color w:val="000000"/>
          <w:kern w:val="0"/>
          <w:sz w:val="24"/>
          <w:szCs w:val="24"/>
          <w:bdr w:val="none" w:sz="0" w:space="0" w:color="auto" w:frame="1"/>
        </w:rPr>
        <w:t>2</w:t>
      </w:r>
      <w:r w:rsidRPr="0070538E">
        <w:rPr>
          <w:rFonts w:ascii="宋体" w:eastAsia="宋体" w:hAnsi="宋体" w:cs="宋体" w:hint="eastAsia"/>
          <w:color w:val="000000"/>
          <w:kern w:val="0"/>
          <w:sz w:val="24"/>
        </w:rPr>
        <w:t> </w:t>
      </w:r>
      <w:bookmarkEnd w:id="1"/>
      <w:r w:rsidRPr="0070538E">
        <w:rPr>
          <w:rFonts w:ascii="宋体" w:eastAsia="宋体" w:hAnsi="宋体" w:cs="宋体" w:hint="eastAsia"/>
          <w:color w:val="000000"/>
          <w:kern w:val="0"/>
          <w:sz w:val="24"/>
          <w:szCs w:val="24"/>
          <w:bdr w:val="none" w:sz="0" w:space="0" w:color="auto" w:frame="1"/>
        </w:rPr>
        <w:t>日常申购、赎回业务的办理时间</w:t>
      </w:r>
    </w:p>
    <w:p w:rsidR="0070538E" w:rsidRPr="0070538E" w:rsidRDefault="0070538E" w:rsidP="0070538E">
      <w:pPr>
        <w:widowControl/>
        <w:shd w:val="clear" w:color="auto" w:fill="FFFFFF"/>
        <w:spacing w:line="560" w:lineRule="atLeast"/>
        <w:ind w:firstLine="420"/>
        <w:jc w:val="left"/>
        <w:rPr>
          <w:rFonts w:ascii="宋体" w:eastAsia="宋体" w:hAnsi="宋体" w:cs="宋体" w:hint="eastAsia"/>
          <w:color w:val="555555"/>
          <w:kern w:val="0"/>
          <w:sz w:val="24"/>
          <w:szCs w:val="24"/>
        </w:rPr>
      </w:pPr>
      <w:r w:rsidRPr="0070538E">
        <w:rPr>
          <w:rFonts w:ascii="宋体" w:eastAsia="宋体" w:hAnsi="宋体" w:cs="宋体" w:hint="eastAsia"/>
          <w:color w:val="000000"/>
          <w:kern w:val="0"/>
          <w:sz w:val="24"/>
          <w:szCs w:val="24"/>
          <w:bdr w:val="none" w:sz="0" w:space="0" w:color="auto" w:frame="1"/>
        </w:rPr>
        <w:t>投资者在开放日办理集合计划份额的申购和赎回，具体办理时间为上海证券交易所、深圳证券交易所的正常交易日的交易时间，但集合计划管理人根据法律法规、中国证监会的要求或资产管理合同的规定公告暂停申购、赎回时除外。</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资产管理合同生效后，若出现新的证券、期货交易市场、证券、期货交易所交易时间变更或其他特殊情况，集合计划管理人将视情况对前述开放日及开放时间进行相应的调整，但应在实施日前依照《公开募集证券投资基金信息披露管理办法》的有关规定在指定媒介上公告。</w:t>
      </w:r>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bookmarkStart w:id="2" w:name="_Toc275961397"/>
      <w:r w:rsidRPr="0070538E">
        <w:rPr>
          <w:rFonts w:ascii="宋体" w:eastAsia="宋体" w:hAnsi="宋体" w:cs="宋体" w:hint="eastAsia"/>
          <w:color w:val="000000"/>
          <w:kern w:val="0"/>
          <w:sz w:val="24"/>
          <w:szCs w:val="24"/>
          <w:bdr w:val="none" w:sz="0" w:space="0" w:color="auto" w:frame="1"/>
        </w:rPr>
        <w:t>3</w:t>
      </w:r>
      <w:r w:rsidRPr="0070538E">
        <w:rPr>
          <w:rFonts w:ascii="宋体" w:eastAsia="宋体" w:hAnsi="宋体" w:cs="宋体" w:hint="eastAsia"/>
          <w:color w:val="000000"/>
          <w:kern w:val="0"/>
          <w:sz w:val="24"/>
        </w:rPr>
        <w:t> </w:t>
      </w:r>
      <w:bookmarkEnd w:id="2"/>
      <w:r w:rsidRPr="0070538E">
        <w:rPr>
          <w:rFonts w:ascii="宋体" w:eastAsia="宋体" w:hAnsi="宋体" w:cs="宋体" w:hint="eastAsia"/>
          <w:color w:val="000000"/>
          <w:kern w:val="0"/>
          <w:sz w:val="24"/>
          <w:szCs w:val="24"/>
          <w:bdr w:val="none" w:sz="0" w:space="0" w:color="auto" w:frame="1"/>
        </w:rPr>
        <w:t>日常申购业务</w:t>
      </w:r>
    </w:p>
    <w:p w:rsidR="0070538E" w:rsidRPr="0070538E" w:rsidRDefault="0070538E" w:rsidP="0070538E">
      <w:pPr>
        <w:widowControl/>
        <w:shd w:val="clear" w:color="auto" w:fill="FFFFFF"/>
        <w:spacing w:line="560" w:lineRule="atLeast"/>
        <w:jc w:val="left"/>
        <w:rPr>
          <w:rFonts w:ascii="宋体" w:eastAsia="宋体" w:hAnsi="宋体" w:cs="宋体" w:hint="eastAsia"/>
          <w:color w:val="555555"/>
          <w:kern w:val="0"/>
          <w:sz w:val="24"/>
          <w:szCs w:val="24"/>
        </w:rPr>
      </w:pPr>
      <w:r w:rsidRPr="0070538E">
        <w:rPr>
          <w:rFonts w:ascii="宋体" w:eastAsia="宋体" w:hAnsi="宋体" w:cs="宋体" w:hint="eastAsia"/>
          <w:b/>
          <w:bCs/>
          <w:color w:val="000000"/>
          <w:kern w:val="0"/>
          <w:sz w:val="24"/>
          <w:szCs w:val="24"/>
          <w:bdr w:val="none" w:sz="0" w:space="0" w:color="auto" w:frame="1"/>
        </w:rPr>
        <w:t>3.1</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申购金额限制</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投资者通过销售机构（包括代销机构或中信证券股份有限公司网上直销、直销中心柜台）首次申购本集合计划份额的单笔最低限额为人民币1元（含申购费，下同），追加申购单笔最低限额为1元。</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投资者通过直销中心柜台首次申购集合计划份额的单笔最低限额为人民币1元，追加申购单笔最低限额为人民币1元。实际操作中，各销售机构在符合上述</w:t>
      </w:r>
      <w:r w:rsidRPr="0070538E">
        <w:rPr>
          <w:rFonts w:ascii="宋体" w:eastAsia="宋体" w:hAnsi="宋体" w:cs="宋体" w:hint="eastAsia"/>
          <w:color w:val="000000"/>
          <w:kern w:val="0"/>
          <w:sz w:val="24"/>
          <w:szCs w:val="24"/>
          <w:bdr w:val="none" w:sz="0" w:space="0" w:color="auto" w:frame="1"/>
        </w:rPr>
        <w:lastRenderedPageBreak/>
        <w:t>规定的前提下，可根据情况调高首次申购和追加申购的最低金额，具体以销售机构公布的为准，投资人需遵循销售机构的相关规定。</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 </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3.2</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申购费率</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本集合计划A类计划份额不开放申购（红利再投资除外）。</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本集合计划B类计划份额在申购时收取申购费用，C类计划份额不收取申购费用。本集合计划B类计划份额的申购费率按申购金额进行分档。投资人在一天之内如果有多笔申购，适用费率按单笔分别计算。</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B类计划份额的具体申购费率如下表所示：</w:t>
      </w:r>
    </w:p>
    <w:tbl>
      <w:tblPr>
        <w:tblW w:w="0" w:type="dxa"/>
        <w:tblCellMar>
          <w:left w:w="0" w:type="dxa"/>
          <w:right w:w="0" w:type="dxa"/>
        </w:tblCellMar>
        <w:tblLook w:val="04A0"/>
      </w:tblPr>
      <w:tblGrid>
        <w:gridCol w:w="4261"/>
        <w:gridCol w:w="4261"/>
      </w:tblGrid>
      <w:tr w:rsidR="0070538E" w:rsidRPr="0070538E" w:rsidTr="0070538E">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申购确认金额（M）</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申购费率</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M＜100万</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1.5%</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100万≤M＜300万</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1.2%</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300万≤M＜500万</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0.8%</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M≥500万</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kern w:val="0"/>
                <w:sz w:val="24"/>
                <w:szCs w:val="24"/>
                <w:bdr w:val="none" w:sz="0" w:space="0" w:color="auto" w:frame="1"/>
              </w:rPr>
              <w:t>每笔1000元</w:t>
            </w:r>
          </w:p>
        </w:tc>
      </w:tr>
    </w:tbl>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申购费用由申购B类计划份额的投资者承担，主要用于支付市场推广、销售等各项费用，不列入集合计划财产。</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 </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3.3</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其他与申购相关的事项</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无</w:t>
      </w:r>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bookmarkStart w:id="3" w:name="_Toc275961398"/>
      <w:r w:rsidRPr="0070538E">
        <w:rPr>
          <w:rFonts w:ascii="宋体" w:eastAsia="宋体" w:hAnsi="宋体" w:cs="宋体" w:hint="eastAsia"/>
          <w:color w:val="000000"/>
          <w:kern w:val="0"/>
          <w:sz w:val="24"/>
          <w:szCs w:val="24"/>
          <w:bdr w:val="none" w:sz="0" w:space="0" w:color="auto" w:frame="1"/>
        </w:rPr>
        <w:t>4</w:t>
      </w:r>
      <w:r w:rsidRPr="0070538E">
        <w:rPr>
          <w:rFonts w:ascii="宋体" w:eastAsia="宋体" w:hAnsi="宋体" w:cs="宋体" w:hint="eastAsia"/>
          <w:color w:val="000000"/>
          <w:kern w:val="0"/>
          <w:sz w:val="24"/>
        </w:rPr>
        <w:t> </w:t>
      </w:r>
      <w:bookmarkEnd w:id="3"/>
      <w:r w:rsidRPr="0070538E">
        <w:rPr>
          <w:rFonts w:ascii="宋体" w:eastAsia="宋体" w:hAnsi="宋体" w:cs="宋体" w:hint="eastAsia"/>
          <w:color w:val="000000"/>
          <w:kern w:val="0"/>
          <w:sz w:val="24"/>
          <w:szCs w:val="24"/>
          <w:bdr w:val="none" w:sz="0" w:space="0" w:color="auto" w:frame="1"/>
        </w:rPr>
        <w:t>日常赎回业务</w:t>
      </w:r>
    </w:p>
    <w:p w:rsidR="0070538E" w:rsidRPr="0070538E" w:rsidRDefault="0070538E" w:rsidP="0070538E">
      <w:pPr>
        <w:widowControl/>
        <w:shd w:val="clear" w:color="auto" w:fill="FFFFFF"/>
        <w:spacing w:line="560" w:lineRule="atLeast"/>
        <w:jc w:val="left"/>
        <w:rPr>
          <w:rFonts w:ascii="宋体" w:eastAsia="宋体" w:hAnsi="宋体" w:cs="宋体" w:hint="eastAsia"/>
          <w:color w:val="555555"/>
          <w:kern w:val="0"/>
          <w:sz w:val="24"/>
          <w:szCs w:val="24"/>
        </w:rPr>
      </w:pPr>
      <w:r w:rsidRPr="0070538E">
        <w:rPr>
          <w:rFonts w:ascii="宋体" w:eastAsia="宋体" w:hAnsi="宋体" w:cs="宋体" w:hint="eastAsia"/>
          <w:b/>
          <w:bCs/>
          <w:color w:val="000000"/>
          <w:kern w:val="0"/>
          <w:sz w:val="24"/>
          <w:szCs w:val="24"/>
          <w:bdr w:val="none" w:sz="0" w:space="0" w:color="auto" w:frame="1"/>
        </w:rPr>
        <w:t>4.1</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赎回份额限制</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本集合计划A类计划份额只开放赎回，不开放申购（红利再投资除外）。</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B类或C类计划份额每个开放日开放申购，但本集合计划对集合计划份额持有人持有的B类或C类计划份额均设置两年的最短持有期限。在最短持有期限内，B类或C类计划份额不能赎回；在最短持有期限到期后的下一个工作日起（含），B类或C类计划份额持有人方可就该计划份额提出赎回申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对于每份B类或C类计划份额，最短持有期限为自B类或C类计划份额申购确认日起（含）至B类或C类计划份额申购确认日的两年后对日（如不存在该对日或该对日为非工作日的，则顺延至下一工作日）的前一日的期间。</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B类或C类计划份额在最短持有期限到期后的下一个工作日起（含），B类或C类计划份额持有人方可就该计划份额提出赎回申请。如果投资人多次申购本集合计划B类或C类计划份额，则其持有的B类或C类计划份额的赎回开放时间可能不同。</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4.2</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赎回费率</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A类计划份额收取赎回费。赎回费率按集合计划份额持有期限递减。本集合计划对集合计划份额持有人持有的B类或C类计划份额均设置两年的最短持有期限，B类计划份额和C类计划份额在两年最短持有期限后赎回不收取赎回费用。</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（1）A类计划份额的具体赎回费率如下表所示：</w:t>
      </w:r>
    </w:p>
    <w:tbl>
      <w:tblPr>
        <w:tblW w:w="0" w:type="dxa"/>
        <w:tblCellMar>
          <w:left w:w="0" w:type="dxa"/>
          <w:right w:w="0" w:type="dxa"/>
        </w:tblCellMar>
        <w:tblLook w:val="04A0"/>
      </w:tblPr>
      <w:tblGrid>
        <w:gridCol w:w="4261"/>
        <w:gridCol w:w="4261"/>
      </w:tblGrid>
      <w:tr w:rsidR="0070538E" w:rsidRPr="0070538E" w:rsidTr="0070538E">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连续持有时间（N）</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赎回费率</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N＜7</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日</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1.5%</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7</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日≤N＜30</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日</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0.75%</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30日≤N＜1年</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0.7%</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1年≤N＜2年</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0.5%</w:t>
            </w:r>
          </w:p>
        </w:tc>
      </w:tr>
      <w:tr w:rsidR="0070538E" w:rsidRPr="0070538E" w:rsidTr="0070538E">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N≥2年</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70538E" w:rsidRPr="0070538E" w:rsidRDefault="0070538E" w:rsidP="0070538E">
            <w:pPr>
              <w:widowControl/>
              <w:spacing w:line="285" w:lineRule="atLeast"/>
              <w:jc w:val="center"/>
              <w:rPr>
                <w:rFonts w:ascii="宋体" w:eastAsia="宋体" w:hAnsi="宋体" w:cs="宋体"/>
                <w:kern w:val="0"/>
                <w:sz w:val="24"/>
                <w:szCs w:val="24"/>
              </w:rPr>
            </w:pPr>
            <w:r w:rsidRPr="0070538E">
              <w:rPr>
                <w:rFonts w:ascii="宋体" w:eastAsia="宋体" w:hAnsi="宋体" w:cs="宋体" w:hint="eastAsia"/>
                <w:color w:val="000000"/>
                <w:kern w:val="0"/>
                <w:sz w:val="24"/>
                <w:szCs w:val="24"/>
                <w:bdr w:val="none" w:sz="0" w:space="0" w:color="auto" w:frame="1"/>
              </w:rPr>
              <w:t>0</w:t>
            </w:r>
          </w:p>
        </w:tc>
      </w:tr>
    </w:tbl>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注：N为持有期限，1年指365天。</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A类计划份额的赎回费用由赎回A类计划份额的集合计划份额持有人承担，在A类计划份额持有人赎回A类计划份额时收取。对持续持有期少于30日的投资人收取的赎回费全额计入集合计划财产；对持续持有期少于3个月且不少于30日的投资人收取的赎回费总额的75%计入集合计划财产；对持续持有期不少于3个月但少于6个月的投资人收取的赎回费总额的50%计入集合计划财产；对持续持有期不少于6个月的投资人收取的赎回费总额的25%计入集合计划财产。未</w:t>
      </w:r>
      <w:r w:rsidRPr="0070538E">
        <w:rPr>
          <w:rFonts w:ascii="宋体" w:eastAsia="宋体" w:hAnsi="宋体" w:cs="宋体" w:hint="eastAsia"/>
          <w:color w:val="000000"/>
          <w:kern w:val="0"/>
          <w:sz w:val="24"/>
          <w:szCs w:val="24"/>
          <w:bdr w:val="none" w:sz="0" w:space="0" w:color="auto" w:frame="1"/>
        </w:rPr>
        <w:lastRenderedPageBreak/>
        <w:t>归入集合计划财产的部分用于支付登记费和其他必要的手续费。（注：一个月为30日）</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注：A类计划份额持有时间从登记机构确认投资人持有原中信证券卓越成长股票集合资产管理计划份额之日起连续计算。</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（2）B类计划份额和C类计划份额在两年最短持有期限后赎回不收取赎回费用。</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4.3</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其他与赎回相关的事项</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无</w:t>
      </w:r>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bookmarkStart w:id="4" w:name="_Toc275961399"/>
      <w:r w:rsidRPr="0070538E">
        <w:rPr>
          <w:rFonts w:ascii="宋体" w:eastAsia="宋体" w:hAnsi="宋体" w:cs="宋体" w:hint="eastAsia"/>
          <w:color w:val="000000"/>
          <w:kern w:val="0"/>
          <w:sz w:val="24"/>
          <w:szCs w:val="24"/>
          <w:bdr w:val="none" w:sz="0" w:space="0" w:color="auto" w:frame="1"/>
        </w:rPr>
        <w:t>5</w:t>
      </w:r>
      <w:r w:rsidRPr="0070538E">
        <w:rPr>
          <w:rFonts w:ascii="宋体" w:eastAsia="宋体" w:hAnsi="宋体" w:cs="宋体" w:hint="eastAsia"/>
          <w:color w:val="000000"/>
          <w:kern w:val="0"/>
          <w:sz w:val="24"/>
        </w:rPr>
        <w:t> </w:t>
      </w:r>
      <w:bookmarkEnd w:id="4"/>
      <w:r w:rsidRPr="0070538E">
        <w:rPr>
          <w:rFonts w:ascii="宋体" w:eastAsia="宋体" w:hAnsi="宋体" w:cs="宋体" w:hint="eastAsia"/>
          <w:color w:val="000000"/>
          <w:kern w:val="0"/>
          <w:sz w:val="24"/>
          <w:szCs w:val="24"/>
          <w:bdr w:val="none" w:sz="0" w:space="0" w:color="auto" w:frame="1"/>
        </w:rPr>
        <w:t>日常转换业务</w:t>
      </w:r>
    </w:p>
    <w:p w:rsidR="0070538E" w:rsidRPr="0070538E" w:rsidRDefault="0070538E" w:rsidP="0070538E">
      <w:pPr>
        <w:widowControl/>
        <w:shd w:val="clear" w:color="auto" w:fill="FFFFFF"/>
        <w:spacing w:line="560" w:lineRule="atLeast"/>
        <w:jc w:val="left"/>
        <w:rPr>
          <w:rFonts w:ascii="宋体" w:eastAsia="宋体" w:hAnsi="宋体" w:cs="宋体" w:hint="eastAsia"/>
          <w:color w:val="555555"/>
          <w:kern w:val="0"/>
          <w:sz w:val="24"/>
          <w:szCs w:val="24"/>
        </w:rPr>
      </w:pPr>
      <w:r w:rsidRPr="0070538E">
        <w:rPr>
          <w:rFonts w:ascii="宋体" w:eastAsia="宋体" w:hAnsi="宋体" w:cs="宋体" w:hint="eastAsia"/>
          <w:b/>
          <w:bCs/>
          <w:color w:val="000000"/>
          <w:kern w:val="0"/>
          <w:sz w:val="24"/>
          <w:szCs w:val="24"/>
          <w:bdr w:val="none" w:sz="0" w:space="0" w:color="auto" w:frame="1"/>
        </w:rPr>
        <w:t>5.1</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转换费率</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本集合计划暂未开通转换业务。 如本集合计划日后开通转换业务，本集合计划管理人届时将根据相关法律法规及本集合计划合同约定公告。</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5.2</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其他与转换相关的事项</w:t>
      </w:r>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bookmarkStart w:id="5" w:name="_Toc275961400"/>
      <w:r w:rsidRPr="0070538E">
        <w:rPr>
          <w:rFonts w:ascii="宋体" w:eastAsia="宋体" w:hAnsi="宋体" w:cs="宋体" w:hint="eastAsia"/>
          <w:color w:val="000000"/>
          <w:kern w:val="0"/>
          <w:sz w:val="24"/>
          <w:szCs w:val="24"/>
          <w:bdr w:val="none" w:sz="0" w:space="0" w:color="auto" w:frame="1"/>
        </w:rPr>
        <w:t>6</w:t>
      </w:r>
      <w:r w:rsidRPr="0070538E">
        <w:rPr>
          <w:rFonts w:ascii="宋体" w:eastAsia="宋体" w:hAnsi="宋体" w:cs="宋体" w:hint="eastAsia"/>
          <w:color w:val="000000"/>
          <w:kern w:val="0"/>
          <w:sz w:val="24"/>
        </w:rPr>
        <w:t> </w:t>
      </w:r>
      <w:bookmarkEnd w:id="5"/>
      <w:r w:rsidRPr="0070538E">
        <w:rPr>
          <w:rFonts w:ascii="宋体" w:eastAsia="宋体" w:hAnsi="宋体" w:cs="宋体" w:hint="eastAsia"/>
          <w:color w:val="000000"/>
          <w:kern w:val="0"/>
          <w:sz w:val="24"/>
          <w:szCs w:val="24"/>
          <w:bdr w:val="none" w:sz="0" w:space="0" w:color="auto" w:frame="1"/>
        </w:rPr>
        <w:t>定期定额投资业务</w:t>
      </w:r>
    </w:p>
    <w:p w:rsidR="0070538E" w:rsidRPr="0070538E" w:rsidRDefault="0070538E" w:rsidP="0070538E">
      <w:pPr>
        <w:widowControl/>
        <w:shd w:val="clear" w:color="auto" w:fill="FFFFFF"/>
        <w:spacing w:line="560" w:lineRule="atLeast"/>
        <w:ind w:firstLine="420"/>
        <w:jc w:val="left"/>
        <w:rPr>
          <w:rFonts w:ascii="宋体" w:eastAsia="宋体" w:hAnsi="宋体" w:cs="宋体" w:hint="eastAsia"/>
          <w:color w:val="555555"/>
          <w:kern w:val="0"/>
          <w:sz w:val="24"/>
          <w:szCs w:val="24"/>
        </w:rPr>
      </w:pPr>
      <w:bookmarkStart w:id="6" w:name="_Toc275961401"/>
      <w:r w:rsidRPr="0070538E">
        <w:rPr>
          <w:rFonts w:ascii="宋体" w:eastAsia="宋体" w:hAnsi="宋体" w:cs="宋体" w:hint="eastAsia"/>
          <w:color w:val="000000"/>
          <w:kern w:val="0"/>
          <w:sz w:val="24"/>
          <w:szCs w:val="24"/>
          <w:bdr w:val="none" w:sz="0" w:space="0" w:color="auto" w:frame="1"/>
        </w:rPr>
        <w:t>本集合计划暂未开通定期定额投资业务。 如本集合计划日后开通定期定额投资业务，本集合计划管理人届时将根据相关法律法规及本集合计划合同约定公告。</w:t>
      </w:r>
      <w:bookmarkEnd w:id="6"/>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r w:rsidRPr="0070538E">
        <w:rPr>
          <w:rFonts w:ascii="宋体" w:eastAsia="宋体" w:hAnsi="宋体" w:cs="宋体" w:hint="eastAsia"/>
          <w:color w:val="000000"/>
          <w:kern w:val="0"/>
          <w:sz w:val="24"/>
          <w:szCs w:val="24"/>
          <w:bdr w:val="none" w:sz="0" w:space="0" w:color="auto" w:frame="1"/>
        </w:rPr>
        <w:t>7</w:t>
      </w:r>
      <w:r w:rsidRPr="0070538E">
        <w:rPr>
          <w:rFonts w:ascii="宋体" w:eastAsia="宋体" w:hAnsi="宋体" w:cs="宋体" w:hint="eastAsia"/>
          <w:color w:val="000000"/>
          <w:kern w:val="0"/>
          <w:sz w:val="24"/>
        </w:rPr>
        <w:t> </w:t>
      </w:r>
      <w:r w:rsidRPr="0070538E">
        <w:rPr>
          <w:rFonts w:ascii="宋体" w:eastAsia="宋体" w:hAnsi="宋体" w:cs="宋体" w:hint="eastAsia"/>
          <w:color w:val="000000"/>
          <w:kern w:val="0"/>
          <w:sz w:val="24"/>
          <w:szCs w:val="24"/>
          <w:bdr w:val="none" w:sz="0" w:space="0" w:color="auto" w:frame="1"/>
        </w:rPr>
        <w:t>基金销售机构</w:t>
      </w:r>
    </w:p>
    <w:p w:rsidR="0070538E" w:rsidRPr="0070538E" w:rsidRDefault="0070538E" w:rsidP="0070538E">
      <w:pPr>
        <w:widowControl/>
        <w:shd w:val="clear" w:color="auto" w:fill="FFFFFF"/>
        <w:spacing w:line="560" w:lineRule="atLeast"/>
        <w:jc w:val="left"/>
        <w:rPr>
          <w:rFonts w:ascii="宋体" w:eastAsia="宋体" w:hAnsi="宋体" w:cs="宋体" w:hint="eastAsia"/>
          <w:color w:val="555555"/>
          <w:kern w:val="0"/>
          <w:sz w:val="24"/>
          <w:szCs w:val="24"/>
        </w:rPr>
      </w:pPr>
      <w:r w:rsidRPr="0070538E">
        <w:rPr>
          <w:rFonts w:ascii="宋体" w:eastAsia="宋体" w:hAnsi="宋体" w:cs="宋体" w:hint="eastAsia"/>
          <w:b/>
          <w:bCs/>
          <w:color w:val="000000"/>
          <w:kern w:val="0"/>
          <w:sz w:val="24"/>
          <w:szCs w:val="24"/>
          <w:bdr w:val="none" w:sz="0" w:space="0" w:color="auto" w:frame="1"/>
        </w:rPr>
        <w:t>7.1</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场外销售机构</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7.1.1</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直销机构</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集合计划管理人可根据有关法律法规的要求，择机开通直销。</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7.1.2</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场外非直销机构</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本集合计划B类份额、C类份额的销售机构包括：</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（1）中信证券股份有限公司：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注册地址：广东省深圳市福田区中心三路8</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号卓越时代广场（二期）北座</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办公地址：北京市朝阳区亮马桥路48</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号中信证券大厦</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法定代表人：张佑君</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客户咨询电话：95548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传真：010-60836029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联系人：王一通</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（2）中信证券（山东）股份有限公司：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注册地址：青岛市崂山区深圳路222</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号1</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号楼2001</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办公地址：青岛市市南区东海西路28</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号龙翔广场东座5</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法定代表人：姜晓林</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客户咨询电话：95548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传真：0532-85022605</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联系人：焦刚</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（3）中信证券华南股份有限公司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注册地址：广州市天河区珠江西路5号广州国际金融中心主塔19层、20层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办公地址：广州市天河区珠江西路5号广州国际金融中心主塔19层、20层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法定代表人：胡伏云</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传真：020-88836914</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95396</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联系人：陈靖</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集合计划管理人可根据有关法律法规的要求，选择其他符合要求的机构销售本集合计划，并及时在管理人网站披露。</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 </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本集合计划A类计划份额的销售机构包括：</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（1）中信证券股份有限公司：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注册地址：广东省深圳市福田区中心三路8</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号卓越时代广场（二期）北座</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办公地址：北京市朝阳区亮马桥路48</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号中信证券大厦</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法定代表人：张佑君</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客户咨询电话：95548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传真：010-60836029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联系人：王一通</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（2）中国工商银行股份有限公司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注册地址：北京市西城区复兴门内大街55号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 北京市西城区复兴门内大街55号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法定代表人：陈四清</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客户咨询电话：95588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传真：86-10-66107571</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联系人：谢宇晨</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（3）中国银行股份有限公司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注册地址：北京市西城区复兴门内大街1号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办公地址：北京市西城区复兴门内大街1号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法定代表人：刘连舸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网址：www.bankofchina.com</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客户咨询电话：95566</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联系人：苑博 </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（4）交通银行股份有限公司 </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住所：上海市浦东新区银城中路188号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办公地址：上海市浦东新区银城中路188号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法定代表人：任德奇</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电话：（021）58781234</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传真：（021）58408483</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联系人：王菁</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客户服务电话：95559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（5）中信银行股份有限公司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注册地址：北京市东城区朝阳门北大街8号富华大厦C座</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办公地址：北京市东城区朝阳门北大街9号文化大厦</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法定代表人：李庆萍</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客户咨询电话：95559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传真：010-85230049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联系人：王晓琳</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（6）中国邮政储蓄银行股份有限公司：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注册地址：北京市西城区金融大街3号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办公地址：北京市西城区金融大街3号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法定代表人：李国华</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客户咨询电话：95580</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传真：010-68858117</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联系人：孙小雅</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（7）中国光大银行股份有限公司：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注册地址：北京市西城区太平桥大街25号、甲25号中国光大中心</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办公地址：北京市西城区太平桥大街25号、甲25号中国光大中心</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法定代表人：李晓鹏</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客户咨询电话：95595</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传真：010-63639709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联系人：客户满意中心</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（8）华夏银行股份有限公司：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注册地址：北京市东城区建国门内大街22号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办公地址：北京市东城区建国门内大街22号华夏银行大厦</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法定代表人：李民吉</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客户咨询电话：95577</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传真：86-10-85239605 </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联系人：董金</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（9）中国民生银行股份有限公司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注册地址：北京市西城区复兴门内大街2号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办公地址：北京市西城区西绒线胡同28号天安国际办公楼</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法定代表人：洪崎</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客户咨询电话：95568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传真：86-10-58560720</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联系人：李晓鸣</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（10）兴业银行股份有限公司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注册地址：福建省福州市湖东路154号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办公地址：福建省福州市湖东路154号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法定代表人：陶以平（代为履行法定代表人职权）</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客户咨询电话：95561</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传真：021-62567779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联系人：孙琪虹</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（11）平安银行股份有限公司：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注册地址：深圳市罗湖区深南东路5047号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办公地址：深圳市罗湖区深南东路5047号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法定代表人：谢永林</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电话：0755-8208 8888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传真：0755-8201 1018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联系人：赵杨</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（12）江苏银行股份有限公司：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 南京市中华路26号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办公地址：南京市中华路26号</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 夏平</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95319</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025-58587038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 沈方伟</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（13）上海天天基金销售有限公司：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注册地址：上海市徐汇区龙田路190号2号楼二层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办公地址：上海市徐汇区宛平南路88号东方财富大厦</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法人代表：其实</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客户咨询电话：95021</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传真：021-64385308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联系人：张林</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（14）上海陆金所基金销售有限公司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注册地址：中国（上海）自由贸易试验区陆家嘴环路1333号14楼09单元</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办公地址：上海市浦东新区陆家嘴环路1333号平安大厦</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法人代表：王之光</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客户咨询电话：4008219031</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传真：021-22066653</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联系人：尹文光</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（15）北京肯特瑞基金销售有限公司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注册地址：北京市海淀区西三旗建材城中路12号17号平房157</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办公地址：北京市亦庄经济开发区京东大厦A座15层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法定代表人：江卉</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客户咨询电话：95118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传真：010-89189566</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联系人：苏湘然</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（16）中信期货有限公司：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注册地址：深圳市福田区中心三路8号卓越时代广场（二期）北座13层1301-1305室、14层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办公地址：深圳市福田区中心三路8号卓越时代广场（二期）北座13层1301-1305室、14层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法定代表人：张皓</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客户咨询电话：400-990-8826</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传真：021-60819988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联系人：刘宏莹</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（17）中信证券（山东）股份有限公司：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注册地址：青岛市崂山区深圳路222</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号1</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号楼2001</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办公地址：青岛市市南区东海西路28</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号龙翔广场东座5</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法定代表人：姜晓林</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客户咨询电话：95548</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传真：0532-85022605</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联系人：焦刚</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（18）中信证券华南股份有限公司</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注册地址：广州市天河区珠江西路5号广州国际金融中心主塔19层、20层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办公地址：广州市天河区珠江西路5号广州国际金融中心主塔19层、20层</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法定代表人：胡伏云</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传真：020-88836914</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客户咨询电话：</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95396</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联系人：陈靖</w:t>
      </w:r>
    </w:p>
    <w:p w:rsidR="0070538E" w:rsidRPr="0070538E" w:rsidRDefault="0070538E" w:rsidP="0070538E">
      <w:pPr>
        <w:widowControl/>
        <w:shd w:val="clear" w:color="auto" w:fill="FFFFFF"/>
        <w:spacing w:line="560" w:lineRule="atLeast"/>
        <w:jc w:val="left"/>
        <w:rPr>
          <w:rFonts w:ascii="宋体" w:eastAsia="宋体" w:hAnsi="宋体" w:cs="宋体"/>
          <w:color w:val="555555"/>
          <w:kern w:val="0"/>
          <w:sz w:val="24"/>
          <w:szCs w:val="24"/>
        </w:rPr>
      </w:pPr>
      <w:r w:rsidRPr="0070538E">
        <w:rPr>
          <w:rFonts w:ascii="宋体" w:eastAsia="宋体" w:hAnsi="宋体" w:cs="宋体" w:hint="eastAsia"/>
          <w:b/>
          <w:bCs/>
          <w:color w:val="000000"/>
          <w:kern w:val="0"/>
          <w:sz w:val="24"/>
          <w:szCs w:val="24"/>
          <w:bdr w:val="none" w:sz="0" w:space="0" w:color="auto" w:frame="1"/>
        </w:rPr>
        <w:t>7.2</w:t>
      </w:r>
      <w:r w:rsidRPr="0070538E">
        <w:rPr>
          <w:rFonts w:ascii="宋体" w:eastAsia="宋体" w:hAnsi="宋体" w:cs="宋体" w:hint="eastAsia"/>
          <w:b/>
          <w:bCs/>
          <w:color w:val="000000"/>
          <w:kern w:val="0"/>
          <w:sz w:val="24"/>
          <w:szCs w:val="24"/>
        </w:rPr>
        <w:t> </w:t>
      </w:r>
      <w:r w:rsidRPr="0070538E">
        <w:rPr>
          <w:rFonts w:ascii="宋体" w:eastAsia="宋体" w:hAnsi="宋体" w:cs="宋体" w:hint="eastAsia"/>
          <w:b/>
          <w:bCs/>
          <w:color w:val="000000"/>
          <w:kern w:val="0"/>
          <w:sz w:val="24"/>
          <w:szCs w:val="24"/>
          <w:bdr w:val="none" w:sz="0" w:space="0" w:color="auto" w:frame="1"/>
        </w:rPr>
        <w:t>场内销售机构</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无</w:t>
      </w:r>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bookmarkStart w:id="7" w:name="_Toc275961402"/>
      <w:r w:rsidRPr="0070538E">
        <w:rPr>
          <w:rFonts w:ascii="宋体" w:eastAsia="宋体" w:hAnsi="宋体" w:cs="宋体" w:hint="eastAsia"/>
          <w:color w:val="000000"/>
          <w:kern w:val="0"/>
          <w:sz w:val="24"/>
          <w:szCs w:val="24"/>
          <w:bdr w:val="none" w:sz="0" w:space="0" w:color="auto" w:frame="1"/>
        </w:rPr>
        <w:t>8</w:t>
      </w:r>
      <w:r w:rsidRPr="0070538E">
        <w:rPr>
          <w:rFonts w:ascii="宋体" w:eastAsia="宋体" w:hAnsi="宋体" w:cs="宋体" w:hint="eastAsia"/>
          <w:color w:val="000000"/>
          <w:kern w:val="0"/>
          <w:sz w:val="24"/>
        </w:rPr>
        <w:t> </w:t>
      </w:r>
      <w:bookmarkEnd w:id="7"/>
      <w:r w:rsidRPr="0070538E">
        <w:rPr>
          <w:rFonts w:ascii="宋体" w:eastAsia="宋体" w:hAnsi="宋体" w:cs="宋体" w:hint="eastAsia"/>
          <w:color w:val="000000"/>
          <w:kern w:val="0"/>
          <w:sz w:val="24"/>
          <w:szCs w:val="24"/>
          <w:bdr w:val="none" w:sz="0" w:space="0" w:color="auto" w:frame="1"/>
        </w:rPr>
        <w:t>基金份额净值公告/基金收益公告的披露安排</w:t>
      </w:r>
    </w:p>
    <w:p w:rsidR="0070538E" w:rsidRPr="0070538E" w:rsidRDefault="0070538E" w:rsidP="0070538E">
      <w:pPr>
        <w:widowControl/>
        <w:shd w:val="clear" w:color="auto" w:fill="FFFFFF"/>
        <w:spacing w:line="560" w:lineRule="atLeast"/>
        <w:ind w:firstLine="420"/>
        <w:jc w:val="left"/>
        <w:rPr>
          <w:rFonts w:ascii="宋体" w:eastAsia="宋体" w:hAnsi="宋体" w:cs="宋体" w:hint="eastAsia"/>
          <w:color w:val="555555"/>
          <w:kern w:val="0"/>
          <w:sz w:val="24"/>
          <w:szCs w:val="24"/>
        </w:rPr>
      </w:pPr>
      <w:r w:rsidRPr="0070538E">
        <w:rPr>
          <w:rFonts w:ascii="宋体" w:eastAsia="宋体" w:hAnsi="宋体" w:cs="宋体" w:hint="eastAsia"/>
          <w:color w:val="000000"/>
          <w:kern w:val="0"/>
          <w:sz w:val="24"/>
          <w:szCs w:val="24"/>
          <w:bdr w:val="none" w:sz="0" w:space="0" w:color="auto" w:frame="1"/>
        </w:rPr>
        <w:t>在开始办理集合计划份额申购或者赎回后，集合计划管理人应当在不晚于每个开放日的次日，通过指定网站、集合计划销售机构网站或者营业网点披露开放日的集合计划份额净值和集合计划份额累计净值。</w:t>
      </w:r>
    </w:p>
    <w:p w:rsidR="0070538E" w:rsidRPr="0070538E" w:rsidRDefault="0070538E" w:rsidP="0070538E">
      <w:pPr>
        <w:widowControl/>
        <w:shd w:val="clear" w:color="auto" w:fill="FFFFFF"/>
        <w:spacing w:line="560" w:lineRule="atLeast"/>
        <w:jc w:val="left"/>
        <w:outlineLvl w:val="1"/>
        <w:rPr>
          <w:rFonts w:ascii="微软雅黑" w:eastAsia="微软雅黑" w:hAnsi="微软雅黑" w:cs="宋体"/>
          <w:color w:val="555555"/>
          <w:kern w:val="0"/>
          <w:sz w:val="16"/>
          <w:szCs w:val="16"/>
        </w:rPr>
      </w:pPr>
      <w:bookmarkStart w:id="8" w:name="_Toc275961403"/>
      <w:r w:rsidRPr="0070538E">
        <w:rPr>
          <w:rFonts w:ascii="宋体" w:eastAsia="宋体" w:hAnsi="宋体" w:cs="宋体" w:hint="eastAsia"/>
          <w:color w:val="000000"/>
          <w:kern w:val="0"/>
          <w:sz w:val="24"/>
          <w:szCs w:val="24"/>
          <w:bdr w:val="none" w:sz="0" w:space="0" w:color="auto" w:frame="1"/>
        </w:rPr>
        <w:t>9</w:t>
      </w:r>
      <w:r w:rsidRPr="0070538E">
        <w:rPr>
          <w:rFonts w:ascii="宋体" w:eastAsia="宋体" w:hAnsi="宋体" w:cs="宋体" w:hint="eastAsia"/>
          <w:color w:val="000000"/>
          <w:kern w:val="0"/>
          <w:sz w:val="24"/>
        </w:rPr>
        <w:t> </w:t>
      </w:r>
      <w:bookmarkEnd w:id="8"/>
      <w:r w:rsidRPr="0070538E">
        <w:rPr>
          <w:rFonts w:ascii="宋体" w:eastAsia="宋体" w:hAnsi="宋体" w:cs="宋体" w:hint="eastAsia"/>
          <w:color w:val="000000"/>
          <w:kern w:val="0"/>
          <w:sz w:val="24"/>
          <w:szCs w:val="24"/>
          <w:bdr w:val="none" w:sz="0" w:space="0" w:color="auto" w:frame="1"/>
        </w:rPr>
        <w:t>其他需要提示的事项</w:t>
      </w:r>
    </w:p>
    <w:p w:rsidR="0070538E" w:rsidRPr="0070538E" w:rsidRDefault="0070538E" w:rsidP="0070538E">
      <w:pPr>
        <w:widowControl/>
        <w:shd w:val="clear" w:color="auto" w:fill="FFFFFF"/>
        <w:spacing w:line="560" w:lineRule="atLeast"/>
        <w:ind w:firstLine="420"/>
        <w:jc w:val="left"/>
        <w:rPr>
          <w:rFonts w:ascii="宋体" w:eastAsia="宋体" w:hAnsi="宋体" w:cs="宋体" w:hint="eastAsia"/>
          <w:color w:val="555555"/>
          <w:kern w:val="0"/>
          <w:sz w:val="24"/>
          <w:szCs w:val="24"/>
        </w:rPr>
      </w:pPr>
      <w:r w:rsidRPr="0070538E">
        <w:rPr>
          <w:rFonts w:ascii="宋体" w:eastAsia="宋体" w:hAnsi="宋体" w:cs="宋体" w:hint="eastAsia"/>
          <w:color w:val="000000"/>
          <w:kern w:val="0"/>
          <w:sz w:val="24"/>
          <w:szCs w:val="24"/>
          <w:bdr w:val="none" w:sz="0" w:space="0" w:color="auto" w:frame="1"/>
        </w:rPr>
        <w:t>（1）本公告仅对本集合计划开放申购、赎回有关事项予以说明。投资者欲了解本集合计划的详细情况，可通过本公司网站查阅《中信证券卓越成长两年持有期混合型集合资产管理计划资产管理合同》和《中信证券卓越成长两年持有期混合型集合资产管理计划招募说明书》等相关资料。</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（2）集合计划管理人可根据市场情况，合理调整对申购金额和赎回份额的数量限制，集合计划管理人进行前述调整须按照《公开募集证券投资基金信息披露管理办法》有关规定，在指定媒体上公告。</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lastRenderedPageBreak/>
        <w:t>（3）有关本集合计划开放申购、赎回的具体规定若有变化，本公司将另行公告。</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（4）本公告所述的“基金”也包括按照《证券公司大集合资产管理业务适用&lt;关于规范金融机构资产管理业务的指导意见&gt;操作指引》的要求进行变更后的证券公司大集合资产管理产品。</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5）风险提示：集合计划管理人承诺以诚实信用、勤勉尽责的原则管理和运用集合计划资产，但不保证集合计划一定盈利，也不保证最低收益。投资者投资于本集合计划前应认真阅读本集合计划的合同、招募说明书等法律文件。本集合计划B类或C类计划份额每个开放日开放申购，但本集合计划对集合计划份额持有人持有的B类或C类计划份额均设置两年的最短持有期限。在最短持有期限内，B类或C类计划份额不能赎回；在最短持有期限到期后的下一个工作日起（含），B类或C类计划份额持有人方可就该计划份额提出赎回申请。因此集合计划开放日常赎回不代表投资人可随时进行赎回。</w:t>
      </w:r>
    </w:p>
    <w:p w:rsidR="0070538E" w:rsidRPr="0070538E" w:rsidRDefault="0070538E" w:rsidP="0070538E">
      <w:pPr>
        <w:widowControl/>
        <w:shd w:val="clear" w:color="auto" w:fill="FFFFFF"/>
        <w:spacing w:line="560" w:lineRule="atLeast"/>
        <w:ind w:firstLine="420"/>
        <w:jc w:val="left"/>
        <w:rPr>
          <w:rFonts w:ascii="宋体" w:eastAsia="宋体" w:hAnsi="宋体" w:cs="宋体"/>
          <w:color w:val="555555"/>
          <w:kern w:val="0"/>
          <w:sz w:val="24"/>
          <w:szCs w:val="24"/>
        </w:rPr>
      </w:pPr>
      <w:r w:rsidRPr="0070538E">
        <w:rPr>
          <w:rFonts w:ascii="宋体" w:eastAsia="宋体" w:hAnsi="宋体" w:cs="宋体" w:hint="eastAsia"/>
          <w:color w:val="000000"/>
          <w:kern w:val="0"/>
          <w:sz w:val="24"/>
          <w:szCs w:val="24"/>
          <w:bdr w:val="none" w:sz="0" w:space="0" w:color="auto" w:frame="1"/>
        </w:rPr>
        <w:t>（6）咨询方式：中信证券股份有限公司客户服务热线：95548，公司网址：</w:t>
      </w:r>
      <w:r w:rsidRPr="0070538E">
        <w:rPr>
          <w:rFonts w:ascii="宋体" w:eastAsia="宋体" w:hAnsi="宋体" w:cs="宋体" w:hint="eastAsia"/>
          <w:color w:val="000000"/>
          <w:kern w:val="0"/>
          <w:sz w:val="24"/>
          <w:szCs w:val="24"/>
        </w:rPr>
        <w:t> </w:t>
      </w:r>
      <w:r w:rsidRPr="0070538E">
        <w:rPr>
          <w:rFonts w:ascii="宋体" w:eastAsia="宋体" w:hAnsi="宋体" w:cs="宋体" w:hint="eastAsia"/>
          <w:color w:val="000000"/>
          <w:kern w:val="0"/>
          <w:sz w:val="24"/>
          <w:szCs w:val="24"/>
          <w:bdr w:val="none" w:sz="0" w:space="0" w:color="auto" w:frame="1"/>
        </w:rPr>
        <w:t>www.cs.ecitic.com。</w:t>
      </w:r>
    </w:p>
    <w:p w:rsidR="0070538E" w:rsidRPr="0070538E" w:rsidRDefault="0070538E" w:rsidP="0070538E">
      <w:pPr>
        <w:widowControl/>
        <w:shd w:val="clear" w:color="auto" w:fill="FFFFFF"/>
        <w:spacing w:line="380" w:lineRule="atLeast"/>
        <w:jc w:val="left"/>
        <w:rPr>
          <w:rFonts w:ascii="宋体" w:eastAsia="宋体" w:hAnsi="宋体" w:cs="宋体"/>
          <w:color w:val="555555"/>
          <w:kern w:val="0"/>
          <w:sz w:val="24"/>
          <w:szCs w:val="24"/>
        </w:rPr>
      </w:pPr>
      <w:r w:rsidRPr="0070538E">
        <w:rPr>
          <w:rFonts w:ascii="宋体" w:eastAsia="宋体" w:hAnsi="宋体" w:cs="宋体" w:hint="eastAsia"/>
          <w:color w:val="555555"/>
          <w:kern w:val="0"/>
          <w:sz w:val="24"/>
          <w:szCs w:val="24"/>
          <w:bdr w:val="none" w:sz="0" w:space="0" w:color="auto" w:frame="1"/>
        </w:rPr>
        <w:t> </w:t>
      </w:r>
    </w:p>
    <w:p w:rsidR="00D666E9" w:rsidRPr="0070538E" w:rsidRDefault="00D666E9"/>
    <w:sectPr w:rsidR="00D666E9" w:rsidRPr="007053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6E9" w:rsidRDefault="00D666E9" w:rsidP="0070538E">
      <w:r>
        <w:separator/>
      </w:r>
    </w:p>
  </w:endnote>
  <w:endnote w:type="continuationSeparator" w:id="1">
    <w:p w:rsidR="00D666E9" w:rsidRDefault="00D666E9" w:rsidP="00705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6E9" w:rsidRDefault="00D666E9" w:rsidP="0070538E">
      <w:r>
        <w:separator/>
      </w:r>
    </w:p>
  </w:footnote>
  <w:footnote w:type="continuationSeparator" w:id="1">
    <w:p w:rsidR="00D666E9" w:rsidRDefault="00D666E9" w:rsidP="00705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011"/>
    <w:multiLevelType w:val="multilevel"/>
    <w:tmpl w:val="CDC8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23690"/>
    <w:multiLevelType w:val="multilevel"/>
    <w:tmpl w:val="FD9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D00B5"/>
    <w:multiLevelType w:val="multilevel"/>
    <w:tmpl w:val="7B9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38E"/>
    <w:rsid w:val="0070538E"/>
    <w:rsid w:val="00B514ED"/>
    <w:rsid w:val="00D66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0538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053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538E"/>
    <w:rPr>
      <w:sz w:val="18"/>
      <w:szCs w:val="18"/>
    </w:rPr>
  </w:style>
  <w:style w:type="paragraph" w:styleId="a4">
    <w:name w:val="footer"/>
    <w:basedOn w:val="a"/>
    <w:link w:val="Char0"/>
    <w:uiPriority w:val="99"/>
    <w:semiHidden/>
    <w:unhideWhenUsed/>
    <w:rsid w:val="007053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538E"/>
    <w:rPr>
      <w:sz w:val="18"/>
      <w:szCs w:val="18"/>
    </w:rPr>
  </w:style>
  <w:style w:type="character" w:customStyle="1" w:styleId="1Char">
    <w:name w:val="标题 1 Char"/>
    <w:basedOn w:val="a0"/>
    <w:link w:val="1"/>
    <w:uiPriority w:val="9"/>
    <w:rsid w:val="0070538E"/>
    <w:rPr>
      <w:rFonts w:ascii="宋体" w:eastAsia="宋体" w:hAnsi="宋体" w:cs="宋体"/>
      <w:b/>
      <w:bCs/>
      <w:kern w:val="36"/>
      <w:sz w:val="48"/>
      <w:szCs w:val="48"/>
    </w:rPr>
  </w:style>
  <w:style w:type="character" w:customStyle="1" w:styleId="2Char">
    <w:name w:val="标题 2 Char"/>
    <w:basedOn w:val="a0"/>
    <w:link w:val="2"/>
    <w:uiPriority w:val="9"/>
    <w:rsid w:val="0070538E"/>
    <w:rPr>
      <w:rFonts w:ascii="宋体" w:eastAsia="宋体" w:hAnsi="宋体" w:cs="宋体"/>
      <w:b/>
      <w:bCs/>
      <w:kern w:val="0"/>
      <w:sz w:val="36"/>
      <w:szCs w:val="36"/>
    </w:rPr>
  </w:style>
  <w:style w:type="character" w:customStyle="1" w:styleId="apple-style-span">
    <w:name w:val="apple-style-span"/>
    <w:basedOn w:val="a0"/>
    <w:rsid w:val="0070538E"/>
  </w:style>
  <w:style w:type="character" w:styleId="a5">
    <w:name w:val="Hyperlink"/>
    <w:basedOn w:val="a0"/>
    <w:uiPriority w:val="99"/>
    <w:semiHidden/>
    <w:unhideWhenUsed/>
    <w:rsid w:val="0070538E"/>
    <w:rPr>
      <w:color w:val="0000FF"/>
      <w:u w:val="single"/>
    </w:rPr>
  </w:style>
  <w:style w:type="character" w:styleId="a6">
    <w:name w:val="FollowedHyperlink"/>
    <w:basedOn w:val="a0"/>
    <w:uiPriority w:val="99"/>
    <w:semiHidden/>
    <w:unhideWhenUsed/>
    <w:rsid w:val="0070538E"/>
    <w:rPr>
      <w:color w:val="800080"/>
      <w:u w:val="single"/>
    </w:rPr>
  </w:style>
  <w:style w:type="character" w:customStyle="1" w:styleId="apple-converted-space">
    <w:name w:val="apple-converted-space"/>
    <w:basedOn w:val="a0"/>
    <w:rsid w:val="0070538E"/>
  </w:style>
  <w:style w:type="character" w:customStyle="1" w:styleId="nickname">
    <w:name w:val="nickname"/>
    <w:basedOn w:val="a0"/>
    <w:rsid w:val="0070538E"/>
  </w:style>
  <w:style w:type="paragraph" w:styleId="a7">
    <w:name w:val="Normal (Web)"/>
    <w:basedOn w:val="a"/>
    <w:uiPriority w:val="99"/>
    <w:semiHidden/>
    <w:unhideWhenUsed/>
    <w:rsid w:val="0070538E"/>
    <w:pPr>
      <w:widowControl/>
      <w:spacing w:before="100" w:beforeAutospacing="1" w:after="100" w:afterAutospacing="1"/>
      <w:jc w:val="left"/>
    </w:pPr>
    <w:rPr>
      <w:rFonts w:ascii="宋体" w:eastAsia="宋体" w:hAnsi="宋体" w:cs="宋体"/>
      <w:kern w:val="0"/>
      <w:sz w:val="24"/>
      <w:szCs w:val="24"/>
    </w:rPr>
  </w:style>
  <w:style w:type="character" w:styleId="a8">
    <w:name w:val="footnote reference"/>
    <w:basedOn w:val="a0"/>
    <w:uiPriority w:val="99"/>
    <w:semiHidden/>
    <w:unhideWhenUsed/>
    <w:rsid w:val="0070538E"/>
  </w:style>
  <w:style w:type="paragraph" w:styleId="a9">
    <w:name w:val="Balloon Text"/>
    <w:basedOn w:val="a"/>
    <w:link w:val="Char1"/>
    <w:uiPriority w:val="99"/>
    <w:semiHidden/>
    <w:unhideWhenUsed/>
    <w:rsid w:val="0070538E"/>
    <w:rPr>
      <w:sz w:val="18"/>
      <w:szCs w:val="18"/>
    </w:rPr>
  </w:style>
  <w:style w:type="character" w:customStyle="1" w:styleId="Char1">
    <w:name w:val="批注框文本 Char"/>
    <w:basedOn w:val="a0"/>
    <w:link w:val="a9"/>
    <w:uiPriority w:val="99"/>
    <w:semiHidden/>
    <w:rsid w:val="0070538E"/>
    <w:rPr>
      <w:sz w:val="18"/>
      <w:szCs w:val="18"/>
    </w:rPr>
  </w:style>
</w:styles>
</file>

<file path=word/webSettings.xml><?xml version="1.0" encoding="utf-8"?>
<w:webSettings xmlns:r="http://schemas.openxmlformats.org/officeDocument/2006/relationships" xmlns:w="http://schemas.openxmlformats.org/wordprocessingml/2006/main">
  <w:divs>
    <w:div w:id="557060838">
      <w:bodyDiv w:val="1"/>
      <w:marLeft w:val="0"/>
      <w:marRight w:val="0"/>
      <w:marTop w:val="0"/>
      <w:marBottom w:val="0"/>
      <w:divBdr>
        <w:top w:val="none" w:sz="0" w:space="0" w:color="auto"/>
        <w:left w:val="none" w:sz="0" w:space="0" w:color="auto"/>
        <w:bottom w:val="none" w:sz="0" w:space="0" w:color="auto"/>
        <w:right w:val="none" w:sz="0" w:space="0" w:color="auto"/>
      </w:divBdr>
      <w:divsChild>
        <w:div w:id="306126417">
          <w:marLeft w:val="0"/>
          <w:marRight w:val="0"/>
          <w:marTop w:val="0"/>
          <w:marBottom w:val="0"/>
          <w:divBdr>
            <w:top w:val="none" w:sz="0" w:space="0" w:color="auto"/>
            <w:left w:val="none" w:sz="0" w:space="0" w:color="auto"/>
            <w:bottom w:val="none" w:sz="0" w:space="0" w:color="auto"/>
            <w:right w:val="none" w:sz="0" w:space="0" w:color="auto"/>
          </w:divBdr>
          <w:divsChild>
            <w:div w:id="1727070888">
              <w:marLeft w:val="0"/>
              <w:marRight w:val="0"/>
              <w:marTop w:val="0"/>
              <w:marBottom w:val="0"/>
              <w:divBdr>
                <w:top w:val="none" w:sz="0" w:space="0" w:color="auto"/>
                <w:left w:val="none" w:sz="0" w:space="0" w:color="auto"/>
                <w:bottom w:val="none" w:sz="0" w:space="0" w:color="auto"/>
                <w:right w:val="none" w:sz="0" w:space="0" w:color="auto"/>
              </w:divBdr>
              <w:divsChild>
                <w:div w:id="792285095">
                  <w:marLeft w:val="0"/>
                  <w:marRight w:val="0"/>
                  <w:marTop w:val="0"/>
                  <w:marBottom w:val="0"/>
                  <w:divBdr>
                    <w:top w:val="none" w:sz="0" w:space="0" w:color="auto"/>
                    <w:left w:val="none" w:sz="0" w:space="0" w:color="auto"/>
                    <w:bottom w:val="single" w:sz="6" w:space="0" w:color="E5E5E5"/>
                    <w:right w:val="none" w:sz="0" w:space="0" w:color="auto"/>
                  </w:divBdr>
                  <w:divsChild>
                    <w:div w:id="736513711">
                      <w:marLeft w:val="0"/>
                      <w:marRight w:val="0"/>
                      <w:marTop w:val="0"/>
                      <w:marBottom w:val="0"/>
                      <w:divBdr>
                        <w:top w:val="none" w:sz="0" w:space="0" w:color="auto"/>
                        <w:left w:val="none" w:sz="0" w:space="0" w:color="auto"/>
                        <w:bottom w:val="none" w:sz="0" w:space="0" w:color="auto"/>
                        <w:right w:val="none" w:sz="0" w:space="0" w:color="auto"/>
                      </w:divBdr>
                    </w:div>
                  </w:divsChild>
                </w:div>
                <w:div w:id="424305817">
                  <w:marLeft w:val="0"/>
                  <w:marRight w:val="0"/>
                  <w:marTop w:val="0"/>
                  <w:marBottom w:val="0"/>
                  <w:divBdr>
                    <w:top w:val="none" w:sz="0" w:space="0" w:color="auto"/>
                    <w:left w:val="none" w:sz="0" w:space="0" w:color="auto"/>
                    <w:bottom w:val="none" w:sz="0" w:space="0" w:color="auto"/>
                    <w:right w:val="none" w:sz="0" w:space="0" w:color="auto"/>
                  </w:divBdr>
                  <w:divsChild>
                    <w:div w:id="10823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137">
              <w:marLeft w:val="0"/>
              <w:marRight w:val="0"/>
              <w:marTop w:val="15"/>
              <w:marBottom w:val="0"/>
              <w:divBdr>
                <w:top w:val="none" w:sz="0" w:space="0" w:color="auto"/>
                <w:left w:val="none" w:sz="0" w:space="0" w:color="auto"/>
                <w:bottom w:val="none" w:sz="0" w:space="0" w:color="auto"/>
                <w:right w:val="none" w:sz="0" w:space="0" w:color="auto"/>
              </w:divBdr>
              <w:divsChild>
                <w:div w:id="1599482319">
                  <w:marLeft w:val="0"/>
                  <w:marRight w:val="0"/>
                  <w:marTop w:val="27"/>
                  <w:marBottom w:val="27"/>
                  <w:divBdr>
                    <w:top w:val="none" w:sz="0" w:space="0" w:color="auto"/>
                    <w:left w:val="none" w:sz="0" w:space="0" w:color="auto"/>
                    <w:bottom w:val="none" w:sz="0" w:space="0" w:color="auto"/>
                    <w:right w:val="none" w:sz="0" w:space="0" w:color="auto"/>
                  </w:divBdr>
                  <w:divsChild>
                    <w:div w:id="2027510880">
                      <w:marLeft w:val="0"/>
                      <w:marRight w:val="0"/>
                      <w:marTop w:val="0"/>
                      <w:marBottom w:val="0"/>
                      <w:divBdr>
                        <w:top w:val="none" w:sz="0" w:space="0" w:color="auto"/>
                        <w:left w:val="none" w:sz="0" w:space="0" w:color="auto"/>
                        <w:bottom w:val="none" w:sz="0" w:space="3" w:color="auto"/>
                        <w:right w:val="none" w:sz="0" w:space="0" w:color="auto"/>
                      </w:divBdr>
                    </w:div>
                  </w:divsChild>
                </w:div>
                <w:div w:id="180164748">
                  <w:marLeft w:val="0"/>
                  <w:marRight w:val="0"/>
                  <w:marTop w:val="27"/>
                  <w:marBottom w:val="27"/>
                  <w:divBdr>
                    <w:top w:val="none" w:sz="0" w:space="0" w:color="auto"/>
                    <w:left w:val="none" w:sz="0" w:space="0" w:color="auto"/>
                    <w:bottom w:val="none" w:sz="0" w:space="0" w:color="auto"/>
                    <w:right w:val="none" w:sz="0" w:space="0" w:color="auto"/>
                  </w:divBdr>
                  <w:divsChild>
                    <w:div w:id="2051030087">
                      <w:marLeft w:val="0"/>
                      <w:marRight w:val="0"/>
                      <w:marTop w:val="0"/>
                      <w:marBottom w:val="0"/>
                      <w:divBdr>
                        <w:top w:val="none" w:sz="0" w:space="0" w:color="auto"/>
                        <w:left w:val="none" w:sz="0" w:space="0" w:color="auto"/>
                        <w:bottom w:val="none" w:sz="0" w:space="3" w:color="auto"/>
                        <w:right w:val="none" w:sz="0" w:space="0" w:color="auto"/>
                      </w:divBdr>
                    </w:div>
                  </w:divsChild>
                </w:div>
                <w:div w:id="967665346">
                  <w:marLeft w:val="0"/>
                  <w:marRight w:val="0"/>
                  <w:marTop w:val="27"/>
                  <w:marBottom w:val="27"/>
                  <w:divBdr>
                    <w:top w:val="none" w:sz="0" w:space="0" w:color="auto"/>
                    <w:left w:val="none" w:sz="0" w:space="0" w:color="auto"/>
                    <w:bottom w:val="none" w:sz="0" w:space="0" w:color="auto"/>
                    <w:right w:val="none" w:sz="0" w:space="0" w:color="auto"/>
                  </w:divBdr>
                  <w:divsChild>
                    <w:div w:id="1189416475">
                      <w:marLeft w:val="0"/>
                      <w:marRight w:val="0"/>
                      <w:marTop w:val="0"/>
                      <w:marBottom w:val="0"/>
                      <w:divBdr>
                        <w:top w:val="none" w:sz="0" w:space="0" w:color="auto"/>
                        <w:left w:val="none" w:sz="0" w:space="0" w:color="auto"/>
                        <w:bottom w:val="none" w:sz="0" w:space="3" w:color="auto"/>
                        <w:right w:val="none" w:sz="0" w:space="0" w:color="auto"/>
                      </w:divBdr>
                    </w:div>
                  </w:divsChild>
                </w:div>
                <w:div w:id="2005622010">
                  <w:marLeft w:val="0"/>
                  <w:marRight w:val="0"/>
                  <w:marTop w:val="27"/>
                  <w:marBottom w:val="27"/>
                  <w:divBdr>
                    <w:top w:val="none" w:sz="0" w:space="0" w:color="auto"/>
                    <w:left w:val="none" w:sz="0" w:space="0" w:color="auto"/>
                    <w:bottom w:val="none" w:sz="0" w:space="0" w:color="auto"/>
                    <w:right w:val="none" w:sz="0" w:space="0" w:color="auto"/>
                  </w:divBdr>
                  <w:divsChild>
                    <w:div w:id="944462634">
                      <w:marLeft w:val="0"/>
                      <w:marRight w:val="0"/>
                      <w:marTop w:val="0"/>
                      <w:marBottom w:val="0"/>
                      <w:divBdr>
                        <w:top w:val="none" w:sz="0" w:space="0" w:color="auto"/>
                        <w:left w:val="none" w:sz="0" w:space="0" w:color="auto"/>
                        <w:bottom w:val="none" w:sz="0" w:space="3" w:color="auto"/>
                        <w:right w:val="none" w:sz="0" w:space="0" w:color="auto"/>
                      </w:divBdr>
                    </w:div>
                  </w:divsChild>
                </w:div>
                <w:div w:id="1628196437">
                  <w:marLeft w:val="0"/>
                  <w:marRight w:val="0"/>
                  <w:marTop w:val="27"/>
                  <w:marBottom w:val="27"/>
                  <w:divBdr>
                    <w:top w:val="none" w:sz="0" w:space="0" w:color="auto"/>
                    <w:left w:val="none" w:sz="0" w:space="0" w:color="auto"/>
                    <w:bottom w:val="none" w:sz="0" w:space="0" w:color="auto"/>
                    <w:right w:val="none" w:sz="0" w:space="0" w:color="auto"/>
                  </w:divBdr>
                  <w:divsChild>
                    <w:div w:id="12344042">
                      <w:marLeft w:val="0"/>
                      <w:marRight w:val="0"/>
                      <w:marTop w:val="0"/>
                      <w:marBottom w:val="0"/>
                      <w:divBdr>
                        <w:top w:val="none" w:sz="0" w:space="0" w:color="auto"/>
                        <w:left w:val="none" w:sz="0" w:space="0" w:color="auto"/>
                        <w:bottom w:val="none" w:sz="0" w:space="3" w:color="auto"/>
                        <w:right w:val="none" w:sz="0" w:space="0" w:color="auto"/>
                      </w:divBdr>
                    </w:div>
                  </w:divsChild>
                </w:div>
                <w:div w:id="1075324236">
                  <w:marLeft w:val="0"/>
                  <w:marRight w:val="0"/>
                  <w:marTop w:val="27"/>
                  <w:marBottom w:val="27"/>
                  <w:divBdr>
                    <w:top w:val="none" w:sz="0" w:space="0" w:color="auto"/>
                    <w:left w:val="none" w:sz="0" w:space="0" w:color="auto"/>
                    <w:bottom w:val="none" w:sz="0" w:space="0" w:color="auto"/>
                    <w:right w:val="none" w:sz="0" w:space="0" w:color="auto"/>
                  </w:divBdr>
                  <w:divsChild>
                    <w:div w:id="535774798">
                      <w:marLeft w:val="0"/>
                      <w:marRight w:val="0"/>
                      <w:marTop w:val="0"/>
                      <w:marBottom w:val="0"/>
                      <w:divBdr>
                        <w:top w:val="none" w:sz="0" w:space="0" w:color="auto"/>
                        <w:left w:val="none" w:sz="0" w:space="0" w:color="auto"/>
                        <w:bottom w:val="none" w:sz="0" w:space="3" w:color="auto"/>
                        <w:right w:val="none" w:sz="0" w:space="0" w:color="auto"/>
                      </w:divBdr>
                    </w:div>
                  </w:divsChild>
                </w:div>
                <w:div w:id="862981660">
                  <w:marLeft w:val="0"/>
                  <w:marRight w:val="0"/>
                  <w:marTop w:val="0"/>
                  <w:marBottom w:val="0"/>
                  <w:divBdr>
                    <w:top w:val="none" w:sz="0" w:space="0" w:color="auto"/>
                    <w:left w:val="none" w:sz="0" w:space="0" w:color="auto"/>
                    <w:bottom w:val="none" w:sz="0" w:space="0" w:color="auto"/>
                    <w:right w:val="none" w:sz="0" w:space="0" w:color="auto"/>
                  </w:divBdr>
                  <w:divsChild>
                    <w:div w:id="1087967848">
                      <w:marLeft w:val="0"/>
                      <w:marRight w:val="0"/>
                      <w:marTop w:val="27"/>
                      <w:marBottom w:val="27"/>
                      <w:divBdr>
                        <w:top w:val="none" w:sz="0" w:space="0" w:color="auto"/>
                        <w:left w:val="none" w:sz="0" w:space="0" w:color="auto"/>
                        <w:bottom w:val="none" w:sz="0" w:space="0" w:color="auto"/>
                        <w:right w:val="none" w:sz="0" w:space="0" w:color="auto"/>
                      </w:divBdr>
                      <w:divsChild>
                        <w:div w:id="1857646852">
                          <w:marLeft w:val="0"/>
                          <w:marRight w:val="0"/>
                          <w:marTop w:val="0"/>
                          <w:marBottom w:val="0"/>
                          <w:divBdr>
                            <w:top w:val="none" w:sz="0" w:space="0" w:color="auto"/>
                            <w:left w:val="none" w:sz="0" w:space="0" w:color="auto"/>
                            <w:bottom w:val="none" w:sz="0" w:space="3" w:color="auto"/>
                            <w:right w:val="none" w:sz="0" w:space="0" w:color="auto"/>
                          </w:divBdr>
                        </w:div>
                      </w:divsChild>
                    </w:div>
                  </w:divsChild>
                </w:div>
              </w:divsChild>
            </w:div>
            <w:div w:id="807669210">
              <w:marLeft w:val="0"/>
              <w:marRight w:val="0"/>
              <w:marTop w:val="0"/>
              <w:marBottom w:val="0"/>
              <w:divBdr>
                <w:top w:val="none" w:sz="0" w:space="0" w:color="auto"/>
                <w:left w:val="none" w:sz="0" w:space="0" w:color="auto"/>
                <w:bottom w:val="none" w:sz="0" w:space="0" w:color="auto"/>
                <w:right w:val="none" w:sz="0" w:space="0" w:color="auto"/>
              </w:divBdr>
              <w:divsChild>
                <w:div w:id="1202282069">
                  <w:marLeft w:val="0"/>
                  <w:marRight w:val="0"/>
                  <w:marTop w:val="0"/>
                  <w:marBottom w:val="0"/>
                  <w:divBdr>
                    <w:top w:val="none" w:sz="0" w:space="0" w:color="auto"/>
                    <w:left w:val="none" w:sz="0" w:space="0" w:color="auto"/>
                    <w:bottom w:val="none" w:sz="0" w:space="0" w:color="auto"/>
                    <w:right w:val="none" w:sz="0" w:space="0" w:color="auto"/>
                  </w:divBdr>
                </w:div>
                <w:div w:id="1689746982">
                  <w:marLeft w:val="0"/>
                  <w:marRight w:val="0"/>
                  <w:marTop w:val="0"/>
                  <w:marBottom w:val="0"/>
                  <w:divBdr>
                    <w:top w:val="none" w:sz="0" w:space="0" w:color="auto"/>
                    <w:left w:val="none" w:sz="0" w:space="0" w:color="auto"/>
                    <w:bottom w:val="none" w:sz="0" w:space="31" w:color="auto"/>
                    <w:right w:val="none" w:sz="0" w:space="0" w:color="auto"/>
                  </w:divBdr>
                  <w:divsChild>
                    <w:div w:id="628702889">
                      <w:marLeft w:val="0"/>
                      <w:marRight w:val="0"/>
                      <w:marTop w:val="0"/>
                      <w:marBottom w:val="0"/>
                      <w:divBdr>
                        <w:top w:val="none" w:sz="0" w:space="0" w:color="auto"/>
                        <w:left w:val="none" w:sz="0" w:space="0" w:color="auto"/>
                        <w:bottom w:val="none" w:sz="0" w:space="0" w:color="auto"/>
                        <w:right w:val="none" w:sz="0" w:space="0" w:color="auto"/>
                      </w:divBdr>
                      <w:divsChild>
                        <w:div w:id="1569418997">
                          <w:marLeft w:val="543"/>
                          <w:marRight w:val="543"/>
                          <w:marTop w:val="204"/>
                          <w:marBottom w:val="0"/>
                          <w:divBdr>
                            <w:top w:val="none" w:sz="0" w:space="7" w:color="auto"/>
                            <w:left w:val="none" w:sz="0" w:space="0" w:color="auto"/>
                            <w:bottom w:val="single" w:sz="6" w:space="7" w:color="DDDDDD"/>
                            <w:right w:val="none" w:sz="0" w:space="0" w:color="auto"/>
                          </w:divBdr>
                          <w:divsChild>
                            <w:div w:id="2137480287">
                              <w:marLeft w:val="0"/>
                              <w:marRight w:val="0"/>
                              <w:marTop w:val="0"/>
                              <w:marBottom w:val="0"/>
                              <w:divBdr>
                                <w:top w:val="none" w:sz="0" w:space="0" w:color="auto"/>
                                <w:left w:val="none" w:sz="0" w:space="0" w:color="auto"/>
                                <w:bottom w:val="none" w:sz="0" w:space="0" w:color="auto"/>
                                <w:right w:val="none" w:sz="0" w:space="0" w:color="auto"/>
                              </w:divBdr>
                            </w:div>
                          </w:divsChild>
                        </w:div>
                        <w:div w:id="1253932755">
                          <w:marLeft w:val="0"/>
                          <w:marRight w:val="0"/>
                          <w:marTop w:val="0"/>
                          <w:marBottom w:val="0"/>
                          <w:divBdr>
                            <w:top w:val="none" w:sz="0" w:space="14" w:color="auto"/>
                            <w:left w:val="none" w:sz="0" w:space="27" w:color="auto"/>
                            <w:bottom w:val="none" w:sz="0" w:space="31" w:color="auto"/>
                            <w:right w:val="none" w:sz="0" w:space="27" w:color="auto"/>
                          </w:divBdr>
                        </w:div>
                      </w:divsChild>
                    </w:div>
                  </w:divsChild>
                </w:div>
              </w:divsChild>
            </w:div>
            <w:div w:id="1745567649">
              <w:marLeft w:val="0"/>
              <w:marRight w:val="0"/>
              <w:marTop w:val="0"/>
              <w:marBottom w:val="0"/>
              <w:divBdr>
                <w:top w:val="none" w:sz="0" w:space="20" w:color="auto"/>
                <w:left w:val="none" w:sz="0" w:space="0" w:color="auto"/>
                <w:bottom w:val="none" w:sz="0" w:space="20" w:color="auto"/>
                <w:right w:val="none" w:sz="0" w:space="0" w:color="auto"/>
              </w:divBdr>
              <w:divsChild>
                <w:div w:id="1725331623">
                  <w:marLeft w:val="0"/>
                  <w:marRight w:val="0"/>
                  <w:marTop w:val="0"/>
                  <w:marBottom w:val="136"/>
                  <w:divBdr>
                    <w:top w:val="none" w:sz="0" w:space="0" w:color="auto"/>
                    <w:left w:val="none" w:sz="0" w:space="20" w:color="auto"/>
                    <w:bottom w:val="none" w:sz="0" w:space="0" w:color="auto"/>
                    <w:right w:val="none" w:sz="0" w:space="0" w:color="auto"/>
                  </w:divBdr>
                </w:div>
                <w:div w:id="1096710803">
                  <w:marLeft w:val="0"/>
                  <w:marRight w:val="0"/>
                  <w:marTop w:val="0"/>
                  <w:marBottom w:val="0"/>
                  <w:divBdr>
                    <w:top w:val="none" w:sz="0" w:space="0" w:color="auto"/>
                    <w:left w:val="none" w:sz="0" w:space="20" w:color="auto"/>
                    <w:bottom w:val="none" w:sz="0" w:space="0" w:color="auto"/>
                    <w:right w:val="none" w:sz="0" w:space="0" w:color="auto"/>
                  </w:divBdr>
                </w:div>
                <w:div w:id="123239090">
                  <w:marLeft w:val="0"/>
                  <w:marRight w:val="0"/>
                  <w:marTop w:val="0"/>
                  <w:marBottom w:val="0"/>
                  <w:divBdr>
                    <w:top w:val="none" w:sz="0" w:space="0" w:color="auto"/>
                    <w:left w:val="none" w:sz="0" w:space="20" w:color="auto"/>
                    <w:bottom w:val="none" w:sz="0" w:space="0" w:color="auto"/>
                    <w:right w:val="none" w:sz="0" w:space="0" w:color="auto"/>
                  </w:divBdr>
                </w:div>
                <w:div w:id="544027837">
                  <w:marLeft w:val="0"/>
                  <w:marRight w:val="0"/>
                  <w:marTop w:val="0"/>
                  <w:marBottom w:val="0"/>
                  <w:divBdr>
                    <w:top w:val="none" w:sz="0" w:space="0" w:color="auto"/>
                    <w:left w:val="none" w:sz="0" w:space="20" w:color="auto"/>
                    <w:bottom w:val="none" w:sz="0" w:space="0" w:color="auto"/>
                    <w:right w:val="none" w:sz="0" w:space="0" w:color="auto"/>
                  </w:divBdr>
                </w:div>
                <w:div w:id="1599170812">
                  <w:marLeft w:val="0"/>
                  <w:marRight w:val="0"/>
                  <w:marTop w:val="0"/>
                  <w:marBottom w:val="0"/>
                  <w:divBdr>
                    <w:top w:val="none" w:sz="0" w:space="0" w:color="auto"/>
                    <w:left w:val="none" w:sz="0" w:space="20" w:color="auto"/>
                    <w:bottom w:val="none" w:sz="0" w:space="0" w:color="auto"/>
                    <w:right w:val="none" w:sz="0" w:space="0" w:color="auto"/>
                  </w:divBdr>
                </w:div>
                <w:div w:id="852644919">
                  <w:marLeft w:val="0"/>
                  <w:marRight w:val="0"/>
                  <w:marTop w:val="0"/>
                  <w:marBottom w:val="0"/>
                  <w:divBdr>
                    <w:top w:val="none" w:sz="0" w:space="0" w:color="auto"/>
                    <w:left w:val="none" w:sz="0" w:space="20" w:color="auto"/>
                    <w:bottom w:val="none" w:sz="0" w:space="0" w:color="auto"/>
                    <w:right w:val="none" w:sz="0" w:space="0" w:color="auto"/>
                  </w:divBdr>
                </w:div>
                <w:div w:id="1444499846">
                  <w:marLeft w:val="0"/>
                  <w:marRight w:val="0"/>
                  <w:marTop w:val="0"/>
                  <w:marBottom w:val="136"/>
                  <w:divBdr>
                    <w:top w:val="none" w:sz="0" w:space="0" w:color="auto"/>
                    <w:left w:val="none" w:sz="0" w:space="20" w:color="auto"/>
                    <w:bottom w:val="none" w:sz="0" w:space="0" w:color="auto"/>
                    <w:right w:val="none" w:sz="0" w:space="0" w:color="auto"/>
                  </w:divBdr>
                </w:div>
                <w:div w:id="673455186">
                  <w:marLeft w:val="0"/>
                  <w:marRight w:val="0"/>
                  <w:marTop w:val="0"/>
                  <w:marBottom w:val="0"/>
                  <w:divBdr>
                    <w:top w:val="none" w:sz="0" w:space="0" w:color="auto"/>
                    <w:left w:val="none" w:sz="0" w:space="20" w:color="auto"/>
                    <w:bottom w:val="none" w:sz="0" w:space="0" w:color="auto"/>
                    <w:right w:val="none" w:sz="0" w:space="0" w:color="auto"/>
                  </w:divBdr>
                </w:div>
                <w:div w:id="2074157092">
                  <w:marLeft w:val="0"/>
                  <w:marRight w:val="0"/>
                  <w:marTop w:val="0"/>
                  <w:marBottom w:val="0"/>
                  <w:divBdr>
                    <w:top w:val="none" w:sz="0" w:space="0" w:color="auto"/>
                    <w:left w:val="none" w:sz="0" w:space="20" w:color="auto"/>
                    <w:bottom w:val="none" w:sz="0" w:space="0" w:color="auto"/>
                    <w:right w:val="none" w:sz="0" w:space="0" w:color="auto"/>
                  </w:divBdr>
                </w:div>
                <w:div w:id="204951044">
                  <w:marLeft w:val="0"/>
                  <w:marRight w:val="0"/>
                  <w:marTop w:val="0"/>
                  <w:marBottom w:val="0"/>
                  <w:divBdr>
                    <w:top w:val="none" w:sz="0" w:space="0" w:color="auto"/>
                    <w:left w:val="none" w:sz="0" w:space="20" w:color="auto"/>
                    <w:bottom w:val="none" w:sz="0" w:space="0" w:color="auto"/>
                    <w:right w:val="none" w:sz="0" w:space="0" w:color="auto"/>
                  </w:divBdr>
                </w:div>
                <w:div w:id="409740452">
                  <w:marLeft w:val="0"/>
                  <w:marRight w:val="0"/>
                  <w:marTop w:val="0"/>
                  <w:marBottom w:val="0"/>
                  <w:divBdr>
                    <w:top w:val="none" w:sz="0" w:space="0" w:color="auto"/>
                    <w:left w:val="none" w:sz="0" w:space="20" w:color="auto"/>
                    <w:bottom w:val="none" w:sz="0" w:space="0" w:color="auto"/>
                    <w:right w:val="none" w:sz="0" w:space="0" w:color="auto"/>
                  </w:divBdr>
                </w:div>
                <w:div w:id="1018656025">
                  <w:marLeft w:val="0"/>
                  <w:marRight w:val="0"/>
                  <w:marTop w:val="0"/>
                  <w:marBottom w:val="0"/>
                  <w:divBdr>
                    <w:top w:val="none" w:sz="0" w:space="0" w:color="auto"/>
                    <w:left w:val="none" w:sz="0" w:space="20" w:color="auto"/>
                    <w:bottom w:val="none" w:sz="0" w:space="0" w:color="auto"/>
                    <w:right w:val="none" w:sz="0" w:space="0" w:color="auto"/>
                  </w:divBdr>
                </w:div>
                <w:div w:id="1856842055">
                  <w:marLeft w:val="0"/>
                  <w:marRight w:val="0"/>
                  <w:marTop w:val="0"/>
                  <w:marBottom w:val="136"/>
                  <w:divBdr>
                    <w:top w:val="none" w:sz="0" w:space="0" w:color="auto"/>
                    <w:left w:val="none" w:sz="0" w:space="20" w:color="auto"/>
                    <w:bottom w:val="none" w:sz="0" w:space="0" w:color="auto"/>
                    <w:right w:val="none" w:sz="0" w:space="0" w:color="auto"/>
                  </w:divBdr>
                </w:div>
                <w:div w:id="284046251">
                  <w:marLeft w:val="0"/>
                  <w:marRight w:val="0"/>
                  <w:marTop w:val="0"/>
                  <w:marBottom w:val="0"/>
                  <w:divBdr>
                    <w:top w:val="none" w:sz="0" w:space="0" w:color="auto"/>
                    <w:left w:val="none" w:sz="0" w:space="20" w:color="auto"/>
                    <w:bottom w:val="none" w:sz="0" w:space="0" w:color="auto"/>
                    <w:right w:val="none" w:sz="0" w:space="0" w:color="auto"/>
                  </w:divBdr>
                </w:div>
                <w:div w:id="804742772">
                  <w:marLeft w:val="0"/>
                  <w:marRight w:val="0"/>
                  <w:marTop w:val="0"/>
                  <w:marBottom w:val="0"/>
                  <w:divBdr>
                    <w:top w:val="none" w:sz="0" w:space="0" w:color="auto"/>
                    <w:left w:val="none" w:sz="0" w:space="20" w:color="auto"/>
                    <w:bottom w:val="none" w:sz="0" w:space="0" w:color="auto"/>
                    <w:right w:val="none" w:sz="0" w:space="0" w:color="auto"/>
                  </w:divBdr>
                </w:div>
                <w:div w:id="95910801">
                  <w:marLeft w:val="0"/>
                  <w:marRight w:val="0"/>
                  <w:marTop w:val="0"/>
                  <w:marBottom w:val="0"/>
                  <w:divBdr>
                    <w:top w:val="none" w:sz="0" w:space="0" w:color="auto"/>
                    <w:left w:val="none" w:sz="0" w:space="20" w:color="auto"/>
                    <w:bottom w:val="none" w:sz="0" w:space="0" w:color="auto"/>
                    <w:right w:val="none" w:sz="0" w:space="0" w:color="auto"/>
                  </w:divBdr>
                </w:div>
                <w:div w:id="325133140">
                  <w:marLeft w:val="0"/>
                  <w:marRight w:val="0"/>
                  <w:marTop w:val="0"/>
                  <w:marBottom w:val="0"/>
                  <w:divBdr>
                    <w:top w:val="none" w:sz="0" w:space="0" w:color="auto"/>
                    <w:left w:val="none" w:sz="0" w:space="20" w:color="auto"/>
                    <w:bottom w:val="none" w:sz="0" w:space="0" w:color="auto"/>
                    <w:right w:val="none" w:sz="0" w:space="0" w:color="auto"/>
                  </w:divBdr>
                </w:div>
                <w:div w:id="1479613863">
                  <w:marLeft w:val="0"/>
                  <w:marRight w:val="0"/>
                  <w:marTop w:val="0"/>
                  <w:marBottom w:val="0"/>
                  <w:divBdr>
                    <w:top w:val="none" w:sz="0" w:space="0" w:color="auto"/>
                    <w:left w:val="none" w:sz="0" w:space="20" w:color="auto"/>
                    <w:bottom w:val="none" w:sz="0" w:space="0" w:color="auto"/>
                    <w:right w:val="none" w:sz="0" w:space="0" w:color="auto"/>
                  </w:divBdr>
                </w:div>
                <w:div w:id="764762137">
                  <w:marLeft w:val="0"/>
                  <w:marRight w:val="0"/>
                  <w:marTop w:val="0"/>
                  <w:marBottom w:val="136"/>
                  <w:divBdr>
                    <w:top w:val="none" w:sz="0" w:space="0" w:color="auto"/>
                    <w:left w:val="none" w:sz="0" w:space="20" w:color="auto"/>
                    <w:bottom w:val="none" w:sz="0" w:space="0" w:color="auto"/>
                    <w:right w:val="none" w:sz="0" w:space="0" w:color="auto"/>
                  </w:divBdr>
                </w:div>
                <w:div w:id="1292437168">
                  <w:marLeft w:val="0"/>
                  <w:marRight w:val="0"/>
                  <w:marTop w:val="0"/>
                  <w:marBottom w:val="0"/>
                  <w:divBdr>
                    <w:top w:val="none" w:sz="0" w:space="0" w:color="auto"/>
                    <w:left w:val="none" w:sz="0" w:space="20" w:color="auto"/>
                    <w:bottom w:val="none" w:sz="0" w:space="0" w:color="auto"/>
                    <w:right w:val="none" w:sz="0" w:space="0" w:color="auto"/>
                  </w:divBdr>
                </w:div>
                <w:div w:id="539972939">
                  <w:marLeft w:val="0"/>
                  <w:marRight w:val="0"/>
                  <w:marTop w:val="0"/>
                  <w:marBottom w:val="0"/>
                  <w:divBdr>
                    <w:top w:val="none" w:sz="0" w:space="0" w:color="auto"/>
                    <w:left w:val="none" w:sz="0" w:space="20" w:color="auto"/>
                    <w:bottom w:val="none" w:sz="0" w:space="0" w:color="auto"/>
                    <w:right w:val="none" w:sz="0" w:space="0" w:color="auto"/>
                  </w:divBdr>
                </w:div>
                <w:div w:id="928319762">
                  <w:marLeft w:val="0"/>
                  <w:marRight w:val="0"/>
                  <w:marTop w:val="0"/>
                  <w:marBottom w:val="0"/>
                  <w:divBdr>
                    <w:top w:val="none" w:sz="0" w:space="0" w:color="auto"/>
                    <w:left w:val="none" w:sz="0" w:space="20" w:color="auto"/>
                    <w:bottom w:val="none" w:sz="0" w:space="0" w:color="auto"/>
                    <w:right w:val="none" w:sz="0" w:space="0" w:color="auto"/>
                  </w:divBdr>
                </w:div>
                <w:div w:id="136649096">
                  <w:marLeft w:val="0"/>
                  <w:marRight w:val="0"/>
                  <w:marTop w:val="0"/>
                  <w:marBottom w:val="0"/>
                  <w:divBdr>
                    <w:top w:val="none" w:sz="0" w:space="0" w:color="auto"/>
                    <w:left w:val="none" w:sz="0" w:space="20" w:color="auto"/>
                    <w:bottom w:val="none" w:sz="0" w:space="0" w:color="auto"/>
                    <w:right w:val="none" w:sz="0" w:space="0" w:color="auto"/>
                  </w:divBdr>
                </w:div>
                <w:div w:id="4989939">
                  <w:marLeft w:val="0"/>
                  <w:marRight w:val="0"/>
                  <w:marTop w:val="0"/>
                  <w:marBottom w:val="0"/>
                  <w:divBdr>
                    <w:top w:val="none" w:sz="0" w:space="0" w:color="auto"/>
                    <w:left w:val="none" w:sz="0" w:space="20" w:color="auto"/>
                    <w:bottom w:val="none" w:sz="0" w:space="0" w:color="auto"/>
                    <w:right w:val="none" w:sz="0" w:space="0" w:color="auto"/>
                  </w:divBdr>
                </w:div>
                <w:div w:id="1081370230">
                  <w:marLeft w:val="0"/>
                  <w:marRight w:val="0"/>
                  <w:marTop w:val="0"/>
                  <w:marBottom w:val="136"/>
                  <w:divBdr>
                    <w:top w:val="none" w:sz="0" w:space="0" w:color="auto"/>
                    <w:left w:val="none" w:sz="0" w:space="20" w:color="auto"/>
                    <w:bottom w:val="none" w:sz="0" w:space="0" w:color="auto"/>
                    <w:right w:val="none" w:sz="0" w:space="0" w:color="auto"/>
                  </w:divBdr>
                </w:div>
                <w:div w:id="1980920615">
                  <w:marLeft w:val="0"/>
                  <w:marRight w:val="0"/>
                  <w:marTop w:val="0"/>
                  <w:marBottom w:val="0"/>
                  <w:divBdr>
                    <w:top w:val="none" w:sz="0" w:space="0" w:color="auto"/>
                    <w:left w:val="none" w:sz="0" w:space="20" w:color="auto"/>
                    <w:bottom w:val="none" w:sz="0" w:space="0" w:color="auto"/>
                    <w:right w:val="none" w:sz="0" w:space="0" w:color="auto"/>
                  </w:divBdr>
                </w:div>
                <w:div w:id="1498156149">
                  <w:marLeft w:val="0"/>
                  <w:marRight w:val="0"/>
                  <w:marTop w:val="0"/>
                  <w:marBottom w:val="0"/>
                  <w:divBdr>
                    <w:top w:val="none" w:sz="0" w:space="0" w:color="auto"/>
                    <w:left w:val="none" w:sz="0" w:space="20" w:color="auto"/>
                    <w:bottom w:val="none" w:sz="0" w:space="0" w:color="auto"/>
                    <w:right w:val="none" w:sz="0" w:space="0" w:color="auto"/>
                  </w:divBdr>
                </w:div>
                <w:div w:id="17699829">
                  <w:marLeft w:val="0"/>
                  <w:marRight w:val="0"/>
                  <w:marTop w:val="0"/>
                  <w:marBottom w:val="0"/>
                  <w:divBdr>
                    <w:top w:val="none" w:sz="0" w:space="0" w:color="auto"/>
                    <w:left w:val="none" w:sz="0" w:space="20" w:color="auto"/>
                    <w:bottom w:val="none" w:sz="0" w:space="0" w:color="auto"/>
                    <w:right w:val="none" w:sz="0" w:space="0" w:color="auto"/>
                  </w:divBdr>
                </w:div>
                <w:div w:id="846987281">
                  <w:marLeft w:val="0"/>
                  <w:marRight w:val="0"/>
                  <w:marTop w:val="0"/>
                  <w:marBottom w:val="0"/>
                  <w:divBdr>
                    <w:top w:val="none" w:sz="0" w:space="0" w:color="auto"/>
                    <w:left w:val="none" w:sz="0" w:space="20" w:color="auto"/>
                    <w:bottom w:val="none" w:sz="0" w:space="0" w:color="auto"/>
                    <w:right w:val="none" w:sz="0" w:space="0" w:color="auto"/>
                  </w:divBdr>
                </w:div>
                <w:div w:id="625114380">
                  <w:marLeft w:val="0"/>
                  <w:marRight w:val="0"/>
                  <w:marTop w:val="0"/>
                  <w:marBottom w:val="0"/>
                  <w:divBdr>
                    <w:top w:val="none" w:sz="0" w:space="0" w:color="auto"/>
                    <w:left w:val="none" w:sz="0" w:space="20" w:color="auto"/>
                    <w:bottom w:val="none" w:sz="0" w:space="0" w:color="auto"/>
                    <w:right w:val="none" w:sz="0" w:space="0" w:color="auto"/>
                  </w:divBdr>
                </w:div>
              </w:divsChild>
            </w:div>
            <w:div w:id="1408259705">
              <w:marLeft w:val="0"/>
              <w:marRight w:val="0"/>
              <w:marTop w:val="0"/>
              <w:marBottom w:val="0"/>
              <w:divBdr>
                <w:top w:val="none" w:sz="0" w:space="0" w:color="auto"/>
                <w:left w:val="none" w:sz="0" w:space="0" w:color="auto"/>
                <w:bottom w:val="none" w:sz="0" w:space="0" w:color="auto"/>
                <w:right w:val="none" w:sz="0" w:space="0" w:color="auto"/>
              </w:divBdr>
              <w:divsChild>
                <w:div w:id="788088634">
                  <w:marLeft w:val="0"/>
                  <w:marRight w:val="0"/>
                  <w:marTop w:val="0"/>
                  <w:marBottom w:val="0"/>
                  <w:divBdr>
                    <w:top w:val="none" w:sz="0" w:space="0" w:color="auto"/>
                    <w:left w:val="none" w:sz="0" w:space="0" w:color="auto"/>
                    <w:bottom w:val="none" w:sz="0" w:space="20" w:color="auto"/>
                    <w:right w:val="none" w:sz="0" w:space="0" w:color="auto"/>
                  </w:divBdr>
                  <w:divsChild>
                    <w:div w:id="559440156">
                      <w:marLeft w:val="0"/>
                      <w:marRight w:val="0"/>
                      <w:marTop w:val="951"/>
                      <w:marBottom w:val="0"/>
                      <w:divBdr>
                        <w:top w:val="single" w:sz="6" w:space="0" w:color="FFFFFF"/>
                        <w:left w:val="single" w:sz="6" w:space="27" w:color="FFFFFF"/>
                        <w:bottom w:val="single" w:sz="6" w:space="0" w:color="FFFFFF"/>
                        <w:right w:val="single" w:sz="6" w:space="27" w:color="FFFFFF"/>
                      </w:divBdr>
                    </w:div>
                  </w:divsChild>
                </w:div>
                <w:div w:id="308294328">
                  <w:marLeft w:val="0"/>
                  <w:marRight w:val="0"/>
                  <w:marTop w:val="0"/>
                  <w:marBottom w:val="0"/>
                  <w:divBdr>
                    <w:top w:val="none" w:sz="0" w:space="0" w:color="auto"/>
                    <w:left w:val="none" w:sz="0" w:space="0" w:color="auto"/>
                    <w:bottom w:val="none" w:sz="0" w:space="14"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887</Words>
  <Characters>5058</Characters>
  <Application>Microsoft Office Word</Application>
  <DocSecurity>0</DocSecurity>
  <Lines>42</Lines>
  <Paragraphs>11</Paragraphs>
  <ScaleCrop>false</ScaleCrop>
  <Company>微软中国</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wangjing3</dc:creator>
  <cp:keywords/>
  <dc:description/>
  <cp:lastModifiedBy>wangjing3</cp:lastModifiedBy>
  <cp:revision>3</cp:revision>
  <dcterms:created xsi:type="dcterms:W3CDTF">2020-06-01T03:10:00Z</dcterms:created>
  <dcterms:modified xsi:type="dcterms:W3CDTF">2020-06-01T03:34:00Z</dcterms:modified>
</cp:coreProperties>
</file>