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7ABD" w:rsidRDefault="00B222D4">
      <w:pPr>
        <w:widowControl/>
        <w:spacing w:line="360" w:lineRule="auto"/>
        <w:jc w:val="center"/>
        <w:rPr>
          <w:rFonts w:ascii="黑体" w:eastAsia="黑体" w:hAnsi="Verdana" w:cs="宋体"/>
          <w:b/>
          <w:bCs/>
          <w:color w:val="333333"/>
          <w:kern w:val="0"/>
          <w:sz w:val="32"/>
          <w:szCs w:val="32"/>
        </w:rPr>
      </w:pPr>
      <w:bookmarkStart w:id="0" w:name="_GoBack"/>
      <w:r>
        <w:rPr>
          <w:rFonts w:ascii="黑体" w:eastAsia="黑体" w:hAnsi="Verdana" w:cs="宋体" w:hint="eastAsia"/>
          <w:b/>
          <w:bCs/>
          <w:color w:val="333333"/>
          <w:kern w:val="0"/>
          <w:sz w:val="32"/>
          <w:szCs w:val="32"/>
        </w:rPr>
        <w:t>长江证券（上海）资产管理有限公司</w:t>
      </w:r>
    </w:p>
    <w:p w:rsidR="00887ABD" w:rsidRDefault="00B222D4">
      <w:pPr>
        <w:widowControl/>
        <w:spacing w:line="360" w:lineRule="auto"/>
        <w:jc w:val="center"/>
        <w:rPr>
          <w:rFonts w:ascii="黑体" w:eastAsia="黑体" w:hAnsi="Verdana" w:cs="宋体"/>
          <w:b/>
          <w:bCs/>
          <w:color w:val="333333"/>
          <w:kern w:val="0"/>
          <w:sz w:val="32"/>
          <w:szCs w:val="32"/>
        </w:rPr>
      </w:pPr>
      <w:r>
        <w:rPr>
          <w:rFonts w:ascii="黑体" w:eastAsia="黑体" w:hAnsi="Verdana" w:cs="宋体" w:hint="eastAsia"/>
          <w:b/>
          <w:bCs/>
          <w:color w:val="333333"/>
          <w:kern w:val="0"/>
          <w:sz w:val="32"/>
          <w:szCs w:val="32"/>
        </w:rPr>
        <w:t>关于长江乐鑫纯债定期开放债券型发起式证券投资基金</w:t>
      </w:r>
    </w:p>
    <w:p w:rsidR="00887ABD" w:rsidRDefault="00B222D4">
      <w:pPr>
        <w:widowControl/>
        <w:spacing w:line="360" w:lineRule="auto"/>
        <w:jc w:val="center"/>
        <w:rPr>
          <w:rFonts w:ascii="黑体" w:eastAsia="黑体" w:hAnsi="Verdana" w:cs="宋体"/>
          <w:b/>
          <w:bCs/>
          <w:color w:val="333333"/>
          <w:kern w:val="0"/>
          <w:sz w:val="32"/>
          <w:szCs w:val="32"/>
        </w:rPr>
      </w:pPr>
      <w:r>
        <w:rPr>
          <w:rFonts w:ascii="黑体" w:eastAsia="黑体" w:hAnsi="Verdana" w:cs="宋体" w:hint="eastAsia"/>
          <w:b/>
          <w:bCs/>
          <w:color w:val="333333"/>
          <w:kern w:val="0"/>
          <w:sz w:val="32"/>
          <w:szCs w:val="32"/>
        </w:rPr>
        <w:t>第</w:t>
      </w:r>
      <w:r>
        <w:rPr>
          <w:rFonts w:ascii="黑体" w:eastAsia="黑体" w:hAnsi="Verdana" w:cs="宋体" w:hint="eastAsia"/>
          <w:b/>
          <w:bCs/>
          <w:color w:val="333333"/>
          <w:kern w:val="0"/>
          <w:sz w:val="32"/>
          <w:szCs w:val="32"/>
        </w:rPr>
        <w:t>二十九</w:t>
      </w:r>
      <w:r>
        <w:rPr>
          <w:rFonts w:ascii="黑体" w:eastAsia="黑体" w:hAnsi="Verdana" w:cs="宋体" w:hint="eastAsia"/>
          <w:b/>
          <w:bCs/>
          <w:color w:val="333333"/>
          <w:kern w:val="0"/>
          <w:sz w:val="32"/>
          <w:szCs w:val="32"/>
        </w:rPr>
        <w:t>个</w:t>
      </w:r>
      <w:r>
        <w:rPr>
          <w:rFonts w:ascii="黑体" w:eastAsia="黑体" w:hAnsi="Verdana" w:cs="宋体" w:hint="eastAsia"/>
          <w:b/>
          <w:bCs/>
          <w:color w:val="333333"/>
          <w:kern w:val="0"/>
          <w:sz w:val="32"/>
          <w:szCs w:val="32"/>
        </w:rPr>
        <w:t>开放期开放申购与赎回业务的公告</w:t>
      </w:r>
      <w:bookmarkEnd w:id="0"/>
    </w:p>
    <w:p w:rsidR="00887ABD" w:rsidRDefault="00B222D4">
      <w:pPr>
        <w:widowControl/>
        <w:spacing w:line="360" w:lineRule="auto"/>
        <w:jc w:val="center"/>
        <w:rPr>
          <w:rFonts w:ascii="宋体" w:cs="宋体"/>
          <w:bCs/>
          <w:kern w:val="0"/>
          <w:szCs w:val="21"/>
        </w:rPr>
      </w:pPr>
      <w:r>
        <w:rPr>
          <w:rFonts w:ascii="宋体" w:hAnsi="宋体" w:cs="宋体" w:hint="eastAsia"/>
          <w:bCs/>
          <w:kern w:val="0"/>
          <w:szCs w:val="21"/>
        </w:rPr>
        <w:t>公告送出日期：</w:t>
      </w:r>
      <w:r>
        <w:rPr>
          <w:rFonts w:ascii="宋体" w:hAnsi="宋体" w:cs="宋体" w:hint="eastAsia"/>
          <w:bCs/>
          <w:kern w:val="0"/>
          <w:szCs w:val="21"/>
        </w:rPr>
        <w:t>202</w:t>
      </w:r>
      <w:r>
        <w:rPr>
          <w:rFonts w:ascii="宋体" w:hAnsi="宋体" w:cs="宋体" w:hint="eastAsia"/>
          <w:bCs/>
          <w:kern w:val="0"/>
          <w:szCs w:val="21"/>
        </w:rPr>
        <w:t>6</w:t>
      </w:r>
      <w:r>
        <w:rPr>
          <w:rFonts w:ascii="宋体" w:hAnsi="宋体" w:cs="宋体" w:hint="eastAsia"/>
          <w:bCs/>
          <w:kern w:val="0"/>
          <w:szCs w:val="21"/>
        </w:rPr>
        <w:t>年</w:t>
      </w:r>
      <w:r>
        <w:rPr>
          <w:rFonts w:ascii="宋体" w:hAnsi="宋体" w:cs="宋体" w:hint="eastAsia"/>
          <w:bCs/>
          <w:kern w:val="0"/>
          <w:szCs w:val="21"/>
        </w:rPr>
        <w:t>09</w:t>
      </w:r>
      <w:r>
        <w:rPr>
          <w:rFonts w:ascii="宋体" w:hAnsi="宋体" w:cs="宋体" w:hint="eastAsia"/>
          <w:bCs/>
          <w:kern w:val="0"/>
          <w:szCs w:val="21"/>
        </w:rPr>
        <w:t>月</w:t>
      </w:r>
      <w:r>
        <w:rPr>
          <w:rFonts w:ascii="宋体" w:hAnsi="宋体" w:cs="宋体" w:hint="eastAsia"/>
          <w:bCs/>
          <w:kern w:val="0"/>
          <w:szCs w:val="21"/>
        </w:rPr>
        <w:t>15</w:t>
      </w:r>
      <w:r>
        <w:rPr>
          <w:rFonts w:ascii="宋体" w:hAnsi="宋体" w:cs="宋体" w:hint="eastAsia"/>
          <w:bCs/>
          <w:kern w:val="0"/>
          <w:szCs w:val="21"/>
        </w:rPr>
        <w:t>日</w:t>
      </w:r>
    </w:p>
    <w:p w:rsidR="00887ABD" w:rsidRDefault="00887ABD">
      <w:pPr>
        <w:widowControl/>
        <w:spacing w:line="360" w:lineRule="auto"/>
        <w:jc w:val="center"/>
        <w:rPr>
          <w:rFonts w:ascii="宋体" w:cs="宋体"/>
          <w:kern w:val="0"/>
          <w:szCs w:val="21"/>
        </w:rPr>
      </w:pPr>
    </w:p>
    <w:p w:rsidR="00887ABD" w:rsidRDefault="00B222D4">
      <w:pPr>
        <w:widowControl/>
        <w:spacing w:line="360" w:lineRule="auto"/>
        <w:jc w:val="left"/>
        <w:rPr>
          <w:rFonts w:ascii="宋体" w:cs="宋体"/>
          <w:b/>
          <w:color w:val="545454"/>
          <w:kern w:val="0"/>
          <w:sz w:val="24"/>
        </w:rPr>
      </w:pPr>
      <w:r>
        <w:rPr>
          <w:rFonts w:ascii="宋体" w:hAnsi="宋体" w:cs="宋体"/>
          <w:b/>
          <w:kern w:val="0"/>
          <w:sz w:val="24"/>
        </w:rPr>
        <w:t>1.</w:t>
      </w:r>
      <w:r>
        <w:rPr>
          <w:rFonts w:ascii="宋体" w:hAnsi="宋体" w:cs="宋体" w:hint="eastAsia"/>
          <w:b/>
          <w:kern w:val="0"/>
          <w:sz w:val="24"/>
        </w:rPr>
        <w:t>公告基本信息</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tblPr>
      <w:tblGrid>
        <w:gridCol w:w="2685"/>
        <w:gridCol w:w="5603"/>
      </w:tblGrid>
      <w:tr w:rsidR="00887ABD">
        <w:trPr>
          <w:jc w:val="center"/>
        </w:trPr>
        <w:tc>
          <w:tcPr>
            <w:tcW w:w="2685" w:type="dxa"/>
            <w:tcMar>
              <w:top w:w="0" w:type="dxa"/>
              <w:left w:w="108" w:type="dxa"/>
              <w:bottom w:w="0" w:type="dxa"/>
              <w:right w:w="108" w:type="dxa"/>
            </w:tcMar>
          </w:tcPr>
          <w:p w:rsidR="00887ABD" w:rsidRDefault="00B222D4">
            <w:pPr>
              <w:widowControl/>
              <w:spacing w:line="288" w:lineRule="auto"/>
              <w:jc w:val="left"/>
              <w:rPr>
                <w:rFonts w:ascii="宋体" w:cs="宋体"/>
                <w:kern w:val="0"/>
                <w:sz w:val="24"/>
              </w:rPr>
            </w:pPr>
            <w:r>
              <w:rPr>
                <w:rFonts w:ascii="宋体" w:hAnsi="宋体" w:cs="宋体" w:hint="eastAsia"/>
                <w:kern w:val="0"/>
                <w:sz w:val="24"/>
              </w:rPr>
              <w:t>基金名称</w:t>
            </w:r>
          </w:p>
        </w:tc>
        <w:tc>
          <w:tcPr>
            <w:tcW w:w="5603" w:type="dxa"/>
            <w:tcMar>
              <w:top w:w="0" w:type="dxa"/>
              <w:left w:w="108" w:type="dxa"/>
              <w:bottom w:w="0" w:type="dxa"/>
              <w:right w:w="108" w:type="dxa"/>
            </w:tcMar>
          </w:tcPr>
          <w:p w:rsidR="00887ABD" w:rsidRDefault="00B222D4">
            <w:pPr>
              <w:widowControl/>
              <w:spacing w:line="288" w:lineRule="auto"/>
              <w:jc w:val="left"/>
              <w:rPr>
                <w:rFonts w:ascii="宋体" w:cs="宋体"/>
                <w:kern w:val="0"/>
                <w:sz w:val="24"/>
              </w:rPr>
            </w:pPr>
            <w:r>
              <w:rPr>
                <w:rFonts w:ascii="宋体" w:hAnsi="宋体" w:cs="宋体" w:hint="eastAsia"/>
                <w:kern w:val="0"/>
                <w:sz w:val="24"/>
              </w:rPr>
              <w:t>长江乐鑫纯债定期开放债券型发起式证券投资基金</w:t>
            </w:r>
          </w:p>
        </w:tc>
      </w:tr>
      <w:tr w:rsidR="00887ABD">
        <w:trPr>
          <w:jc w:val="center"/>
        </w:trPr>
        <w:tc>
          <w:tcPr>
            <w:tcW w:w="2685" w:type="dxa"/>
            <w:tcMar>
              <w:top w:w="0" w:type="dxa"/>
              <w:left w:w="108" w:type="dxa"/>
              <w:bottom w:w="0" w:type="dxa"/>
              <w:right w:w="108" w:type="dxa"/>
            </w:tcMar>
          </w:tcPr>
          <w:p w:rsidR="00887ABD" w:rsidRDefault="00B222D4">
            <w:pPr>
              <w:widowControl/>
              <w:spacing w:line="288" w:lineRule="auto"/>
              <w:jc w:val="left"/>
              <w:rPr>
                <w:rFonts w:ascii="宋体" w:cs="宋体"/>
                <w:kern w:val="0"/>
                <w:sz w:val="24"/>
              </w:rPr>
            </w:pPr>
            <w:r>
              <w:rPr>
                <w:rFonts w:ascii="宋体" w:hAnsi="宋体" w:cs="宋体" w:hint="eastAsia"/>
                <w:kern w:val="0"/>
                <w:sz w:val="24"/>
              </w:rPr>
              <w:t>基金简称</w:t>
            </w:r>
          </w:p>
        </w:tc>
        <w:tc>
          <w:tcPr>
            <w:tcW w:w="5603" w:type="dxa"/>
            <w:tcMar>
              <w:top w:w="0" w:type="dxa"/>
              <w:left w:w="108" w:type="dxa"/>
              <w:bottom w:w="0" w:type="dxa"/>
              <w:right w:w="108" w:type="dxa"/>
            </w:tcMar>
          </w:tcPr>
          <w:p w:rsidR="00887ABD" w:rsidRDefault="00B222D4">
            <w:pPr>
              <w:widowControl/>
              <w:spacing w:line="288" w:lineRule="auto"/>
              <w:jc w:val="left"/>
              <w:rPr>
                <w:rFonts w:ascii="宋体" w:cs="宋体"/>
                <w:kern w:val="0"/>
                <w:sz w:val="24"/>
              </w:rPr>
            </w:pPr>
            <w:r>
              <w:rPr>
                <w:rFonts w:ascii="宋体" w:hAnsi="宋体" w:cs="宋体" w:hint="eastAsia"/>
                <w:color w:val="000000"/>
                <w:kern w:val="0"/>
                <w:sz w:val="24"/>
              </w:rPr>
              <w:t>长江乐鑫定开债</w:t>
            </w:r>
          </w:p>
        </w:tc>
      </w:tr>
      <w:tr w:rsidR="00887ABD">
        <w:trPr>
          <w:jc w:val="center"/>
        </w:trPr>
        <w:tc>
          <w:tcPr>
            <w:tcW w:w="2685" w:type="dxa"/>
            <w:tcMar>
              <w:top w:w="0" w:type="dxa"/>
              <w:left w:w="108" w:type="dxa"/>
              <w:bottom w:w="0" w:type="dxa"/>
              <w:right w:w="108" w:type="dxa"/>
            </w:tcMar>
          </w:tcPr>
          <w:p w:rsidR="00887ABD" w:rsidRDefault="00B222D4">
            <w:pPr>
              <w:widowControl/>
              <w:spacing w:line="288" w:lineRule="auto"/>
              <w:jc w:val="left"/>
              <w:rPr>
                <w:rFonts w:ascii="宋体" w:hAnsi="宋体" w:cs="宋体"/>
                <w:kern w:val="0"/>
                <w:sz w:val="24"/>
              </w:rPr>
            </w:pPr>
            <w:r>
              <w:rPr>
                <w:rFonts w:ascii="宋体" w:hAnsi="宋体" w:cs="宋体" w:hint="eastAsia"/>
                <w:kern w:val="0"/>
                <w:sz w:val="24"/>
              </w:rPr>
              <w:t>基金主代码</w:t>
            </w:r>
          </w:p>
        </w:tc>
        <w:tc>
          <w:tcPr>
            <w:tcW w:w="5603" w:type="dxa"/>
            <w:tcMar>
              <w:top w:w="0" w:type="dxa"/>
              <w:left w:w="108" w:type="dxa"/>
              <w:bottom w:w="0" w:type="dxa"/>
              <w:right w:w="108" w:type="dxa"/>
            </w:tcMar>
          </w:tcPr>
          <w:p w:rsidR="00887ABD" w:rsidRDefault="00B222D4">
            <w:pPr>
              <w:widowControl/>
              <w:spacing w:line="288" w:lineRule="auto"/>
              <w:jc w:val="left"/>
              <w:rPr>
                <w:rFonts w:ascii="宋体" w:hAnsi="宋体" w:cs="宋体"/>
                <w:color w:val="000000"/>
                <w:kern w:val="0"/>
                <w:sz w:val="24"/>
              </w:rPr>
            </w:pPr>
            <w:r>
              <w:rPr>
                <w:rFonts w:ascii="宋体" w:hAnsi="宋体"/>
                <w:color w:val="000000"/>
                <w:sz w:val="24"/>
              </w:rPr>
              <w:t>00</w:t>
            </w:r>
            <w:r>
              <w:rPr>
                <w:rFonts w:ascii="宋体" w:hAnsi="宋体" w:hint="eastAsia"/>
                <w:color w:val="000000"/>
                <w:sz w:val="24"/>
              </w:rPr>
              <w:t>6135</w:t>
            </w:r>
          </w:p>
        </w:tc>
      </w:tr>
      <w:tr w:rsidR="00887ABD">
        <w:trPr>
          <w:jc w:val="center"/>
        </w:trPr>
        <w:tc>
          <w:tcPr>
            <w:tcW w:w="2685" w:type="dxa"/>
            <w:tcMar>
              <w:top w:w="0" w:type="dxa"/>
              <w:left w:w="108" w:type="dxa"/>
              <w:bottom w:w="0" w:type="dxa"/>
              <w:right w:w="108" w:type="dxa"/>
            </w:tcMar>
          </w:tcPr>
          <w:p w:rsidR="00887ABD" w:rsidRDefault="00B222D4">
            <w:pPr>
              <w:widowControl/>
              <w:spacing w:line="288" w:lineRule="auto"/>
              <w:jc w:val="left"/>
              <w:rPr>
                <w:rFonts w:ascii="宋体" w:hAnsi="宋体" w:cs="宋体"/>
                <w:color w:val="000000"/>
                <w:kern w:val="0"/>
                <w:sz w:val="24"/>
              </w:rPr>
            </w:pPr>
            <w:r>
              <w:rPr>
                <w:rFonts w:ascii="宋体" w:hAnsi="宋体" w:cs="宋体" w:hint="eastAsia"/>
                <w:color w:val="000000"/>
                <w:kern w:val="0"/>
                <w:sz w:val="24"/>
              </w:rPr>
              <w:t>基金运作方式</w:t>
            </w:r>
          </w:p>
        </w:tc>
        <w:tc>
          <w:tcPr>
            <w:tcW w:w="5603" w:type="dxa"/>
            <w:tcMar>
              <w:top w:w="0" w:type="dxa"/>
              <w:left w:w="108" w:type="dxa"/>
              <w:bottom w:w="0" w:type="dxa"/>
              <w:right w:w="108" w:type="dxa"/>
            </w:tcMar>
          </w:tcPr>
          <w:p w:rsidR="00887ABD" w:rsidRDefault="00B222D4">
            <w:pPr>
              <w:widowControl/>
              <w:spacing w:line="288" w:lineRule="auto"/>
              <w:jc w:val="left"/>
              <w:rPr>
                <w:rFonts w:ascii="宋体" w:hAnsi="宋体" w:cs="宋体"/>
                <w:color w:val="000000"/>
                <w:kern w:val="0"/>
                <w:sz w:val="24"/>
              </w:rPr>
            </w:pPr>
            <w:r>
              <w:rPr>
                <w:rFonts w:ascii="宋体" w:hAnsi="宋体" w:cs="宋体"/>
                <w:color w:val="000000"/>
                <w:kern w:val="0"/>
                <w:sz w:val="24"/>
              </w:rPr>
              <w:t>契约型开放式</w:t>
            </w:r>
          </w:p>
        </w:tc>
      </w:tr>
      <w:tr w:rsidR="00887ABD">
        <w:trPr>
          <w:jc w:val="center"/>
        </w:trPr>
        <w:tc>
          <w:tcPr>
            <w:tcW w:w="2685" w:type="dxa"/>
            <w:tcMar>
              <w:top w:w="0" w:type="dxa"/>
              <w:left w:w="108" w:type="dxa"/>
              <w:bottom w:w="0" w:type="dxa"/>
              <w:right w:w="108" w:type="dxa"/>
            </w:tcMar>
          </w:tcPr>
          <w:p w:rsidR="00887ABD" w:rsidRDefault="00B222D4">
            <w:pPr>
              <w:widowControl/>
              <w:spacing w:line="288" w:lineRule="auto"/>
              <w:jc w:val="left"/>
              <w:rPr>
                <w:rFonts w:ascii="宋体" w:cs="宋体"/>
                <w:kern w:val="0"/>
                <w:sz w:val="24"/>
              </w:rPr>
            </w:pPr>
            <w:r>
              <w:rPr>
                <w:rFonts w:ascii="宋体" w:hAnsi="宋体" w:cs="宋体" w:hint="eastAsia"/>
                <w:kern w:val="0"/>
                <w:sz w:val="24"/>
              </w:rPr>
              <w:t>基金合同生效日</w:t>
            </w:r>
          </w:p>
        </w:tc>
        <w:tc>
          <w:tcPr>
            <w:tcW w:w="5603" w:type="dxa"/>
            <w:tcMar>
              <w:top w:w="0" w:type="dxa"/>
              <w:left w:w="108" w:type="dxa"/>
              <w:bottom w:w="0" w:type="dxa"/>
              <w:right w:w="108" w:type="dxa"/>
            </w:tcMar>
          </w:tcPr>
          <w:p w:rsidR="00887ABD" w:rsidRDefault="00B222D4">
            <w:pPr>
              <w:widowControl/>
              <w:spacing w:line="288" w:lineRule="auto"/>
              <w:jc w:val="left"/>
              <w:rPr>
                <w:rFonts w:ascii="宋体" w:cs="宋体"/>
                <w:kern w:val="0"/>
                <w:sz w:val="24"/>
              </w:rPr>
            </w:pPr>
            <w:r>
              <w:rPr>
                <w:rFonts w:ascii="宋体" w:hAnsi="宋体" w:cs="宋体"/>
                <w:color w:val="000000"/>
                <w:kern w:val="0"/>
                <w:sz w:val="24"/>
              </w:rPr>
              <w:t>201</w:t>
            </w:r>
            <w:r>
              <w:rPr>
                <w:rFonts w:ascii="宋体" w:hAnsi="宋体" w:cs="宋体" w:hint="eastAsia"/>
                <w:color w:val="000000"/>
                <w:kern w:val="0"/>
                <w:sz w:val="24"/>
              </w:rPr>
              <w:t>8</w:t>
            </w:r>
            <w:r>
              <w:rPr>
                <w:rFonts w:ascii="宋体" w:hAnsi="宋体" w:cs="宋体" w:hint="eastAsia"/>
                <w:color w:val="000000"/>
                <w:kern w:val="0"/>
                <w:sz w:val="24"/>
              </w:rPr>
              <w:t>年</w:t>
            </w:r>
            <w:r>
              <w:rPr>
                <w:rFonts w:ascii="宋体" w:hAnsi="宋体" w:cs="宋体" w:hint="eastAsia"/>
                <w:color w:val="000000"/>
                <w:kern w:val="0"/>
                <w:sz w:val="24"/>
              </w:rPr>
              <w:t>08</w:t>
            </w:r>
            <w:r>
              <w:rPr>
                <w:rFonts w:ascii="宋体" w:hAnsi="宋体" w:cs="宋体" w:hint="eastAsia"/>
                <w:color w:val="000000"/>
                <w:kern w:val="0"/>
                <w:sz w:val="24"/>
              </w:rPr>
              <w:t>月</w:t>
            </w:r>
            <w:r>
              <w:rPr>
                <w:rFonts w:ascii="宋体" w:hAnsi="宋体" w:cs="宋体" w:hint="eastAsia"/>
                <w:color w:val="000000"/>
                <w:kern w:val="0"/>
                <w:sz w:val="24"/>
              </w:rPr>
              <w:t>16</w:t>
            </w:r>
            <w:r>
              <w:rPr>
                <w:rFonts w:ascii="宋体" w:hAnsi="宋体" w:cs="宋体" w:hint="eastAsia"/>
                <w:color w:val="000000"/>
                <w:kern w:val="0"/>
                <w:sz w:val="24"/>
              </w:rPr>
              <w:t>日</w:t>
            </w:r>
          </w:p>
        </w:tc>
      </w:tr>
      <w:tr w:rsidR="00887ABD">
        <w:trPr>
          <w:jc w:val="center"/>
        </w:trPr>
        <w:tc>
          <w:tcPr>
            <w:tcW w:w="2685" w:type="dxa"/>
            <w:tcMar>
              <w:top w:w="0" w:type="dxa"/>
              <w:left w:w="108" w:type="dxa"/>
              <w:bottom w:w="0" w:type="dxa"/>
              <w:right w:w="108" w:type="dxa"/>
            </w:tcMar>
          </w:tcPr>
          <w:p w:rsidR="00887ABD" w:rsidRDefault="00B222D4">
            <w:pPr>
              <w:widowControl/>
              <w:spacing w:line="288" w:lineRule="auto"/>
              <w:jc w:val="left"/>
              <w:rPr>
                <w:rFonts w:ascii="宋体" w:cs="宋体"/>
                <w:kern w:val="0"/>
                <w:sz w:val="24"/>
              </w:rPr>
            </w:pPr>
            <w:r>
              <w:rPr>
                <w:rFonts w:ascii="宋体" w:hAnsi="宋体" w:cs="宋体" w:hint="eastAsia"/>
                <w:kern w:val="0"/>
                <w:sz w:val="24"/>
              </w:rPr>
              <w:t>基金管理人名称</w:t>
            </w:r>
          </w:p>
        </w:tc>
        <w:tc>
          <w:tcPr>
            <w:tcW w:w="5603" w:type="dxa"/>
            <w:tcMar>
              <w:top w:w="0" w:type="dxa"/>
              <w:left w:w="108" w:type="dxa"/>
              <w:bottom w:w="0" w:type="dxa"/>
              <w:right w:w="108" w:type="dxa"/>
            </w:tcMar>
          </w:tcPr>
          <w:p w:rsidR="00887ABD" w:rsidRDefault="00B222D4">
            <w:pPr>
              <w:widowControl/>
              <w:spacing w:line="288" w:lineRule="auto"/>
              <w:jc w:val="left"/>
              <w:rPr>
                <w:rFonts w:ascii="宋体" w:cs="宋体"/>
                <w:kern w:val="0"/>
                <w:sz w:val="24"/>
              </w:rPr>
            </w:pPr>
            <w:r>
              <w:rPr>
                <w:rFonts w:ascii="宋体" w:hAnsi="宋体" w:cs="宋体" w:hint="eastAsia"/>
                <w:kern w:val="0"/>
                <w:sz w:val="24"/>
              </w:rPr>
              <w:t>长江证券（上海）资产管理有限公司</w:t>
            </w:r>
          </w:p>
        </w:tc>
      </w:tr>
      <w:tr w:rsidR="00887ABD">
        <w:trPr>
          <w:jc w:val="center"/>
        </w:trPr>
        <w:tc>
          <w:tcPr>
            <w:tcW w:w="2685" w:type="dxa"/>
            <w:tcMar>
              <w:top w:w="0" w:type="dxa"/>
              <w:left w:w="108" w:type="dxa"/>
              <w:bottom w:w="0" w:type="dxa"/>
              <w:right w:w="108" w:type="dxa"/>
            </w:tcMar>
          </w:tcPr>
          <w:p w:rsidR="00887ABD" w:rsidRDefault="00B222D4">
            <w:pPr>
              <w:widowControl/>
              <w:spacing w:line="288" w:lineRule="auto"/>
              <w:jc w:val="left"/>
              <w:rPr>
                <w:rFonts w:ascii="宋体" w:cs="宋体"/>
                <w:kern w:val="0"/>
                <w:sz w:val="24"/>
              </w:rPr>
            </w:pPr>
            <w:r>
              <w:rPr>
                <w:rFonts w:ascii="宋体" w:hAnsi="宋体" w:cs="宋体" w:hint="eastAsia"/>
                <w:kern w:val="0"/>
                <w:sz w:val="24"/>
              </w:rPr>
              <w:t>基金托管人名称</w:t>
            </w:r>
          </w:p>
        </w:tc>
        <w:tc>
          <w:tcPr>
            <w:tcW w:w="5603" w:type="dxa"/>
            <w:tcMar>
              <w:top w:w="0" w:type="dxa"/>
              <w:left w:w="108" w:type="dxa"/>
              <w:bottom w:w="0" w:type="dxa"/>
              <w:right w:w="108" w:type="dxa"/>
            </w:tcMar>
          </w:tcPr>
          <w:p w:rsidR="00887ABD" w:rsidRDefault="00B222D4">
            <w:pPr>
              <w:widowControl/>
              <w:spacing w:line="288" w:lineRule="auto"/>
              <w:jc w:val="left"/>
              <w:rPr>
                <w:rFonts w:ascii="宋体" w:cs="宋体"/>
                <w:kern w:val="0"/>
                <w:sz w:val="24"/>
              </w:rPr>
            </w:pPr>
            <w:r>
              <w:rPr>
                <w:rFonts w:ascii="宋体" w:hAnsi="宋体" w:cs="宋体" w:hint="eastAsia"/>
                <w:color w:val="000000"/>
                <w:kern w:val="0"/>
                <w:sz w:val="24"/>
              </w:rPr>
              <w:t>浙商银行股份有限公司</w:t>
            </w:r>
          </w:p>
        </w:tc>
      </w:tr>
      <w:tr w:rsidR="00887ABD">
        <w:trPr>
          <w:jc w:val="center"/>
        </w:trPr>
        <w:tc>
          <w:tcPr>
            <w:tcW w:w="2685" w:type="dxa"/>
            <w:tcMar>
              <w:top w:w="0" w:type="dxa"/>
              <w:left w:w="108" w:type="dxa"/>
              <w:bottom w:w="0" w:type="dxa"/>
              <w:right w:w="108" w:type="dxa"/>
            </w:tcMar>
          </w:tcPr>
          <w:p w:rsidR="00887ABD" w:rsidRDefault="00B222D4">
            <w:pPr>
              <w:widowControl/>
              <w:spacing w:line="288" w:lineRule="auto"/>
              <w:jc w:val="left"/>
              <w:rPr>
                <w:rFonts w:ascii="宋体" w:cs="宋体"/>
                <w:kern w:val="0"/>
                <w:sz w:val="24"/>
              </w:rPr>
            </w:pPr>
            <w:r>
              <w:rPr>
                <w:rFonts w:ascii="宋体" w:hAnsi="宋体" w:cs="宋体" w:hint="eastAsia"/>
                <w:kern w:val="0"/>
                <w:sz w:val="24"/>
              </w:rPr>
              <w:t>基金注册登记机构名称</w:t>
            </w:r>
          </w:p>
        </w:tc>
        <w:tc>
          <w:tcPr>
            <w:tcW w:w="5603" w:type="dxa"/>
            <w:tcMar>
              <w:top w:w="0" w:type="dxa"/>
              <w:left w:w="108" w:type="dxa"/>
              <w:bottom w:w="0" w:type="dxa"/>
              <w:right w:w="108" w:type="dxa"/>
            </w:tcMar>
          </w:tcPr>
          <w:p w:rsidR="00887ABD" w:rsidRDefault="00B222D4">
            <w:pPr>
              <w:widowControl/>
              <w:spacing w:line="288" w:lineRule="auto"/>
              <w:jc w:val="left"/>
              <w:rPr>
                <w:rFonts w:ascii="宋体" w:cs="宋体"/>
                <w:kern w:val="0"/>
                <w:sz w:val="24"/>
              </w:rPr>
            </w:pPr>
            <w:r>
              <w:rPr>
                <w:rFonts w:ascii="宋体" w:hAnsi="宋体" w:cs="宋体" w:hint="eastAsia"/>
                <w:kern w:val="0"/>
                <w:sz w:val="24"/>
              </w:rPr>
              <w:t>长江证券（上海）资产管理有限公司</w:t>
            </w:r>
          </w:p>
        </w:tc>
      </w:tr>
      <w:tr w:rsidR="00887ABD">
        <w:trPr>
          <w:jc w:val="center"/>
        </w:trPr>
        <w:tc>
          <w:tcPr>
            <w:tcW w:w="2685" w:type="dxa"/>
            <w:tcMar>
              <w:top w:w="0" w:type="dxa"/>
              <w:left w:w="108" w:type="dxa"/>
              <w:bottom w:w="0" w:type="dxa"/>
              <w:right w:w="108" w:type="dxa"/>
            </w:tcMar>
            <w:vAlign w:val="center"/>
          </w:tcPr>
          <w:p w:rsidR="00887ABD" w:rsidRDefault="00B222D4">
            <w:pPr>
              <w:widowControl/>
              <w:spacing w:line="288" w:lineRule="auto"/>
              <w:jc w:val="left"/>
              <w:rPr>
                <w:rFonts w:ascii="宋体" w:cs="宋体"/>
                <w:kern w:val="0"/>
                <w:sz w:val="24"/>
              </w:rPr>
            </w:pPr>
            <w:r>
              <w:rPr>
                <w:rFonts w:ascii="宋体" w:hAnsi="宋体" w:cs="宋体" w:hint="eastAsia"/>
                <w:kern w:val="0"/>
                <w:sz w:val="24"/>
              </w:rPr>
              <w:t>公告依据</w:t>
            </w:r>
          </w:p>
        </w:tc>
        <w:tc>
          <w:tcPr>
            <w:tcW w:w="5603" w:type="dxa"/>
            <w:tcMar>
              <w:top w:w="0" w:type="dxa"/>
              <w:left w:w="108" w:type="dxa"/>
              <w:bottom w:w="0" w:type="dxa"/>
              <w:right w:w="108" w:type="dxa"/>
            </w:tcMar>
          </w:tcPr>
          <w:p w:rsidR="00887ABD" w:rsidRDefault="00B222D4">
            <w:pPr>
              <w:widowControl/>
              <w:spacing w:line="288" w:lineRule="auto"/>
              <w:rPr>
                <w:rFonts w:ascii="宋体" w:cs="宋体"/>
                <w:kern w:val="0"/>
                <w:sz w:val="24"/>
              </w:rPr>
            </w:pPr>
            <w:r>
              <w:rPr>
                <w:rFonts w:ascii="宋体" w:hAnsi="宋体" w:cs="宋体" w:hint="eastAsia"/>
                <w:kern w:val="0"/>
                <w:sz w:val="24"/>
              </w:rPr>
              <w:t>《中华人民共和国证券投资基金法》、《公开募集证券投资基金运作管理办法》、《公开募集证券投资基金信息披露管理办法》、《长江乐鑫纯债定期开放债券型发起式证券投资基金基金合同》和《长江乐鑫纯债定期开放债券型发起式证券投资基金招募说明书》等有关规定。</w:t>
            </w:r>
          </w:p>
        </w:tc>
      </w:tr>
      <w:tr w:rsidR="00887ABD">
        <w:trPr>
          <w:jc w:val="center"/>
        </w:trPr>
        <w:tc>
          <w:tcPr>
            <w:tcW w:w="2685" w:type="dxa"/>
            <w:tcMar>
              <w:top w:w="0" w:type="dxa"/>
              <w:left w:w="108" w:type="dxa"/>
              <w:bottom w:w="0" w:type="dxa"/>
              <w:right w:w="108" w:type="dxa"/>
            </w:tcMar>
          </w:tcPr>
          <w:p w:rsidR="00887ABD" w:rsidRDefault="00B222D4">
            <w:pPr>
              <w:widowControl/>
              <w:spacing w:line="288" w:lineRule="auto"/>
              <w:jc w:val="left"/>
              <w:rPr>
                <w:rFonts w:ascii="宋体" w:cs="宋体"/>
                <w:kern w:val="0"/>
                <w:sz w:val="24"/>
              </w:rPr>
            </w:pPr>
            <w:r>
              <w:rPr>
                <w:rFonts w:ascii="宋体" w:hAnsi="宋体" w:cs="宋体" w:hint="eastAsia"/>
                <w:kern w:val="0"/>
                <w:sz w:val="24"/>
              </w:rPr>
              <w:t>申购起始日</w:t>
            </w:r>
          </w:p>
        </w:tc>
        <w:tc>
          <w:tcPr>
            <w:tcW w:w="5603" w:type="dxa"/>
            <w:tcMar>
              <w:top w:w="0" w:type="dxa"/>
              <w:left w:w="108" w:type="dxa"/>
              <w:bottom w:w="0" w:type="dxa"/>
              <w:right w:w="108" w:type="dxa"/>
            </w:tcMar>
          </w:tcPr>
          <w:p w:rsidR="00887ABD" w:rsidRDefault="00B222D4">
            <w:pPr>
              <w:widowControl/>
              <w:spacing w:line="288" w:lineRule="auto"/>
              <w:jc w:val="left"/>
              <w:rPr>
                <w:rFonts w:ascii="宋体" w:cs="宋体"/>
                <w:kern w:val="0"/>
                <w:sz w:val="24"/>
              </w:rPr>
            </w:pPr>
            <w:r>
              <w:rPr>
                <w:rFonts w:ascii="宋体" w:hAnsi="宋体" w:cs="宋体" w:hint="eastAsia"/>
                <w:kern w:val="0"/>
                <w:sz w:val="24"/>
              </w:rPr>
              <w:t>202</w:t>
            </w:r>
            <w:r>
              <w:rPr>
                <w:rFonts w:ascii="宋体" w:hAnsi="宋体" w:cs="宋体" w:hint="eastAsia"/>
                <w:kern w:val="0"/>
                <w:sz w:val="24"/>
              </w:rPr>
              <w:t>6</w:t>
            </w:r>
            <w:r>
              <w:rPr>
                <w:rFonts w:ascii="宋体" w:hAnsi="宋体" w:cs="宋体" w:hint="eastAsia"/>
                <w:kern w:val="0"/>
                <w:sz w:val="24"/>
              </w:rPr>
              <w:t>年</w:t>
            </w:r>
            <w:r>
              <w:rPr>
                <w:rFonts w:ascii="宋体" w:hAnsi="宋体" w:cs="宋体" w:hint="eastAsia"/>
                <w:kern w:val="0"/>
                <w:sz w:val="24"/>
              </w:rPr>
              <w:t>09</w:t>
            </w:r>
            <w:r>
              <w:rPr>
                <w:rFonts w:ascii="宋体" w:hAnsi="宋体" w:cs="宋体" w:hint="eastAsia"/>
                <w:kern w:val="0"/>
                <w:sz w:val="24"/>
              </w:rPr>
              <w:t>月</w:t>
            </w:r>
            <w:r>
              <w:rPr>
                <w:rFonts w:ascii="宋体" w:hAnsi="宋体" w:cs="宋体" w:hint="eastAsia"/>
                <w:kern w:val="0"/>
                <w:sz w:val="24"/>
              </w:rPr>
              <w:t>17</w:t>
            </w:r>
            <w:r>
              <w:rPr>
                <w:rFonts w:ascii="宋体" w:hAnsi="宋体" w:cs="宋体" w:hint="eastAsia"/>
                <w:kern w:val="0"/>
                <w:sz w:val="24"/>
              </w:rPr>
              <w:t>日</w:t>
            </w:r>
          </w:p>
        </w:tc>
      </w:tr>
      <w:tr w:rsidR="00887ABD">
        <w:trPr>
          <w:jc w:val="center"/>
        </w:trPr>
        <w:tc>
          <w:tcPr>
            <w:tcW w:w="2685" w:type="dxa"/>
            <w:tcMar>
              <w:top w:w="0" w:type="dxa"/>
              <w:left w:w="108" w:type="dxa"/>
              <w:bottom w:w="0" w:type="dxa"/>
              <w:right w:w="108" w:type="dxa"/>
            </w:tcMar>
          </w:tcPr>
          <w:p w:rsidR="00887ABD" w:rsidRDefault="00B222D4">
            <w:pPr>
              <w:widowControl/>
              <w:spacing w:line="288" w:lineRule="auto"/>
              <w:jc w:val="left"/>
              <w:rPr>
                <w:rFonts w:ascii="宋体" w:cs="宋体"/>
                <w:kern w:val="0"/>
                <w:sz w:val="24"/>
              </w:rPr>
            </w:pPr>
            <w:r>
              <w:rPr>
                <w:rFonts w:ascii="宋体" w:hAnsi="宋体" w:cs="宋体" w:hint="eastAsia"/>
                <w:kern w:val="0"/>
                <w:sz w:val="24"/>
              </w:rPr>
              <w:t>赎回起始日</w:t>
            </w:r>
          </w:p>
        </w:tc>
        <w:tc>
          <w:tcPr>
            <w:tcW w:w="5603" w:type="dxa"/>
            <w:tcMar>
              <w:top w:w="0" w:type="dxa"/>
              <w:left w:w="108" w:type="dxa"/>
              <w:bottom w:w="0" w:type="dxa"/>
              <w:right w:w="108" w:type="dxa"/>
            </w:tcMar>
          </w:tcPr>
          <w:p w:rsidR="00887ABD" w:rsidRDefault="00B222D4">
            <w:pPr>
              <w:widowControl/>
              <w:spacing w:line="288" w:lineRule="auto"/>
              <w:jc w:val="left"/>
              <w:rPr>
                <w:rFonts w:ascii="宋体" w:cs="宋体"/>
                <w:kern w:val="0"/>
                <w:sz w:val="24"/>
              </w:rPr>
            </w:pPr>
            <w:r>
              <w:rPr>
                <w:rFonts w:ascii="宋体" w:hAnsi="宋体" w:cs="宋体" w:hint="eastAsia"/>
                <w:kern w:val="0"/>
                <w:sz w:val="24"/>
              </w:rPr>
              <w:t>202</w:t>
            </w:r>
            <w:r>
              <w:rPr>
                <w:rFonts w:ascii="宋体" w:hAnsi="宋体" w:cs="宋体" w:hint="eastAsia"/>
                <w:kern w:val="0"/>
                <w:sz w:val="24"/>
              </w:rPr>
              <w:t>6</w:t>
            </w:r>
            <w:r>
              <w:rPr>
                <w:rFonts w:ascii="宋体" w:hAnsi="宋体" w:cs="宋体" w:hint="eastAsia"/>
                <w:kern w:val="0"/>
                <w:sz w:val="24"/>
              </w:rPr>
              <w:t>年</w:t>
            </w:r>
            <w:r>
              <w:rPr>
                <w:rFonts w:ascii="宋体" w:hAnsi="宋体" w:cs="宋体" w:hint="eastAsia"/>
                <w:kern w:val="0"/>
                <w:sz w:val="24"/>
              </w:rPr>
              <w:t>09</w:t>
            </w:r>
            <w:r>
              <w:rPr>
                <w:rFonts w:ascii="宋体" w:hAnsi="宋体" w:cs="宋体" w:hint="eastAsia"/>
                <w:kern w:val="0"/>
                <w:sz w:val="24"/>
              </w:rPr>
              <w:t>月</w:t>
            </w:r>
            <w:r>
              <w:rPr>
                <w:rFonts w:ascii="宋体" w:hAnsi="宋体" w:cs="宋体" w:hint="eastAsia"/>
                <w:kern w:val="0"/>
                <w:sz w:val="24"/>
              </w:rPr>
              <w:t>17</w:t>
            </w:r>
            <w:r>
              <w:rPr>
                <w:rFonts w:ascii="宋体" w:hAnsi="宋体" w:cs="宋体" w:hint="eastAsia"/>
                <w:kern w:val="0"/>
                <w:sz w:val="24"/>
              </w:rPr>
              <w:t>日</w:t>
            </w:r>
          </w:p>
        </w:tc>
      </w:tr>
    </w:tbl>
    <w:p w:rsidR="00887ABD" w:rsidRDefault="00B222D4">
      <w:pPr>
        <w:widowControl/>
        <w:spacing w:line="360" w:lineRule="auto"/>
        <w:rPr>
          <w:rFonts w:ascii="宋体" w:cs="宋体"/>
          <w:kern w:val="0"/>
          <w:szCs w:val="21"/>
        </w:rPr>
      </w:pPr>
      <w:r>
        <w:rPr>
          <w:rFonts w:ascii="宋体" w:cs="宋体" w:hint="eastAsia"/>
          <w:kern w:val="0"/>
          <w:szCs w:val="21"/>
        </w:rPr>
        <w:t>注：</w:t>
      </w:r>
      <w:r>
        <w:rPr>
          <w:rFonts w:ascii="宋体" w:cs="宋体" w:hint="eastAsia"/>
          <w:kern w:val="0"/>
          <w:szCs w:val="21"/>
        </w:rPr>
        <w:t>1</w:t>
      </w:r>
      <w:r>
        <w:rPr>
          <w:rFonts w:ascii="宋体" w:cs="宋体" w:hint="eastAsia"/>
          <w:kern w:val="0"/>
          <w:szCs w:val="21"/>
        </w:rPr>
        <w:t>、长江乐鑫纯债定期开放债券型发起式证券投资基金以下简称“本基金”；</w:t>
      </w:r>
    </w:p>
    <w:p w:rsidR="00887ABD" w:rsidRDefault="00B222D4">
      <w:pPr>
        <w:widowControl/>
        <w:spacing w:line="360" w:lineRule="auto"/>
        <w:ind w:firstLineChars="200" w:firstLine="420"/>
        <w:rPr>
          <w:rFonts w:ascii="宋体" w:cs="宋体"/>
          <w:kern w:val="0"/>
          <w:szCs w:val="21"/>
        </w:rPr>
      </w:pPr>
      <w:r>
        <w:rPr>
          <w:rFonts w:ascii="宋体" w:cs="宋体" w:hint="eastAsia"/>
          <w:kern w:val="0"/>
          <w:szCs w:val="21"/>
        </w:rPr>
        <w:t>2</w:t>
      </w:r>
      <w:r>
        <w:rPr>
          <w:rFonts w:ascii="宋体" w:cs="宋体" w:hint="eastAsia"/>
          <w:kern w:val="0"/>
          <w:szCs w:val="21"/>
        </w:rPr>
        <w:t>、本基金的</w:t>
      </w:r>
      <w:r>
        <w:rPr>
          <w:rFonts w:ascii="宋体" w:cs="宋体" w:hint="eastAsia"/>
          <w:kern w:val="0"/>
          <w:szCs w:val="21"/>
        </w:rPr>
        <w:t>第</w:t>
      </w:r>
      <w:r>
        <w:rPr>
          <w:rFonts w:ascii="宋体" w:cs="宋体" w:hint="eastAsia"/>
          <w:kern w:val="0"/>
          <w:szCs w:val="21"/>
        </w:rPr>
        <w:t>二十九</w:t>
      </w:r>
      <w:r>
        <w:rPr>
          <w:rFonts w:ascii="宋体" w:cs="宋体" w:hint="eastAsia"/>
          <w:kern w:val="0"/>
          <w:szCs w:val="21"/>
        </w:rPr>
        <w:t>个</w:t>
      </w:r>
      <w:r>
        <w:rPr>
          <w:rFonts w:ascii="宋体" w:cs="宋体" w:hint="eastAsia"/>
          <w:kern w:val="0"/>
          <w:szCs w:val="21"/>
        </w:rPr>
        <w:t>开放期为</w:t>
      </w:r>
      <w:r>
        <w:rPr>
          <w:rFonts w:ascii="宋体" w:cs="宋体" w:hint="eastAsia"/>
          <w:kern w:val="0"/>
          <w:szCs w:val="21"/>
        </w:rPr>
        <w:t>202</w:t>
      </w:r>
      <w:r>
        <w:rPr>
          <w:rFonts w:ascii="宋体" w:cs="宋体" w:hint="eastAsia"/>
          <w:kern w:val="0"/>
          <w:szCs w:val="21"/>
        </w:rPr>
        <w:t>6</w:t>
      </w:r>
      <w:r>
        <w:rPr>
          <w:rFonts w:ascii="宋体" w:cs="宋体" w:hint="eastAsia"/>
          <w:kern w:val="0"/>
          <w:szCs w:val="21"/>
        </w:rPr>
        <w:t>年</w:t>
      </w:r>
      <w:r>
        <w:rPr>
          <w:rFonts w:ascii="宋体" w:cs="宋体" w:hint="eastAsia"/>
          <w:kern w:val="0"/>
          <w:szCs w:val="21"/>
        </w:rPr>
        <w:t>9</w:t>
      </w:r>
      <w:r>
        <w:rPr>
          <w:rFonts w:ascii="宋体" w:cs="宋体" w:hint="eastAsia"/>
          <w:kern w:val="0"/>
          <w:szCs w:val="21"/>
        </w:rPr>
        <w:t>月</w:t>
      </w:r>
      <w:r>
        <w:rPr>
          <w:rFonts w:ascii="宋体" w:cs="宋体" w:hint="eastAsia"/>
          <w:kern w:val="0"/>
          <w:szCs w:val="21"/>
        </w:rPr>
        <w:t>17</w:t>
      </w:r>
      <w:r>
        <w:rPr>
          <w:rFonts w:ascii="宋体" w:cs="宋体" w:hint="eastAsia"/>
          <w:kern w:val="0"/>
          <w:szCs w:val="21"/>
        </w:rPr>
        <w:t>日（含该日）至</w:t>
      </w:r>
      <w:r>
        <w:rPr>
          <w:rFonts w:ascii="宋体" w:cs="宋体" w:hint="eastAsia"/>
          <w:kern w:val="0"/>
          <w:szCs w:val="21"/>
        </w:rPr>
        <w:t>202</w:t>
      </w:r>
      <w:r>
        <w:rPr>
          <w:rFonts w:ascii="宋体" w:cs="宋体" w:hint="eastAsia"/>
          <w:kern w:val="0"/>
          <w:szCs w:val="21"/>
        </w:rPr>
        <w:t>6</w:t>
      </w:r>
      <w:r>
        <w:rPr>
          <w:rFonts w:ascii="宋体" w:cs="宋体" w:hint="eastAsia"/>
          <w:kern w:val="0"/>
          <w:szCs w:val="21"/>
        </w:rPr>
        <w:t>年</w:t>
      </w:r>
      <w:r>
        <w:rPr>
          <w:rFonts w:ascii="宋体" w:cs="宋体" w:hint="eastAsia"/>
          <w:kern w:val="0"/>
          <w:szCs w:val="21"/>
        </w:rPr>
        <w:t>9</w:t>
      </w:r>
      <w:r>
        <w:rPr>
          <w:rFonts w:ascii="宋体" w:cs="宋体" w:hint="eastAsia"/>
          <w:kern w:val="0"/>
          <w:szCs w:val="21"/>
        </w:rPr>
        <w:t>月</w:t>
      </w:r>
      <w:r>
        <w:rPr>
          <w:rFonts w:ascii="宋体" w:cs="宋体" w:hint="eastAsia"/>
          <w:kern w:val="0"/>
          <w:szCs w:val="21"/>
        </w:rPr>
        <w:t>23</w:t>
      </w:r>
      <w:r>
        <w:rPr>
          <w:rFonts w:ascii="宋体" w:cs="宋体" w:hint="eastAsia"/>
          <w:kern w:val="0"/>
          <w:szCs w:val="21"/>
        </w:rPr>
        <w:t>日（含该日）。在开放期内，投资者可以办理基金份额的申购、赎回业务。自</w:t>
      </w:r>
      <w:r>
        <w:rPr>
          <w:rFonts w:ascii="宋体" w:cs="宋体" w:hint="eastAsia"/>
          <w:kern w:val="0"/>
          <w:szCs w:val="21"/>
        </w:rPr>
        <w:t>202</w:t>
      </w:r>
      <w:r>
        <w:rPr>
          <w:rFonts w:ascii="宋体" w:cs="宋体" w:hint="eastAsia"/>
          <w:kern w:val="0"/>
          <w:szCs w:val="21"/>
        </w:rPr>
        <w:t>6</w:t>
      </w:r>
      <w:r>
        <w:rPr>
          <w:rFonts w:ascii="宋体" w:cs="宋体" w:hint="eastAsia"/>
          <w:kern w:val="0"/>
          <w:szCs w:val="21"/>
        </w:rPr>
        <w:t>年</w:t>
      </w:r>
      <w:r>
        <w:rPr>
          <w:rFonts w:ascii="宋体" w:cs="宋体" w:hint="eastAsia"/>
          <w:kern w:val="0"/>
          <w:szCs w:val="21"/>
        </w:rPr>
        <w:t>9</w:t>
      </w:r>
      <w:r>
        <w:rPr>
          <w:rFonts w:ascii="宋体" w:cs="宋体" w:hint="eastAsia"/>
          <w:kern w:val="0"/>
          <w:szCs w:val="21"/>
        </w:rPr>
        <w:t>月</w:t>
      </w:r>
      <w:r>
        <w:rPr>
          <w:rFonts w:ascii="宋体" w:cs="宋体" w:hint="eastAsia"/>
          <w:kern w:val="0"/>
          <w:szCs w:val="21"/>
        </w:rPr>
        <w:t>24</w:t>
      </w:r>
      <w:r>
        <w:rPr>
          <w:rFonts w:ascii="宋体" w:cs="宋体" w:hint="eastAsia"/>
          <w:kern w:val="0"/>
          <w:szCs w:val="21"/>
        </w:rPr>
        <w:t>日起，本基金进入第</w:t>
      </w:r>
      <w:r>
        <w:rPr>
          <w:rFonts w:ascii="宋体" w:cs="宋体" w:hint="eastAsia"/>
          <w:kern w:val="0"/>
          <w:szCs w:val="21"/>
        </w:rPr>
        <w:t>三十</w:t>
      </w:r>
      <w:r>
        <w:rPr>
          <w:rFonts w:ascii="宋体" w:cs="宋体" w:hint="eastAsia"/>
          <w:kern w:val="0"/>
          <w:szCs w:val="21"/>
        </w:rPr>
        <w:t>个封闭期。在封闭期内，本基金不办理申购、赎回业务。敬请投资者关注。</w:t>
      </w:r>
    </w:p>
    <w:p w:rsidR="00887ABD" w:rsidRDefault="00B222D4">
      <w:pPr>
        <w:widowControl/>
        <w:spacing w:line="360" w:lineRule="auto"/>
        <w:rPr>
          <w:rFonts w:ascii="宋体" w:cs="宋体"/>
          <w:b/>
          <w:color w:val="545454"/>
          <w:kern w:val="0"/>
          <w:sz w:val="24"/>
        </w:rPr>
      </w:pPr>
      <w:r>
        <w:rPr>
          <w:rFonts w:ascii="宋体" w:hAnsi="宋体" w:cs="宋体"/>
          <w:b/>
          <w:kern w:val="0"/>
          <w:sz w:val="24"/>
        </w:rPr>
        <w:t>2.</w:t>
      </w:r>
      <w:r>
        <w:rPr>
          <w:rFonts w:ascii="宋体" w:hAnsi="宋体" w:cs="宋体" w:hint="eastAsia"/>
          <w:b/>
          <w:kern w:val="0"/>
          <w:sz w:val="24"/>
        </w:rPr>
        <w:t>日常申购、赎回业务的办理时间</w:t>
      </w:r>
    </w:p>
    <w:p w:rsidR="00887ABD" w:rsidRDefault="00B222D4">
      <w:pPr>
        <w:widowControl/>
        <w:spacing w:line="360" w:lineRule="auto"/>
        <w:ind w:firstLineChars="200" w:firstLine="480"/>
        <w:rPr>
          <w:rFonts w:ascii="宋体" w:hAnsi="宋体"/>
          <w:sz w:val="24"/>
        </w:rPr>
      </w:pPr>
      <w:r>
        <w:rPr>
          <w:rFonts w:ascii="宋体" w:hAnsi="宋体" w:hint="eastAsia"/>
          <w:sz w:val="24"/>
        </w:rPr>
        <w:t>本基金以定期开放方式运作，即采取在封闭期内封闭运作、封闭期与封闭期之间定期开放的运作方式。</w:t>
      </w:r>
    </w:p>
    <w:p w:rsidR="00887ABD" w:rsidRDefault="00B222D4">
      <w:pPr>
        <w:widowControl/>
        <w:spacing w:line="360" w:lineRule="auto"/>
        <w:ind w:firstLineChars="200" w:firstLine="480"/>
        <w:rPr>
          <w:rFonts w:ascii="宋体" w:hAnsi="宋体"/>
          <w:sz w:val="24"/>
        </w:rPr>
      </w:pPr>
      <w:r>
        <w:rPr>
          <w:rFonts w:ascii="宋体" w:hAnsi="宋体" w:hint="eastAsia"/>
          <w:sz w:val="24"/>
        </w:rPr>
        <w:t>本基金以三个月为一个封闭期，在封闭期内，本基金不接受基金份额的申购和赎回。本基金的封闭期为自基金合同生效日（包括基金合同生效日）或每个开</w:t>
      </w:r>
      <w:r>
        <w:rPr>
          <w:rFonts w:ascii="宋体" w:hAnsi="宋体" w:hint="eastAsia"/>
          <w:sz w:val="24"/>
        </w:rPr>
        <w:lastRenderedPageBreak/>
        <w:t>放期结束之日次日起（包括该日）至三个月后的对日的前一日止。如该对日不存在，则对日调整至该对应月度的最后一个工作日；如该对日为非工作日，则顺延至下一工作日。</w:t>
      </w:r>
    </w:p>
    <w:p w:rsidR="00887ABD" w:rsidRDefault="00B222D4">
      <w:pPr>
        <w:widowControl/>
        <w:spacing w:line="360" w:lineRule="auto"/>
        <w:ind w:firstLineChars="200" w:firstLine="480"/>
        <w:rPr>
          <w:rFonts w:ascii="宋体" w:hAnsi="宋体"/>
          <w:sz w:val="24"/>
        </w:rPr>
      </w:pPr>
      <w:r>
        <w:rPr>
          <w:rFonts w:ascii="宋体" w:hAnsi="宋体" w:hint="eastAsia"/>
          <w:sz w:val="24"/>
        </w:rPr>
        <w:t>开放期为本基金开放申购、赎回等业务的期间。本基金自每个封闭期结束之日的下一个工作日起进入开放期。本基金的每个开放期不少于</w:t>
      </w:r>
      <w:r>
        <w:rPr>
          <w:rFonts w:ascii="宋体" w:hAnsi="宋体" w:hint="eastAsia"/>
          <w:sz w:val="24"/>
        </w:rPr>
        <w:t>5</w:t>
      </w:r>
      <w:r>
        <w:rPr>
          <w:rFonts w:ascii="宋体" w:hAnsi="宋体" w:hint="eastAsia"/>
          <w:sz w:val="24"/>
        </w:rPr>
        <w:t>个工作日、不超过</w:t>
      </w:r>
      <w:r>
        <w:rPr>
          <w:rFonts w:ascii="宋体" w:hAnsi="宋体" w:hint="eastAsia"/>
          <w:sz w:val="24"/>
        </w:rPr>
        <w:t>20</w:t>
      </w:r>
      <w:r>
        <w:rPr>
          <w:rFonts w:ascii="宋体" w:hAnsi="宋体" w:hint="eastAsia"/>
          <w:sz w:val="24"/>
        </w:rPr>
        <w:t>个工作日，开放期的具体时间以基金管理人届时公告为准，且基金管理人最迟应于开放期</w:t>
      </w:r>
      <w:r>
        <w:rPr>
          <w:rFonts w:ascii="宋体" w:hAnsi="宋体" w:hint="eastAsia"/>
          <w:sz w:val="24"/>
        </w:rPr>
        <w:t>开始的</w:t>
      </w:r>
      <w:r>
        <w:rPr>
          <w:rFonts w:ascii="宋体" w:hAnsi="宋体" w:hint="eastAsia"/>
          <w:sz w:val="24"/>
        </w:rPr>
        <w:t>2</w:t>
      </w:r>
      <w:r>
        <w:rPr>
          <w:rFonts w:ascii="宋体" w:hAnsi="宋体" w:hint="eastAsia"/>
          <w:sz w:val="24"/>
        </w:rPr>
        <w:t>日前进行公告。</w:t>
      </w:r>
    </w:p>
    <w:p w:rsidR="00887ABD" w:rsidRDefault="00B222D4">
      <w:pPr>
        <w:widowControl/>
        <w:spacing w:line="360" w:lineRule="auto"/>
        <w:ind w:firstLineChars="200" w:firstLine="480"/>
        <w:rPr>
          <w:rFonts w:ascii="宋体" w:hAnsi="宋体" w:cs="宋体"/>
          <w:kern w:val="0"/>
          <w:sz w:val="24"/>
        </w:rPr>
      </w:pPr>
      <w:r>
        <w:rPr>
          <w:rFonts w:ascii="宋体" w:hAnsi="宋体" w:hint="eastAsia"/>
          <w:sz w:val="24"/>
        </w:rPr>
        <w:t>本基金</w:t>
      </w:r>
      <w:r>
        <w:rPr>
          <w:rFonts w:ascii="宋体" w:hAnsi="宋体" w:hint="eastAsia"/>
          <w:sz w:val="24"/>
        </w:rPr>
        <w:t>第</w:t>
      </w:r>
      <w:r>
        <w:rPr>
          <w:rFonts w:ascii="宋体" w:hAnsi="宋体" w:hint="eastAsia"/>
          <w:sz w:val="24"/>
        </w:rPr>
        <w:t>二十九</w:t>
      </w:r>
      <w:r>
        <w:rPr>
          <w:rFonts w:ascii="宋体" w:hAnsi="宋体" w:hint="eastAsia"/>
          <w:sz w:val="24"/>
        </w:rPr>
        <w:t>个</w:t>
      </w:r>
      <w:r>
        <w:rPr>
          <w:rFonts w:ascii="宋体" w:hAnsi="宋体" w:hint="eastAsia"/>
          <w:sz w:val="24"/>
        </w:rPr>
        <w:t>封闭期为</w:t>
      </w:r>
      <w:r>
        <w:rPr>
          <w:rFonts w:ascii="宋体" w:hAnsi="宋体" w:hint="eastAsia"/>
          <w:sz w:val="24"/>
        </w:rPr>
        <w:t>202</w:t>
      </w:r>
      <w:r>
        <w:rPr>
          <w:rFonts w:ascii="宋体" w:hAnsi="宋体" w:hint="eastAsia"/>
          <w:sz w:val="24"/>
        </w:rPr>
        <w:t>6</w:t>
      </w:r>
      <w:r>
        <w:rPr>
          <w:rFonts w:ascii="宋体" w:hAnsi="宋体" w:hint="eastAsia"/>
          <w:sz w:val="24"/>
        </w:rPr>
        <w:t>年</w:t>
      </w:r>
      <w:r>
        <w:rPr>
          <w:rFonts w:ascii="宋体" w:hAnsi="宋体" w:hint="eastAsia"/>
          <w:sz w:val="24"/>
        </w:rPr>
        <w:t>6</w:t>
      </w:r>
      <w:r>
        <w:rPr>
          <w:rFonts w:ascii="宋体" w:hAnsi="宋体" w:hint="eastAsia"/>
          <w:sz w:val="24"/>
        </w:rPr>
        <w:t>月</w:t>
      </w:r>
      <w:r>
        <w:rPr>
          <w:rFonts w:ascii="宋体" w:hAnsi="宋体" w:hint="eastAsia"/>
          <w:sz w:val="24"/>
        </w:rPr>
        <w:t>17</w:t>
      </w:r>
      <w:r>
        <w:rPr>
          <w:rFonts w:ascii="宋体" w:hAnsi="宋体" w:hint="eastAsia"/>
          <w:sz w:val="24"/>
        </w:rPr>
        <w:t>日至</w:t>
      </w:r>
      <w:r>
        <w:rPr>
          <w:rFonts w:ascii="宋体" w:hAnsi="宋体" w:hint="eastAsia"/>
          <w:sz w:val="24"/>
        </w:rPr>
        <w:t>202</w:t>
      </w:r>
      <w:r>
        <w:rPr>
          <w:rFonts w:ascii="宋体" w:hAnsi="宋体" w:hint="eastAsia"/>
          <w:sz w:val="24"/>
        </w:rPr>
        <w:t>6</w:t>
      </w:r>
      <w:r>
        <w:rPr>
          <w:rFonts w:ascii="宋体" w:hAnsi="宋体" w:hint="eastAsia"/>
          <w:sz w:val="24"/>
        </w:rPr>
        <w:t>年</w:t>
      </w:r>
      <w:r>
        <w:rPr>
          <w:rFonts w:ascii="宋体" w:hAnsi="宋体" w:hint="eastAsia"/>
          <w:sz w:val="24"/>
        </w:rPr>
        <w:t>9</w:t>
      </w:r>
      <w:r>
        <w:rPr>
          <w:rFonts w:ascii="宋体" w:hAnsi="宋体" w:hint="eastAsia"/>
          <w:sz w:val="24"/>
        </w:rPr>
        <w:t>月</w:t>
      </w:r>
      <w:r>
        <w:rPr>
          <w:rFonts w:ascii="宋体" w:hAnsi="宋体" w:hint="eastAsia"/>
          <w:sz w:val="24"/>
        </w:rPr>
        <w:t>16</w:t>
      </w:r>
      <w:r>
        <w:rPr>
          <w:rFonts w:ascii="宋体" w:hAnsi="宋体" w:hint="eastAsia"/>
          <w:sz w:val="24"/>
        </w:rPr>
        <w:t>日。</w:t>
      </w:r>
      <w:r>
        <w:rPr>
          <w:rFonts w:ascii="宋体" w:hAnsi="宋体" w:hint="eastAsia"/>
          <w:bCs/>
          <w:sz w:val="24"/>
        </w:rPr>
        <w:t>本基金</w:t>
      </w:r>
      <w:r>
        <w:rPr>
          <w:rFonts w:ascii="宋体" w:hAnsi="宋体" w:hint="eastAsia"/>
          <w:bCs/>
          <w:sz w:val="24"/>
        </w:rPr>
        <w:t>第</w:t>
      </w:r>
      <w:r>
        <w:rPr>
          <w:rFonts w:ascii="宋体" w:hAnsi="宋体" w:hint="eastAsia"/>
          <w:bCs/>
          <w:sz w:val="24"/>
        </w:rPr>
        <w:t>二十九</w:t>
      </w:r>
      <w:r>
        <w:rPr>
          <w:rFonts w:ascii="宋体" w:hAnsi="宋体" w:hint="eastAsia"/>
          <w:bCs/>
          <w:sz w:val="24"/>
        </w:rPr>
        <w:t>个</w:t>
      </w:r>
      <w:r>
        <w:rPr>
          <w:rFonts w:ascii="宋体" w:hAnsi="宋体" w:hint="eastAsia"/>
          <w:bCs/>
          <w:sz w:val="24"/>
        </w:rPr>
        <w:t>开放期为</w:t>
      </w:r>
      <w:r>
        <w:rPr>
          <w:rFonts w:ascii="宋体" w:hAnsi="宋体" w:cs="宋体"/>
          <w:kern w:val="0"/>
          <w:sz w:val="24"/>
        </w:rPr>
        <w:t>20</w:t>
      </w:r>
      <w:r>
        <w:rPr>
          <w:rFonts w:ascii="宋体" w:hAnsi="宋体" w:cs="宋体" w:hint="eastAsia"/>
          <w:kern w:val="0"/>
          <w:sz w:val="24"/>
        </w:rPr>
        <w:t>2</w:t>
      </w:r>
      <w:r>
        <w:rPr>
          <w:rFonts w:ascii="宋体" w:hAnsi="宋体" w:cs="宋体" w:hint="eastAsia"/>
          <w:kern w:val="0"/>
          <w:sz w:val="24"/>
        </w:rPr>
        <w:t>6</w:t>
      </w:r>
      <w:r>
        <w:rPr>
          <w:rFonts w:ascii="宋体" w:hAnsi="宋体" w:cs="宋体"/>
          <w:kern w:val="0"/>
          <w:sz w:val="24"/>
        </w:rPr>
        <w:t>年</w:t>
      </w:r>
      <w:r>
        <w:rPr>
          <w:rFonts w:ascii="宋体" w:hAnsi="宋体" w:cs="宋体" w:hint="eastAsia"/>
          <w:kern w:val="0"/>
          <w:sz w:val="24"/>
        </w:rPr>
        <w:t>9</w:t>
      </w:r>
      <w:r>
        <w:rPr>
          <w:rFonts w:ascii="宋体" w:hAnsi="宋体" w:cs="宋体"/>
          <w:kern w:val="0"/>
          <w:sz w:val="24"/>
        </w:rPr>
        <w:t>月</w:t>
      </w:r>
      <w:r>
        <w:rPr>
          <w:rFonts w:ascii="宋体" w:hAnsi="宋体" w:cs="宋体" w:hint="eastAsia"/>
          <w:kern w:val="0"/>
          <w:sz w:val="24"/>
        </w:rPr>
        <w:t>17</w:t>
      </w:r>
      <w:r>
        <w:rPr>
          <w:rFonts w:ascii="宋体" w:hAnsi="宋体" w:cs="宋体" w:hint="eastAsia"/>
          <w:kern w:val="0"/>
          <w:sz w:val="24"/>
        </w:rPr>
        <w:t>日起至</w:t>
      </w:r>
      <w:r>
        <w:rPr>
          <w:rFonts w:ascii="宋体" w:hAnsi="宋体" w:cs="宋体"/>
          <w:kern w:val="0"/>
          <w:sz w:val="24"/>
        </w:rPr>
        <w:t>20</w:t>
      </w:r>
      <w:r>
        <w:rPr>
          <w:rFonts w:ascii="宋体" w:hAnsi="宋体" w:cs="宋体" w:hint="eastAsia"/>
          <w:kern w:val="0"/>
          <w:sz w:val="24"/>
        </w:rPr>
        <w:t>2</w:t>
      </w:r>
      <w:r>
        <w:rPr>
          <w:rFonts w:ascii="宋体" w:hAnsi="宋体" w:cs="宋体" w:hint="eastAsia"/>
          <w:kern w:val="0"/>
          <w:sz w:val="24"/>
        </w:rPr>
        <w:t>6</w:t>
      </w:r>
      <w:r>
        <w:rPr>
          <w:rFonts w:ascii="宋体" w:hAnsi="宋体" w:cs="宋体"/>
          <w:kern w:val="0"/>
          <w:sz w:val="24"/>
        </w:rPr>
        <w:t>年</w:t>
      </w:r>
      <w:r>
        <w:rPr>
          <w:rFonts w:ascii="宋体" w:hAnsi="宋体" w:cs="宋体" w:hint="eastAsia"/>
          <w:kern w:val="0"/>
          <w:sz w:val="24"/>
        </w:rPr>
        <w:t>9</w:t>
      </w:r>
      <w:r>
        <w:rPr>
          <w:rFonts w:ascii="宋体" w:hAnsi="宋体" w:cs="宋体"/>
          <w:kern w:val="0"/>
          <w:sz w:val="24"/>
        </w:rPr>
        <w:t>月</w:t>
      </w:r>
      <w:r>
        <w:rPr>
          <w:rFonts w:ascii="宋体" w:hAnsi="宋体" w:cs="宋体" w:hint="eastAsia"/>
          <w:kern w:val="0"/>
          <w:sz w:val="24"/>
        </w:rPr>
        <w:t>23</w:t>
      </w:r>
      <w:r>
        <w:rPr>
          <w:rFonts w:ascii="宋体" w:hAnsi="宋体" w:cs="宋体" w:hint="eastAsia"/>
          <w:kern w:val="0"/>
          <w:sz w:val="24"/>
        </w:rPr>
        <w:t>日，开放期内本基金接受申购、赎回业务申请。具体办理时间为上海证券交易所、深圳证券交易所的正常交易日的交易时间，但基金管理人根据法律法规、中国证监会的要求或本基金合同的规定公告暂停申购、赎回时除外。由于各销售机构系统及业务安排等原因，开放期的具体办理时间投资者应以各销售机构规定的具体时间为准。</w:t>
      </w:r>
    </w:p>
    <w:p w:rsidR="00887ABD" w:rsidRDefault="00B222D4">
      <w:pPr>
        <w:widowControl/>
        <w:spacing w:line="360" w:lineRule="auto"/>
        <w:ind w:firstLineChars="200" w:firstLine="480"/>
        <w:rPr>
          <w:rFonts w:ascii="宋体" w:hAnsi="宋体"/>
          <w:bCs/>
          <w:sz w:val="24"/>
        </w:rPr>
      </w:pPr>
      <w:r>
        <w:rPr>
          <w:rFonts w:ascii="宋体" w:hAnsi="宋体" w:hint="eastAsia"/>
          <w:bCs/>
          <w:sz w:val="24"/>
        </w:rPr>
        <w:t>自</w:t>
      </w:r>
      <w:r>
        <w:rPr>
          <w:rFonts w:ascii="宋体" w:hAnsi="宋体"/>
          <w:bCs/>
          <w:sz w:val="24"/>
        </w:rPr>
        <w:t>20</w:t>
      </w:r>
      <w:r>
        <w:rPr>
          <w:rFonts w:ascii="宋体" w:hAnsi="宋体" w:hint="eastAsia"/>
          <w:bCs/>
          <w:sz w:val="24"/>
        </w:rPr>
        <w:t>2</w:t>
      </w:r>
      <w:r>
        <w:rPr>
          <w:rFonts w:ascii="宋体" w:hAnsi="宋体" w:hint="eastAsia"/>
          <w:bCs/>
          <w:sz w:val="24"/>
        </w:rPr>
        <w:t>6</w:t>
      </w:r>
      <w:r>
        <w:rPr>
          <w:rFonts w:ascii="宋体" w:hAnsi="宋体"/>
          <w:bCs/>
          <w:sz w:val="24"/>
        </w:rPr>
        <w:t>年</w:t>
      </w:r>
      <w:r>
        <w:rPr>
          <w:rFonts w:ascii="宋体" w:hAnsi="宋体" w:hint="eastAsia"/>
          <w:bCs/>
          <w:sz w:val="24"/>
        </w:rPr>
        <w:t>9</w:t>
      </w:r>
      <w:r>
        <w:rPr>
          <w:rFonts w:ascii="宋体" w:hAnsi="宋体"/>
          <w:bCs/>
          <w:sz w:val="24"/>
        </w:rPr>
        <w:t>月</w:t>
      </w:r>
      <w:r>
        <w:rPr>
          <w:rFonts w:ascii="宋体" w:hAnsi="宋体" w:hint="eastAsia"/>
          <w:bCs/>
          <w:sz w:val="24"/>
        </w:rPr>
        <w:t>24</w:t>
      </w:r>
      <w:r>
        <w:rPr>
          <w:rFonts w:ascii="宋体" w:hAnsi="宋体" w:hint="eastAsia"/>
          <w:bCs/>
          <w:sz w:val="24"/>
        </w:rPr>
        <w:t>日</w:t>
      </w:r>
      <w:r>
        <w:rPr>
          <w:rFonts w:ascii="宋体" w:hAnsi="宋体" w:hint="eastAsia"/>
          <w:bCs/>
          <w:sz w:val="24"/>
        </w:rPr>
        <w:t>起</w:t>
      </w:r>
      <w:r>
        <w:rPr>
          <w:rFonts w:ascii="宋体" w:hAnsi="宋体" w:hint="eastAsia"/>
          <w:bCs/>
          <w:sz w:val="24"/>
        </w:rPr>
        <w:t>本基金进入第</w:t>
      </w:r>
      <w:r>
        <w:rPr>
          <w:rFonts w:ascii="宋体" w:hAnsi="宋体" w:hint="eastAsia"/>
          <w:bCs/>
          <w:sz w:val="24"/>
        </w:rPr>
        <w:t>三十</w:t>
      </w:r>
      <w:r>
        <w:rPr>
          <w:rFonts w:ascii="宋体" w:hAnsi="宋体" w:hint="eastAsia"/>
          <w:bCs/>
          <w:sz w:val="24"/>
        </w:rPr>
        <w:t>个封闭期，封闭期内不办理申购与赎回业务。敬请投资者关注。</w:t>
      </w:r>
    </w:p>
    <w:p w:rsidR="00887ABD" w:rsidRDefault="00B222D4">
      <w:pPr>
        <w:widowControl/>
        <w:spacing w:line="360" w:lineRule="auto"/>
        <w:ind w:firstLineChars="200" w:firstLine="480"/>
        <w:rPr>
          <w:rFonts w:ascii="宋体" w:hAnsi="宋体"/>
          <w:bCs/>
          <w:sz w:val="24"/>
        </w:rPr>
      </w:pPr>
      <w:r>
        <w:rPr>
          <w:rFonts w:ascii="宋体" w:hAnsi="宋体" w:hint="eastAsia"/>
          <w:bCs/>
          <w:sz w:val="24"/>
        </w:rPr>
        <w:t>如封闭期结束后或在开放期内发生不可抗力或其他情形致使基金无法按时开放申购与赎回业务的，开放期时间中止计算，在不可抗力或其他情形影响因素消除之日次一工作日起，继续计算该开放期时间，直至满足开放期的时间要求，具体时间以基金管理人届时公告为准。</w:t>
      </w:r>
    </w:p>
    <w:p w:rsidR="00887ABD" w:rsidRDefault="00B222D4">
      <w:pPr>
        <w:widowControl/>
        <w:spacing w:line="360" w:lineRule="auto"/>
        <w:ind w:firstLineChars="200" w:firstLine="480"/>
        <w:rPr>
          <w:rFonts w:ascii="宋体" w:hAnsi="宋体"/>
          <w:bCs/>
          <w:sz w:val="24"/>
        </w:rPr>
      </w:pPr>
      <w:r>
        <w:rPr>
          <w:rFonts w:ascii="宋体" w:hAnsi="宋体" w:hint="eastAsia"/>
          <w:bCs/>
          <w:sz w:val="24"/>
        </w:rPr>
        <w:t>基金合同生效后，若出现新的证券交易市场、证券交易所交易时间变更或其他特殊情况，基金管理人将视情况对前述开放日及开放时间进行相应的调整，但应在实施日前依照《</w:t>
      </w:r>
      <w:r>
        <w:rPr>
          <w:rFonts w:ascii="宋体" w:hAnsi="宋体" w:cs="宋体" w:hint="eastAsia"/>
          <w:kern w:val="0"/>
          <w:sz w:val="24"/>
        </w:rPr>
        <w:t>公开募集</w:t>
      </w:r>
      <w:r>
        <w:rPr>
          <w:rFonts w:ascii="宋体" w:hAnsi="宋体" w:hint="eastAsia"/>
          <w:bCs/>
          <w:sz w:val="24"/>
        </w:rPr>
        <w:t>证券投资基金信息披露管理办法》的有关规定在规定媒介上</w:t>
      </w:r>
      <w:r>
        <w:rPr>
          <w:rFonts w:ascii="宋体" w:hAnsi="宋体" w:hint="eastAsia"/>
          <w:bCs/>
          <w:sz w:val="24"/>
        </w:rPr>
        <w:t>公告。</w:t>
      </w:r>
    </w:p>
    <w:p w:rsidR="00887ABD" w:rsidRDefault="00B222D4">
      <w:pPr>
        <w:spacing w:line="360" w:lineRule="auto"/>
        <w:ind w:firstLineChars="200" w:firstLine="480"/>
        <w:rPr>
          <w:rFonts w:ascii="宋体" w:cs="宋体"/>
          <w:kern w:val="0"/>
          <w:sz w:val="24"/>
        </w:rPr>
      </w:pPr>
      <w:r>
        <w:rPr>
          <w:rFonts w:ascii="宋体" w:hAnsi="宋体" w:hint="eastAsia"/>
          <w:bCs/>
          <w:sz w:val="24"/>
        </w:rPr>
        <w:t>基金管理人不得在基金合同约定之外的日期或者时间办理基金份额的申购、赎回或者转换。在开放期内，投资人在基金合同约定之外的日期和时间提出申购、赎回或转换申请且登记机构确认接受的，其基金份额申购、赎回价格为该开放期内下一开放日基金份额申购、赎回的价格。但若投资人在开放期最后一个开放日业务办理时间结束之后提出申购、赎回或者转换等申请的，视为无效申请。</w:t>
      </w:r>
    </w:p>
    <w:p w:rsidR="00887ABD" w:rsidRDefault="00B222D4">
      <w:pPr>
        <w:widowControl/>
        <w:spacing w:line="360" w:lineRule="auto"/>
        <w:rPr>
          <w:rFonts w:ascii="宋体" w:cs="宋体"/>
          <w:b/>
          <w:kern w:val="0"/>
          <w:sz w:val="24"/>
        </w:rPr>
      </w:pPr>
      <w:r>
        <w:rPr>
          <w:rFonts w:ascii="宋体" w:hAnsi="宋体" w:cs="宋体"/>
          <w:b/>
          <w:kern w:val="0"/>
          <w:sz w:val="24"/>
        </w:rPr>
        <w:t>3.</w:t>
      </w:r>
      <w:r>
        <w:rPr>
          <w:rFonts w:ascii="宋体" w:hAnsi="宋体" w:cs="宋体" w:hint="eastAsia"/>
          <w:b/>
          <w:kern w:val="0"/>
          <w:sz w:val="24"/>
        </w:rPr>
        <w:t>日常申购业务</w:t>
      </w:r>
    </w:p>
    <w:p w:rsidR="00887ABD" w:rsidRDefault="00B222D4">
      <w:pPr>
        <w:widowControl/>
        <w:spacing w:line="360" w:lineRule="auto"/>
        <w:rPr>
          <w:rFonts w:ascii="宋体" w:cs="宋体"/>
          <w:b/>
          <w:kern w:val="0"/>
          <w:sz w:val="24"/>
        </w:rPr>
      </w:pPr>
      <w:r>
        <w:rPr>
          <w:rFonts w:ascii="宋体" w:hAnsi="宋体" w:cs="宋体"/>
          <w:b/>
          <w:kern w:val="0"/>
          <w:sz w:val="24"/>
        </w:rPr>
        <w:lastRenderedPageBreak/>
        <w:t>3.1</w:t>
      </w:r>
      <w:r>
        <w:rPr>
          <w:rFonts w:ascii="宋体" w:hAnsi="宋体" w:cs="宋体" w:hint="eastAsia"/>
          <w:b/>
          <w:kern w:val="0"/>
          <w:sz w:val="24"/>
        </w:rPr>
        <w:t>申购金额限制</w:t>
      </w:r>
    </w:p>
    <w:p w:rsidR="00887ABD" w:rsidRDefault="00B222D4">
      <w:pPr>
        <w:widowControl/>
        <w:spacing w:line="360" w:lineRule="auto"/>
        <w:ind w:firstLineChars="200" w:firstLine="480"/>
        <w:rPr>
          <w:rFonts w:ascii="宋体" w:hAnsi="宋体" w:cs="宋体"/>
          <w:kern w:val="0"/>
          <w:sz w:val="24"/>
        </w:rPr>
      </w:pPr>
      <w:r>
        <w:rPr>
          <w:rFonts w:ascii="宋体" w:hAnsi="宋体" w:cs="宋体" w:hint="eastAsia"/>
          <w:kern w:val="0"/>
          <w:sz w:val="24"/>
        </w:rPr>
        <w:t>（</w:t>
      </w:r>
      <w:r>
        <w:rPr>
          <w:rFonts w:ascii="宋体" w:hAnsi="宋体" w:cs="宋体" w:hint="eastAsia"/>
          <w:kern w:val="0"/>
          <w:sz w:val="24"/>
        </w:rPr>
        <w:t>1</w:t>
      </w:r>
      <w:r>
        <w:rPr>
          <w:rFonts w:ascii="宋体" w:hAnsi="宋体" w:cs="宋体" w:hint="eastAsia"/>
          <w:kern w:val="0"/>
          <w:sz w:val="24"/>
        </w:rPr>
        <w:t>）投资人通过销售机构申购本基金基金份额单笔最低金额为人民币</w:t>
      </w:r>
      <w:r>
        <w:rPr>
          <w:rFonts w:ascii="宋体" w:hAnsi="宋体" w:cs="宋体" w:hint="eastAsia"/>
          <w:kern w:val="0"/>
          <w:sz w:val="24"/>
        </w:rPr>
        <w:t>10</w:t>
      </w:r>
      <w:r>
        <w:rPr>
          <w:rFonts w:ascii="宋体" w:hAnsi="宋体" w:cs="宋体" w:hint="eastAsia"/>
          <w:kern w:val="0"/>
          <w:sz w:val="24"/>
        </w:rPr>
        <w:t>元（含申购费），追加申购单笔最低金额为</w:t>
      </w:r>
      <w:r>
        <w:rPr>
          <w:rFonts w:ascii="宋体" w:hAnsi="宋体" w:cs="宋体" w:hint="eastAsia"/>
          <w:kern w:val="0"/>
          <w:sz w:val="24"/>
        </w:rPr>
        <w:t>1</w:t>
      </w:r>
      <w:r>
        <w:rPr>
          <w:rFonts w:ascii="宋体" w:hAnsi="宋体" w:cs="宋体" w:hint="eastAsia"/>
          <w:kern w:val="0"/>
          <w:sz w:val="24"/>
        </w:rPr>
        <w:t>元。各销售机构对本基金最低申购金额及交易级差有其他规定的，以各销售机构的业务规定为准。</w:t>
      </w:r>
    </w:p>
    <w:p w:rsidR="00887ABD" w:rsidRDefault="00B222D4">
      <w:pPr>
        <w:widowControl/>
        <w:spacing w:line="360" w:lineRule="auto"/>
        <w:ind w:firstLineChars="200" w:firstLine="480"/>
        <w:rPr>
          <w:rFonts w:ascii="宋体" w:hAnsi="宋体" w:cs="宋体"/>
          <w:kern w:val="0"/>
          <w:sz w:val="24"/>
        </w:rPr>
      </w:pPr>
      <w:r>
        <w:rPr>
          <w:rFonts w:ascii="宋体" w:hAnsi="宋体" w:cs="宋体" w:hint="eastAsia"/>
          <w:kern w:val="0"/>
          <w:sz w:val="24"/>
        </w:rPr>
        <w:t>通过基金管理人的直销柜台首次申购本基金基金份额的最低金额为人民币</w:t>
      </w:r>
      <w:r>
        <w:rPr>
          <w:rFonts w:ascii="宋体" w:hAnsi="宋体" w:cs="宋体" w:hint="eastAsia"/>
          <w:kern w:val="0"/>
          <w:sz w:val="24"/>
        </w:rPr>
        <w:t>1</w:t>
      </w:r>
      <w:r>
        <w:rPr>
          <w:rFonts w:ascii="宋体" w:hAnsi="宋体" w:cs="宋体" w:hint="eastAsia"/>
          <w:kern w:val="0"/>
          <w:sz w:val="24"/>
        </w:rPr>
        <w:t>元（含申购费），追加申购的最低金额为单笔</w:t>
      </w:r>
      <w:r>
        <w:rPr>
          <w:rFonts w:ascii="宋体" w:hAnsi="宋体" w:cs="宋体" w:hint="eastAsia"/>
          <w:kern w:val="0"/>
          <w:sz w:val="24"/>
        </w:rPr>
        <w:t>1</w:t>
      </w:r>
      <w:r>
        <w:rPr>
          <w:rFonts w:ascii="宋体" w:hAnsi="宋体" w:cs="宋体" w:hint="eastAsia"/>
          <w:kern w:val="0"/>
          <w:sz w:val="24"/>
        </w:rPr>
        <w:t>元。其他销售机构的投资者欲转入直销</w:t>
      </w:r>
      <w:r>
        <w:rPr>
          <w:rFonts w:ascii="宋体" w:hAnsi="宋体" w:cs="宋体" w:hint="eastAsia"/>
          <w:kern w:val="0"/>
          <w:sz w:val="24"/>
        </w:rPr>
        <w:t>柜台</w:t>
      </w:r>
      <w:r>
        <w:rPr>
          <w:rFonts w:ascii="宋体" w:hAnsi="宋体" w:cs="宋体" w:hint="eastAsia"/>
          <w:kern w:val="0"/>
          <w:sz w:val="24"/>
        </w:rPr>
        <w:t>进行交易须受直销</w:t>
      </w:r>
      <w:r>
        <w:rPr>
          <w:rFonts w:ascii="宋体" w:hAnsi="宋体" w:cs="宋体" w:hint="eastAsia"/>
          <w:kern w:val="0"/>
          <w:sz w:val="24"/>
        </w:rPr>
        <w:t>柜台</w:t>
      </w:r>
      <w:r>
        <w:rPr>
          <w:rFonts w:ascii="宋体" w:hAnsi="宋体" w:cs="宋体" w:hint="eastAsia"/>
          <w:kern w:val="0"/>
          <w:sz w:val="24"/>
        </w:rPr>
        <w:t>最低申购金额的限制。</w:t>
      </w:r>
    </w:p>
    <w:p w:rsidR="00887ABD" w:rsidRDefault="00B222D4">
      <w:pPr>
        <w:widowControl/>
        <w:spacing w:line="360" w:lineRule="auto"/>
        <w:ind w:firstLineChars="200" w:firstLine="480"/>
        <w:rPr>
          <w:rFonts w:ascii="宋体" w:hAnsi="宋体" w:cs="宋体"/>
          <w:kern w:val="0"/>
          <w:sz w:val="24"/>
        </w:rPr>
      </w:pPr>
      <w:r>
        <w:rPr>
          <w:rFonts w:ascii="宋体" w:hAnsi="宋体" w:cs="宋体" w:hint="eastAsia"/>
          <w:kern w:val="0"/>
          <w:sz w:val="24"/>
        </w:rPr>
        <w:t>（</w:t>
      </w:r>
      <w:r>
        <w:rPr>
          <w:rFonts w:ascii="宋体" w:hAnsi="宋体" w:cs="宋体" w:hint="eastAsia"/>
          <w:kern w:val="0"/>
          <w:sz w:val="24"/>
        </w:rPr>
        <w:t>2</w:t>
      </w:r>
      <w:r>
        <w:rPr>
          <w:rFonts w:ascii="宋体" w:hAnsi="宋体" w:cs="宋体" w:hint="eastAsia"/>
          <w:kern w:val="0"/>
          <w:sz w:val="24"/>
        </w:rPr>
        <w:t>）投资者当期分配的基金收益转为基金份额时，不受最低申购金额的限制。基金管理人可根据市场情况，调整本基金首次申购的最低金额和追加申购的最低金额。</w:t>
      </w:r>
    </w:p>
    <w:p w:rsidR="00887ABD" w:rsidRDefault="00B222D4">
      <w:pPr>
        <w:widowControl/>
        <w:spacing w:line="360" w:lineRule="auto"/>
        <w:ind w:firstLineChars="200" w:firstLine="480"/>
        <w:rPr>
          <w:rFonts w:ascii="宋体" w:hAnsi="宋体" w:cs="宋体"/>
          <w:kern w:val="0"/>
          <w:sz w:val="24"/>
        </w:rPr>
      </w:pPr>
      <w:r>
        <w:rPr>
          <w:rFonts w:ascii="宋体" w:hAnsi="宋体" w:cs="宋体" w:hint="eastAsia"/>
          <w:kern w:val="0"/>
          <w:sz w:val="24"/>
        </w:rPr>
        <w:t>投资者可多次申购，对单个投资者的累计持有基金份额的比例或数量不设上限限制，法律法规、中国证监会另有规定的除外。</w:t>
      </w:r>
    </w:p>
    <w:p w:rsidR="00887ABD" w:rsidRDefault="00B222D4">
      <w:pPr>
        <w:widowControl/>
        <w:spacing w:line="360" w:lineRule="auto"/>
        <w:ind w:firstLineChars="200" w:firstLine="480"/>
        <w:rPr>
          <w:rFonts w:ascii="宋体" w:hAnsi="宋体" w:cs="宋体"/>
          <w:kern w:val="0"/>
          <w:sz w:val="24"/>
        </w:rPr>
      </w:pPr>
      <w:r>
        <w:rPr>
          <w:rFonts w:ascii="宋体" w:hAnsi="宋体" w:cs="宋体" w:hint="eastAsia"/>
          <w:kern w:val="0"/>
          <w:sz w:val="24"/>
        </w:rPr>
        <w:t>（</w:t>
      </w:r>
      <w:r>
        <w:rPr>
          <w:rFonts w:ascii="宋体" w:hAnsi="宋体" w:cs="宋体" w:hint="eastAsia"/>
          <w:kern w:val="0"/>
          <w:sz w:val="24"/>
        </w:rPr>
        <w:t>3</w:t>
      </w:r>
      <w:r>
        <w:rPr>
          <w:rFonts w:ascii="宋体" w:hAnsi="宋体" w:cs="宋体" w:hint="eastAsia"/>
          <w:kern w:val="0"/>
          <w:sz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具体请参见相关公告。</w:t>
      </w:r>
    </w:p>
    <w:p w:rsidR="00887ABD" w:rsidRDefault="00B222D4">
      <w:pPr>
        <w:widowControl/>
        <w:spacing w:line="360" w:lineRule="auto"/>
        <w:ind w:firstLineChars="200" w:firstLine="480"/>
        <w:rPr>
          <w:rFonts w:ascii="宋体" w:hAnsi="宋体" w:cs="宋体"/>
          <w:b/>
          <w:kern w:val="0"/>
          <w:sz w:val="24"/>
        </w:rPr>
      </w:pPr>
      <w:r>
        <w:rPr>
          <w:rFonts w:ascii="宋体" w:hAnsi="宋体" w:cs="宋体" w:hint="eastAsia"/>
          <w:kern w:val="0"/>
          <w:sz w:val="24"/>
        </w:rPr>
        <w:t>（</w:t>
      </w:r>
      <w:r>
        <w:rPr>
          <w:rFonts w:ascii="宋体" w:hAnsi="宋体" w:cs="宋体" w:hint="eastAsia"/>
          <w:kern w:val="0"/>
          <w:sz w:val="24"/>
        </w:rPr>
        <w:t>4</w:t>
      </w:r>
      <w:r>
        <w:rPr>
          <w:rFonts w:ascii="宋体" w:hAnsi="宋体" w:cs="宋体" w:hint="eastAsia"/>
          <w:kern w:val="0"/>
          <w:sz w:val="24"/>
        </w:rPr>
        <w:t>）基金管理人可在</w:t>
      </w:r>
      <w:r>
        <w:rPr>
          <w:rFonts w:ascii="宋体" w:hAnsi="宋体" w:cs="宋体" w:hint="eastAsia"/>
          <w:kern w:val="0"/>
          <w:sz w:val="24"/>
        </w:rPr>
        <w:t>法律法规允许的情况下，调整上述规定申购金额的数量限制。基金管理人必须在调整实施前依照《公开募集证券投资基金信息披露管理办法》的有关规定在规定媒介上公告。</w:t>
      </w:r>
    </w:p>
    <w:p w:rsidR="00887ABD" w:rsidRDefault="00B222D4">
      <w:pPr>
        <w:widowControl/>
        <w:spacing w:line="360" w:lineRule="auto"/>
        <w:rPr>
          <w:rFonts w:ascii="宋体" w:cs="宋体"/>
          <w:b/>
          <w:kern w:val="0"/>
          <w:sz w:val="24"/>
        </w:rPr>
      </w:pPr>
      <w:r>
        <w:rPr>
          <w:rFonts w:ascii="宋体" w:hAnsi="宋体" w:cs="宋体"/>
          <w:b/>
          <w:kern w:val="0"/>
          <w:sz w:val="24"/>
        </w:rPr>
        <w:t>3.2</w:t>
      </w:r>
      <w:r>
        <w:rPr>
          <w:rFonts w:ascii="宋体" w:hAnsi="宋体" w:cs="宋体" w:hint="eastAsia"/>
          <w:b/>
          <w:kern w:val="0"/>
          <w:sz w:val="24"/>
        </w:rPr>
        <w:t>申购费率</w:t>
      </w:r>
    </w:p>
    <w:p w:rsidR="00887ABD" w:rsidRDefault="00B222D4">
      <w:pPr>
        <w:spacing w:line="440" w:lineRule="exact"/>
        <w:ind w:firstLine="420"/>
        <w:rPr>
          <w:sz w:val="24"/>
        </w:rPr>
      </w:pPr>
      <w:r>
        <w:rPr>
          <w:rFonts w:hint="eastAsia"/>
          <w:kern w:val="0"/>
          <w:sz w:val="24"/>
        </w:rPr>
        <w:t>申购费用由投资人承担，不列入基金财产，主要用于本基金的市场推广、销售、登记等各项费用。</w:t>
      </w:r>
      <w:r>
        <w:rPr>
          <w:kern w:val="0"/>
          <w:sz w:val="24"/>
        </w:rPr>
        <w:t>本基金在</w:t>
      </w:r>
      <w:r>
        <w:rPr>
          <w:rFonts w:hint="eastAsia"/>
          <w:kern w:val="0"/>
          <w:sz w:val="24"/>
        </w:rPr>
        <w:t>申购</w:t>
      </w:r>
      <w:r>
        <w:rPr>
          <w:kern w:val="0"/>
          <w:sz w:val="24"/>
        </w:rPr>
        <w:t>时收取</w:t>
      </w:r>
      <w:r>
        <w:rPr>
          <w:rFonts w:hint="eastAsia"/>
          <w:kern w:val="0"/>
          <w:sz w:val="24"/>
        </w:rPr>
        <w:t>申购</w:t>
      </w:r>
      <w:r>
        <w:rPr>
          <w:kern w:val="0"/>
          <w:sz w:val="24"/>
        </w:rPr>
        <w:t>费，</w:t>
      </w:r>
      <w:r>
        <w:rPr>
          <w:rFonts w:hint="eastAsia"/>
          <w:kern w:val="0"/>
          <w:sz w:val="24"/>
        </w:rPr>
        <w:t>申购</w:t>
      </w:r>
      <w:r>
        <w:rPr>
          <w:kern w:val="0"/>
          <w:sz w:val="24"/>
        </w:rPr>
        <w:t>费率随</w:t>
      </w:r>
      <w:r>
        <w:rPr>
          <w:rFonts w:hint="eastAsia"/>
          <w:kern w:val="0"/>
          <w:sz w:val="24"/>
        </w:rPr>
        <w:t>申购</w:t>
      </w:r>
      <w:r>
        <w:rPr>
          <w:kern w:val="0"/>
          <w:sz w:val="24"/>
        </w:rPr>
        <w:t>金额的增加而递减。</w:t>
      </w:r>
      <w:r>
        <w:rPr>
          <w:sz w:val="24"/>
        </w:rPr>
        <w:t>本基金申购费用采取前端收费模式，申购费率</w:t>
      </w:r>
      <w:r>
        <w:rPr>
          <w:rFonts w:hint="eastAsia"/>
          <w:sz w:val="24"/>
        </w:rPr>
        <w:t>如下</w:t>
      </w:r>
      <w:r>
        <w:rPr>
          <w:sz w:val="24"/>
        </w:rPr>
        <w:t>：</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89"/>
        <w:gridCol w:w="4531"/>
      </w:tblGrid>
      <w:tr w:rsidR="00887ABD">
        <w:trPr>
          <w:trHeight w:val="442"/>
          <w:jc w:val="center"/>
        </w:trPr>
        <w:tc>
          <w:tcPr>
            <w:tcW w:w="2341" w:type="pct"/>
            <w:vAlign w:val="center"/>
          </w:tcPr>
          <w:p w:rsidR="00887ABD" w:rsidRDefault="00B222D4">
            <w:pPr>
              <w:snapToGrid w:val="0"/>
              <w:spacing w:line="440" w:lineRule="exact"/>
              <w:ind w:firstLineChars="200" w:firstLine="480"/>
              <w:jc w:val="center"/>
              <w:rPr>
                <w:color w:val="000000"/>
                <w:sz w:val="24"/>
              </w:rPr>
            </w:pPr>
            <w:r>
              <w:rPr>
                <w:rFonts w:hint="eastAsia"/>
                <w:color w:val="000000"/>
                <w:sz w:val="24"/>
              </w:rPr>
              <w:t>申购</w:t>
            </w:r>
            <w:r>
              <w:rPr>
                <w:color w:val="000000"/>
                <w:sz w:val="24"/>
              </w:rPr>
              <w:t>金额（</w:t>
            </w:r>
            <w:r>
              <w:rPr>
                <w:rFonts w:hint="eastAsia"/>
                <w:color w:val="000000"/>
                <w:sz w:val="24"/>
              </w:rPr>
              <w:t>M</w:t>
            </w:r>
            <w:r>
              <w:rPr>
                <w:color w:val="000000"/>
                <w:sz w:val="24"/>
              </w:rPr>
              <w:t>）</w:t>
            </w:r>
          </w:p>
        </w:tc>
        <w:tc>
          <w:tcPr>
            <w:tcW w:w="2658" w:type="pct"/>
            <w:vAlign w:val="center"/>
          </w:tcPr>
          <w:p w:rsidR="00887ABD" w:rsidRDefault="00B222D4">
            <w:pPr>
              <w:snapToGrid w:val="0"/>
              <w:spacing w:line="440" w:lineRule="exact"/>
              <w:ind w:firstLineChars="200" w:firstLine="480"/>
              <w:jc w:val="center"/>
              <w:rPr>
                <w:color w:val="000000"/>
                <w:sz w:val="24"/>
              </w:rPr>
            </w:pPr>
            <w:r>
              <w:rPr>
                <w:color w:val="000000"/>
                <w:sz w:val="24"/>
              </w:rPr>
              <w:t>申购费率</w:t>
            </w:r>
          </w:p>
        </w:tc>
      </w:tr>
      <w:tr w:rsidR="00887AB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461"/>
          <w:jc w:val="center"/>
        </w:trPr>
        <w:tc>
          <w:tcPr>
            <w:tcW w:w="2341" w:type="pct"/>
            <w:tcBorders>
              <w:top w:val="single" w:sz="4" w:space="0" w:color="auto"/>
              <w:left w:val="single" w:sz="4" w:space="0" w:color="auto"/>
              <w:bottom w:val="single" w:sz="4" w:space="0" w:color="auto"/>
              <w:right w:val="single" w:sz="4" w:space="0" w:color="auto"/>
            </w:tcBorders>
            <w:vAlign w:val="center"/>
          </w:tcPr>
          <w:p w:rsidR="00887ABD" w:rsidRDefault="00B222D4">
            <w:pPr>
              <w:snapToGrid w:val="0"/>
              <w:spacing w:line="440" w:lineRule="exact"/>
              <w:ind w:firstLineChars="200" w:firstLine="480"/>
              <w:jc w:val="center"/>
              <w:rPr>
                <w:color w:val="000000"/>
                <w:kern w:val="0"/>
                <w:sz w:val="24"/>
                <w:lang w:eastAsia="en-US"/>
              </w:rPr>
            </w:pPr>
            <w:r>
              <w:rPr>
                <w:color w:val="000000"/>
                <w:sz w:val="24"/>
              </w:rPr>
              <w:t>M</w:t>
            </w:r>
            <w:r>
              <w:rPr>
                <w:color w:val="000000"/>
                <w:sz w:val="24"/>
              </w:rPr>
              <w:t>＜</w:t>
            </w:r>
            <w:r>
              <w:rPr>
                <w:color w:val="000000"/>
                <w:sz w:val="24"/>
              </w:rPr>
              <w:t>100</w:t>
            </w:r>
            <w:r>
              <w:rPr>
                <w:color w:val="000000"/>
                <w:sz w:val="24"/>
              </w:rPr>
              <w:t>万</w:t>
            </w:r>
          </w:p>
        </w:tc>
        <w:tc>
          <w:tcPr>
            <w:tcW w:w="2658" w:type="pct"/>
            <w:tcBorders>
              <w:top w:val="single" w:sz="4" w:space="0" w:color="auto"/>
              <w:left w:val="single" w:sz="4" w:space="0" w:color="auto"/>
              <w:bottom w:val="single" w:sz="4" w:space="0" w:color="auto"/>
              <w:right w:val="single" w:sz="4" w:space="0" w:color="auto"/>
            </w:tcBorders>
            <w:vAlign w:val="center"/>
          </w:tcPr>
          <w:p w:rsidR="00887ABD" w:rsidRDefault="00B222D4">
            <w:pPr>
              <w:snapToGrid w:val="0"/>
              <w:spacing w:line="440" w:lineRule="exact"/>
              <w:ind w:firstLineChars="200" w:firstLine="480"/>
              <w:jc w:val="center"/>
              <w:rPr>
                <w:b/>
                <w:bCs/>
                <w:color w:val="000000"/>
                <w:kern w:val="0"/>
                <w:sz w:val="24"/>
                <w:lang w:val="zh-CN"/>
              </w:rPr>
            </w:pPr>
            <w:r>
              <w:rPr>
                <w:rFonts w:hint="eastAsia"/>
                <w:color w:val="000000"/>
                <w:sz w:val="24"/>
              </w:rPr>
              <w:t>0.60</w:t>
            </w:r>
            <w:r>
              <w:rPr>
                <w:color w:val="000000"/>
                <w:sz w:val="24"/>
              </w:rPr>
              <w:t>%</w:t>
            </w:r>
          </w:p>
        </w:tc>
      </w:tr>
      <w:tr w:rsidR="00887AB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465"/>
          <w:jc w:val="center"/>
        </w:trPr>
        <w:tc>
          <w:tcPr>
            <w:tcW w:w="2341" w:type="pct"/>
            <w:tcBorders>
              <w:top w:val="single" w:sz="4" w:space="0" w:color="auto"/>
              <w:left w:val="single" w:sz="4" w:space="0" w:color="auto"/>
              <w:bottom w:val="single" w:sz="4" w:space="0" w:color="auto"/>
              <w:right w:val="single" w:sz="4" w:space="0" w:color="auto"/>
            </w:tcBorders>
            <w:vAlign w:val="center"/>
          </w:tcPr>
          <w:p w:rsidR="00887ABD" w:rsidRDefault="00B222D4">
            <w:pPr>
              <w:snapToGrid w:val="0"/>
              <w:spacing w:line="440" w:lineRule="exact"/>
              <w:ind w:firstLineChars="200" w:firstLine="480"/>
              <w:jc w:val="center"/>
              <w:rPr>
                <w:b/>
                <w:bCs/>
                <w:color w:val="000000"/>
                <w:kern w:val="0"/>
                <w:sz w:val="24"/>
                <w:lang w:val="zh-CN"/>
              </w:rPr>
            </w:pPr>
            <w:r>
              <w:rPr>
                <w:color w:val="000000"/>
                <w:sz w:val="24"/>
              </w:rPr>
              <w:t>100</w:t>
            </w:r>
            <w:r>
              <w:rPr>
                <w:color w:val="000000"/>
                <w:sz w:val="24"/>
              </w:rPr>
              <w:t>万</w:t>
            </w:r>
            <w:r>
              <w:rPr>
                <w:color w:val="000000"/>
                <w:sz w:val="24"/>
              </w:rPr>
              <w:t>≤M</w:t>
            </w:r>
            <w:r>
              <w:rPr>
                <w:color w:val="000000"/>
                <w:sz w:val="24"/>
              </w:rPr>
              <w:t>＜</w:t>
            </w:r>
            <w:r>
              <w:rPr>
                <w:rFonts w:hint="eastAsia"/>
                <w:color w:val="000000"/>
                <w:sz w:val="24"/>
              </w:rPr>
              <w:t>2</w:t>
            </w:r>
            <w:r>
              <w:rPr>
                <w:color w:val="000000"/>
                <w:sz w:val="24"/>
              </w:rPr>
              <w:t>00</w:t>
            </w:r>
            <w:r>
              <w:rPr>
                <w:color w:val="000000"/>
                <w:sz w:val="24"/>
              </w:rPr>
              <w:t>万</w:t>
            </w:r>
          </w:p>
        </w:tc>
        <w:tc>
          <w:tcPr>
            <w:tcW w:w="2658" w:type="pct"/>
            <w:tcBorders>
              <w:top w:val="single" w:sz="4" w:space="0" w:color="auto"/>
              <w:left w:val="single" w:sz="4" w:space="0" w:color="auto"/>
              <w:bottom w:val="single" w:sz="4" w:space="0" w:color="auto"/>
              <w:right w:val="single" w:sz="4" w:space="0" w:color="auto"/>
            </w:tcBorders>
            <w:vAlign w:val="center"/>
          </w:tcPr>
          <w:p w:rsidR="00887ABD" w:rsidRDefault="00B222D4">
            <w:pPr>
              <w:snapToGrid w:val="0"/>
              <w:spacing w:line="440" w:lineRule="exact"/>
              <w:ind w:firstLineChars="200" w:firstLine="480"/>
              <w:jc w:val="center"/>
              <w:rPr>
                <w:b/>
                <w:bCs/>
                <w:color w:val="000000"/>
                <w:kern w:val="0"/>
                <w:sz w:val="24"/>
                <w:lang w:val="zh-CN"/>
              </w:rPr>
            </w:pPr>
            <w:r>
              <w:rPr>
                <w:rFonts w:hint="eastAsia"/>
                <w:color w:val="000000"/>
                <w:sz w:val="24"/>
              </w:rPr>
              <w:t>0.4</w:t>
            </w:r>
            <w:r>
              <w:rPr>
                <w:color w:val="000000"/>
                <w:sz w:val="24"/>
              </w:rPr>
              <w:t>0%</w:t>
            </w:r>
          </w:p>
        </w:tc>
      </w:tr>
      <w:tr w:rsidR="00887AB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455"/>
          <w:jc w:val="center"/>
        </w:trPr>
        <w:tc>
          <w:tcPr>
            <w:tcW w:w="2341" w:type="pct"/>
            <w:tcBorders>
              <w:top w:val="single" w:sz="4" w:space="0" w:color="auto"/>
              <w:left w:val="single" w:sz="4" w:space="0" w:color="auto"/>
              <w:bottom w:val="single" w:sz="4" w:space="0" w:color="auto"/>
              <w:right w:val="single" w:sz="4" w:space="0" w:color="auto"/>
            </w:tcBorders>
            <w:vAlign w:val="center"/>
          </w:tcPr>
          <w:p w:rsidR="00887ABD" w:rsidRDefault="00B222D4">
            <w:pPr>
              <w:snapToGrid w:val="0"/>
              <w:spacing w:line="440" w:lineRule="exact"/>
              <w:ind w:firstLineChars="200" w:firstLine="480"/>
              <w:jc w:val="center"/>
              <w:rPr>
                <w:b/>
                <w:bCs/>
                <w:color w:val="000000"/>
                <w:kern w:val="0"/>
                <w:sz w:val="24"/>
                <w:lang w:val="zh-CN"/>
              </w:rPr>
            </w:pPr>
            <w:r>
              <w:rPr>
                <w:rFonts w:hint="eastAsia"/>
                <w:color w:val="000000"/>
                <w:sz w:val="24"/>
              </w:rPr>
              <w:t>2</w:t>
            </w:r>
            <w:r>
              <w:rPr>
                <w:color w:val="000000"/>
                <w:sz w:val="24"/>
              </w:rPr>
              <w:t>00</w:t>
            </w:r>
            <w:r>
              <w:rPr>
                <w:color w:val="000000"/>
                <w:sz w:val="24"/>
              </w:rPr>
              <w:t>万</w:t>
            </w:r>
            <w:r>
              <w:rPr>
                <w:color w:val="000000"/>
                <w:sz w:val="24"/>
              </w:rPr>
              <w:t>≤M</w:t>
            </w:r>
            <w:r>
              <w:rPr>
                <w:color w:val="000000"/>
                <w:sz w:val="24"/>
              </w:rPr>
              <w:t>＜</w:t>
            </w:r>
            <w:r>
              <w:rPr>
                <w:color w:val="000000"/>
                <w:sz w:val="24"/>
              </w:rPr>
              <w:t>500</w:t>
            </w:r>
            <w:r>
              <w:rPr>
                <w:color w:val="000000"/>
                <w:sz w:val="24"/>
              </w:rPr>
              <w:t>万</w:t>
            </w:r>
          </w:p>
        </w:tc>
        <w:tc>
          <w:tcPr>
            <w:tcW w:w="2658" w:type="pct"/>
            <w:tcBorders>
              <w:top w:val="single" w:sz="4" w:space="0" w:color="auto"/>
              <w:left w:val="single" w:sz="4" w:space="0" w:color="auto"/>
              <w:bottom w:val="single" w:sz="4" w:space="0" w:color="auto"/>
              <w:right w:val="single" w:sz="4" w:space="0" w:color="auto"/>
            </w:tcBorders>
            <w:vAlign w:val="center"/>
          </w:tcPr>
          <w:p w:rsidR="00887ABD" w:rsidRDefault="00B222D4">
            <w:pPr>
              <w:snapToGrid w:val="0"/>
              <w:spacing w:line="440" w:lineRule="exact"/>
              <w:ind w:firstLineChars="200" w:firstLine="480"/>
              <w:jc w:val="center"/>
              <w:rPr>
                <w:b/>
                <w:bCs/>
                <w:color w:val="000000"/>
                <w:kern w:val="0"/>
                <w:sz w:val="24"/>
                <w:lang w:val="zh-CN"/>
              </w:rPr>
            </w:pPr>
            <w:r>
              <w:rPr>
                <w:color w:val="000000"/>
                <w:sz w:val="24"/>
              </w:rPr>
              <w:t>0.</w:t>
            </w:r>
            <w:r>
              <w:rPr>
                <w:rFonts w:hint="eastAsia"/>
                <w:color w:val="000000"/>
                <w:sz w:val="24"/>
              </w:rPr>
              <w:t>2</w:t>
            </w:r>
            <w:r>
              <w:rPr>
                <w:color w:val="000000"/>
                <w:sz w:val="24"/>
              </w:rPr>
              <w:t>0%</w:t>
            </w:r>
          </w:p>
        </w:tc>
      </w:tr>
      <w:tr w:rsidR="00887AB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451"/>
          <w:jc w:val="center"/>
        </w:trPr>
        <w:tc>
          <w:tcPr>
            <w:tcW w:w="2341" w:type="pct"/>
            <w:tcBorders>
              <w:top w:val="single" w:sz="4" w:space="0" w:color="auto"/>
              <w:left w:val="single" w:sz="4" w:space="0" w:color="auto"/>
              <w:bottom w:val="single" w:sz="4" w:space="0" w:color="auto"/>
              <w:right w:val="single" w:sz="4" w:space="0" w:color="auto"/>
            </w:tcBorders>
            <w:vAlign w:val="center"/>
          </w:tcPr>
          <w:p w:rsidR="00887ABD" w:rsidRDefault="00B222D4">
            <w:pPr>
              <w:snapToGrid w:val="0"/>
              <w:spacing w:line="440" w:lineRule="exact"/>
              <w:ind w:firstLineChars="200" w:firstLine="480"/>
              <w:jc w:val="center"/>
              <w:rPr>
                <w:b/>
                <w:bCs/>
                <w:color w:val="000000"/>
                <w:kern w:val="0"/>
                <w:sz w:val="24"/>
                <w:lang w:val="zh-CN"/>
              </w:rPr>
            </w:pPr>
            <w:r>
              <w:rPr>
                <w:color w:val="000000"/>
                <w:sz w:val="24"/>
              </w:rPr>
              <w:t>M≥500</w:t>
            </w:r>
            <w:r>
              <w:rPr>
                <w:color w:val="000000"/>
                <w:sz w:val="24"/>
              </w:rPr>
              <w:t>万</w:t>
            </w:r>
          </w:p>
        </w:tc>
        <w:tc>
          <w:tcPr>
            <w:tcW w:w="2658" w:type="pct"/>
            <w:tcBorders>
              <w:top w:val="single" w:sz="4" w:space="0" w:color="auto"/>
              <w:left w:val="single" w:sz="4" w:space="0" w:color="auto"/>
              <w:bottom w:val="single" w:sz="4" w:space="0" w:color="auto"/>
              <w:right w:val="single" w:sz="4" w:space="0" w:color="auto"/>
            </w:tcBorders>
            <w:vAlign w:val="center"/>
          </w:tcPr>
          <w:p w:rsidR="00887ABD" w:rsidRDefault="00B222D4">
            <w:pPr>
              <w:snapToGrid w:val="0"/>
              <w:spacing w:line="440" w:lineRule="exact"/>
              <w:ind w:firstLineChars="200" w:firstLine="480"/>
              <w:jc w:val="center"/>
              <w:rPr>
                <w:b/>
                <w:bCs/>
                <w:color w:val="000000"/>
                <w:kern w:val="0"/>
                <w:sz w:val="24"/>
                <w:lang w:val="zh-CN"/>
              </w:rPr>
            </w:pPr>
            <w:r>
              <w:rPr>
                <w:color w:val="000000"/>
                <w:sz w:val="24"/>
              </w:rPr>
              <w:t>按笔收取，</w:t>
            </w:r>
            <w:r>
              <w:rPr>
                <w:color w:val="000000"/>
                <w:sz w:val="24"/>
              </w:rPr>
              <w:t>1000</w:t>
            </w:r>
            <w:r>
              <w:rPr>
                <w:color w:val="000000"/>
                <w:sz w:val="24"/>
              </w:rPr>
              <w:t>元</w:t>
            </w:r>
            <w:r>
              <w:rPr>
                <w:color w:val="000000"/>
                <w:sz w:val="24"/>
              </w:rPr>
              <w:t>/</w:t>
            </w:r>
            <w:r>
              <w:rPr>
                <w:color w:val="000000"/>
                <w:sz w:val="24"/>
              </w:rPr>
              <w:t>笔</w:t>
            </w:r>
          </w:p>
        </w:tc>
      </w:tr>
    </w:tbl>
    <w:p w:rsidR="00887ABD" w:rsidRDefault="00B222D4">
      <w:pPr>
        <w:widowControl/>
        <w:spacing w:line="360" w:lineRule="auto"/>
        <w:ind w:firstLine="480"/>
        <w:rPr>
          <w:rFonts w:ascii="宋体" w:cs="宋体"/>
          <w:kern w:val="0"/>
          <w:sz w:val="24"/>
        </w:rPr>
      </w:pPr>
      <w:r>
        <w:rPr>
          <w:rFonts w:ascii="宋体" w:cs="宋体" w:hint="eastAsia"/>
          <w:kern w:val="0"/>
          <w:sz w:val="24"/>
        </w:rPr>
        <w:t>投资人如果有多笔申购，适用费率按单笔分别计算。</w:t>
      </w:r>
    </w:p>
    <w:p w:rsidR="00887ABD" w:rsidRDefault="00B222D4">
      <w:pPr>
        <w:widowControl/>
        <w:spacing w:line="360" w:lineRule="auto"/>
        <w:rPr>
          <w:rFonts w:ascii="宋体" w:cs="宋体"/>
          <w:b/>
          <w:kern w:val="0"/>
          <w:sz w:val="24"/>
        </w:rPr>
      </w:pPr>
      <w:r>
        <w:rPr>
          <w:rFonts w:ascii="宋体" w:cs="宋体" w:hint="eastAsia"/>
          <w:b/>
          <w:kern w:val="0"/>
          <w:sz w:val="24"/>
        </w:rPr>
        <w:t xml:space="preserve">3.3 </w:t>
      </w:r>
      <w:r>
        <w:rPr>
          <w:rFonts w:ascii="宋体" w:cs="宋体" w:hint="eastAsia"/>
          <w:b/>
          <w:kern w:val="0"/>
          <w:sz w:val="24"/>
        </w:rPr>
        <w:t>其他与申购相关的事项</w:t>
      </w:r>
    </w:p>
    <w:p w:rsidR="00887ABD" w:rsidRDefault="00B222D4">
      <w:pPr>
        <w:spacing w:line="360" w:lineRule="auto"/>
        <w:ind w:firstLineChars="200" w:firstLine="480"/>
        <w:rPr>
          <w:rFonts w:ascii="宋体" w:hAnsi="宋体" w:cs="宋体"/>
          <w:kern w:val="0"/>
          <w:sz w:val="24"/>
        </w:rPr>
      </w:pPr>
      <w:r>
        <w:rPr>
          <w:rFonts w:ascii="宋体" w:hAnsi="宋体" w:cs="宋体" w:hint="eastAsia"/>
          <w:kern w:val="0"/>
          <w:sz w:val="24"/>
        </w:rPr>
        <w:t>投资人必须根据销售机构规定的程序，在开放日的具体业务办理时间内提出申购的申请。投资人申购基金份额时，必须全额交付申购款项，投资人交付申购款项，申购成立；登记机构确认基金份额时，申购生效。</w:t>
      </w:r>
    </w:p>
    <w:p w:rsidR="00887ABD" w:rsidRDefault="00B222D4">
      <w:pPr>
        <w:spacing w:line="360" w:lineRule="auto"/>
        <w:ind w:firstLineChars="200" w:firstLine="480"/>
        <w:rPr>
          <w:rFonts w:ascii="宋体" w:cs="宋体"/>
          <w:kern w:val="0"/>
          <w:sz w:val="24"/>
        </w:rPr>
      </w:pPr>
      <w:r>
        <w:rPr>
          <w:rFonts w:ascii="宋体" w:hAnsi="宋体" w:cs="宋体" w:hint="eastAsia"/>
          <w:kern w:val="0"/>
          <w:sz w:val="24"/>
        </w:rPr>
        <w:t>基金管理人应以开放日交易时间结束前受理有效申购申请的当天作为申购申请日（</w:t>
      </w:r>
      <w:r>
        <w:rPr>
          <w:rFonts w:ascii="宋体" w:hAnsi="宋体" w:cs="宋体" w:hint="eastAsia"/>
          <w:kern w:val="0"/>
          <w:sz w:val="24"/>
        </w:rPr>
        <w:t>T</w:t>
      </w:r>
      <w:r>
        <w:rPr>
          <w:rFonts w:ascii="宋体" w:hAnsi="宋体" w:cs="宋体" w:hint="eastAsia"/>
          <w:kern w:val="0"/>
          <w:sz w:val="24"/>
        </w:rPr>
        <w:t>日），在正常情况下，本基金登记机构在</w:t>
      </w:r>
      <w:r>
        <w:rPr>
          <w:rFonts w:ascii="宋体" w:hAnsi="宋体" w:cs="宋体" w:hint="eastAsia"/>
          <w:kern w:val="0"/>
          <w:sz w:val="24"/>
        </w:rPr>
        <w:t>T+1</w:t>
      </w:r>
      <w:r>
        <w:rPr>
          <w:rFonts w:ascii="宋体" w:hAnsi="宋体" w:cs="宋体" w:hint="eastAsia"/>
          <w:kern w:val="0"/>
          <w:sz w:val="24"/>
        </w:rPr>
        <w:t>日内对该交易的有效性进行确认。</w:t>
      </w:r>
      <w:r>
        <w:rPr>
          <w:rFonts w:ascii="宋体" w:hAnsi="宋体" w:cs="宋体" w:hint="eastAsia"/>
          <w:kern w:val="0"/>
          <w:sz w:val="24"/>
        </w:rPr>
        <w:t>T</w:t>
      </w:r>
      <w:r>
        <w:rPr>
          <w:rFonts w:ascii="宋体" w:hAnsi="宋体" w:cs="宋体" w:hint="eastAsia"/>
          <w:kern w:val="0"/>
          <w:sz w:val="24"/>
        </w:rPr>
        <w:t>日提交的有效申请，投资人应在</w:t>
      </w:r>
      <w:r>
        <w:rPr>
          <w:rFonts w:ascii="宋体" w:hAnsi="宋体" w:cs="宋体" w:hint="eastAsia"/>
          <w:kern w:val="0"/>
          <w:sz w:val="24"/>
        </w:rPr>
        <w:t>T+2</w:t>
      </w:r>
      <w:r>
        <w:rPr>
          <w:rFonts w:ascii="宋体" w:hAnsi="宋体" w:cs="宋体" w:hint="eastAsia"/>
          <w:kern w:val="0"/>
          <w:sz w:val="24"/>
        </w:rPr>
        <w:t>日后（包括该日）及时到销售网点柜台或以销售机构规定的其他方式查询申请的确认情况。若申购不成功，则申购款项本金退还给投资人。</w:t>
      </w:r>
    </w:p>
    <w:p w:rsidR="00887ABD" w:rsidRDefault="00B222D4">
      <w:pPr>
        <w:spacing w:line="360" w:lineRule="auto"/>
        <w:ind w:firstLineChars="200" w:firstLine="480"/>
        <w:rPr>
          <w:rFonts w:ascii="宋体"/>
          <w:bCs/>
          <w:sz w:val="24"/>
        </w:rPr>
      </w:pPr>
      <w:r>
        <w:rPr>
          <w:rFonts w:ascii="宋体" w:hAnsi="宋体" w:hint="eastAsia"/>
          <w:bCs/>
          <w:sz w:val="24"/>
        </w:rPr>
        <w:t>基金销售机构申购申请的受理并不代表该申请一定成功，而仅代表销售机构确实接收到申购申请。申购的确认以登记机构确认结果为准。对于申请的确认情况，投资人应及时查询并妥善行使合法权利。</w:t>
      </w:r>
    </w:p>
    <w:p w:rsidR="00887ABD" w:rsidRDefault="00B222D4">
      <w:pPr>
        <w:widowControl/>
        <w:spacing w:line="360" w:lineRule="auto"/>
        <w:rPr>
          <w:rFonts w:ascii="宋体" w:cs="宋体"/>
          <w:b/>
          <w:kern w:val="0"/>
          <w:sz w:val="24"/>
        </w:rPr>
      </w:pPr>
      <w:r>
        <w:rPr>
          <w:rFonts w:ascii="宋体" w:hAnsi="宋体" w:cs="宋体"/>
          <w:b/>
          <w:kern w:val="0"/>
          <w:sz w:val="24"/>
        </w:rPr>
        <w:t>4.</w:t>
      </w:r>
      <w:r>
        <w:rPr>
          <w:rFonts w:ascii="宋体" w:hAnsi="宋体" w:cs="宋体" w:hint="eastAsia"/>
          <w:b/>
          <w:kern w:val="0"/>
          <w:sz w:val="24"/>
        </w:rPr>
        <w:t>日常赎回业务</w:t>
      </w:r>
    </w:p>
    <w:p w:rsidR="00887ABD" w:rsidRDefault="00B222D4">
      <w:pPr>
        <w:widowControl/>
        <w:spacing w:line="360" w:lineRule="auto"/>
        <w:rPr>
          <w:rFonts w:ascii="宋体" w:cs="宋体"/>
          <w:b/>
          <w:kern w:val="0"/>
          <w:sz w:val="24"/>
        </w:rPr>
      </w:pPr>
      <w:r>
        <w:rPr>
          <w:rFonts w:ascii="宋体" w:hAnsi="宋体" w:cs="宋体"/>
          <w:b/>
          <w:kern w:val="0"/>
          <w:sz w:val="24"/>
        </w:rPr>
        <w:t>4.1</w:t>
      </w:r>
      <w:r>
        <w:rPr>
          <w:rFonts w:ascii="宋体" w:hAnsi="宋体" w:cs="宋体" w:hint="eastAsia"/>
          <w:b/>
          <w:kern w:val="0"/>
          <w:sz w:val="24"/>
        </w:rPr>
        <w:t>赎回份额限制</w:t>
      </w:r>
    </w:p>
    <w:p w:rsidR="00887ABD" w:rsidRDefault="00B222D4">
      <w:pPr>
        <w:widowControl/>
        <w:spacing w:line="360" w:lineRule="auto"/>
        <w:ind w:firstLineChars="200" w:firstLine="480"/>
        <w:rPr>
          <w:rFonts w:ascii="宋体" w:hAnsi="宋体" w:cs="宋体"/>
          <w:kern w:val="0"/>
          <w:sz w:val="24"/>
        </w:rPr>
      </w:pPr>
      <w:r>
        <w:rPr>
          <w:rFonts w:ascii="宋体" w:hAnsi="宋体" w:cs="宋体" w:hint="eastAsia"/>
          <w:kern w:val="0"/>
          <w:sz w:val="24"/>
        </w:rPr>
        <w:t>（</w:t>
      </w:r>
      <w:r>
        <w:rPr>
          <w:rFonts w:ascii="宋体" w:hAnsi="宋体" w:cs="宋体" w:hint="eastAsia"/>
          <w:kern w:val="0"/>
          <w:sz w:val="24"/>
        </w:rPr>
        <w:t>1</w:t>
      </w:r>
      <w:r>
        <w:rPr>
          <w:rFonts w:ascii="宋体" w:hAnsi="宋体" w:cs="宋体" w:hint="eastAsia"/>
          <w:kern w:val="0"/>
          <w:sz w:val="24"/>
        </w:rPr>
        <w:t>）基金份额持有人在销售机构赎回时，每笔赎回申请的最低份额为</w:t>
      </w:r>
      <w:r>
        <w:rPr>
          <w:rFonts w:ascii="宋体" w:hAnsi="宋体" w:cs="宋体" w:hint="eastAsia"/>
          <w:kern w:val="0"/>
          <w:sz w:val="24"/>
        </w:rPr>
        <w:t>10</w:t>
      </w:r>
      <w:r>
        <w:rPr>
          <w:rFonts w:ascii="宋体" w:hAnsi="宋体" w:cs="宋体" w:hint="eastAsia"/>
          <w:kern w:val="0"/>
          <w:sz w:val="24"/>
        </w:rPr>
        <w:t>份基金份额，但某笔交易类业务（如赎回、基金转换、转托管等）导致单个基金账户的基金份额余额不足</w:t>
      </w:r>
      <w:r>
        <w:rPr>
          <w:rFonts w:ascii="宋体" w:hAnsi="宋体" w:cs="宋体" w:hint="eastAsia"/>
          <w:kern w:val="0"/>
          <w:sz w:val="24"/>
        </w:rPr>
        <w:t>10</w:t>
      </w:r>
      <w:r>
        <w:rPr>
          <w:rFonts w:ascii="宋体" w:hAnsi="宋体" w:cs="宋体" w:hint="eastAsia"/>
          <w:kern w:val="0"/>
          <w:sz w:val="24"/>
        </w:rPr>
        <w:t>份（包含</w:t>
      </w:r>
      <w:r>
        <w:rPr>
          <w:rFonts w:ascii="宋体" w:hAnsi="宋体" w:cs="宋体" w:hint="eastAsia"/>
          <w:kern w:val="0"/>
          <w:sz w:val="24"/>
        </w:rPr>
        <w:t>10</w:t>
      </w:r>
      <w:r>
        <w:rPr>
          <w:rFonts w:ascii="宋体" w:hAnsi="宋体" w:cs="宋体" w:hint="eastAsia"/>
          <w:kern w:val="0"/>
          <w:sz w:val="24"/>
        </w:rPr>
        <w:t>份）时，销售机构有权对该基金份额持有人持有的基金份额做全部赎回处理，赎回费按照招募说明书的规定正常收取。</w:t>
      </w:r>
    </w:p>
    <w:p w:rsidR="00887ABD" w:rsidRDefault="00B222D4">
      <w:pPr>
        <w:widowControl/>
        <w:spacing w:line="360" w:lineRule="auto"/>
        <w:ind w:firstLineChars="200" w:firstLine="480"/>
        <w:rPr>
          <w:rFonts w:ascii="宋体" w:hAnsi="宋体" w:cs="宋体"/>
          <w:b/>
          <w:kern w:val="0"/>
          <w:sz w:val="24"/>
        </w:rPr>
      </w:pPr>
      <w:r>
        <w:rPr>
          <w:rFonts w:ascii="宋体" w:hAnsi="宋体" w:cs="宋体" w:hint="eastAsia"/>
          <w:kern w:val="0"/>
          <w:sz w:val="24"/>
        </w:rPr>
        <w:t>（</w:t>
      </w:r>
      <w:r>
        <w:rPr>
          <w:rFonts w:ascii="宋体" w:hAnsi="宋体" w:cs="宋体" w:hint="eastAsia"/>
          <w:kern w:val="0"/>
          <w:sz w:val="24"/>
        </w:rPr>
        <w:t>2</w:t>
      </w:r>
      <w:r>
        <w:rPr>
          <w:rFonts w:ascii="宋体" w:hAnsi="宋体" w:cs="宋体" w:hint="eastAsia"/>
          <w:kern w:val="0"/>
          <w:sz w:val="24"/>
        </w:rPr>
        <w:t>）基金管理人可在法律法规允许的情况下，调整上述规定赎回份额的数量限制。基金管理人必须在调整实施前依照《公开募集证券投资基金信息披露管理办法》的有关规定在规定媒介上公告。</w:t>
      </w:r>
    </w:p>
    <w:p w:rsidR="00887ABD" w:rsidRDefault="00B222D4">
      <w:pPr>
        <w:widowControl/>
        <w:spacing w:line="360" w:lineRule="auto"/>
        <w:rPr>
          <w:rFonts w:ascii="宋体" w:cs="宋体"/>
          <w:b/>
          <w:kern w:val="0"/>
          <w:sz w:val="24"/>
        </w:rPr>
      </w:pPr>
      <w:r>
        <w:rPr>
          <w:rFonts w:ascii="宋体" w:hAnsi="宋体" w:cs="宋体"/>
          <w:b/>
          <w:kern w:val="0"/>
          <w:sz w:val="24"/>
        </w:rPr>
        <w:t>4.2</w:t>
      </w:r>
      <w:r>
        <w:rPr>
          <w:rFonts w:ascii="宋体" w:hAnsi="宋体" w:cs="宋体" w:hint="eastAsia"/>
          <w:b/>
          <w:kern w:val="0"/>
          <w:sz w:val="24"/>
        </w:rPr>
        <w:t>赎回费率</w:t>
      </w:r>
    </w:p>
    <w:p w:rsidR="00887ABD" w:rsidRDefault="00B222D4">
      <w:pPr>
        <w:pStyle w:val="a3"/>
        <w:snapToGrid w:val="0"/>
        <w:spacing w:line="440" w:lineRule="exact"/>
        <w:ind w:firstLine="420"/>
        <w:rPr>
          <w:color w:val="000000"/>
        </w:rPr>
      </w:pPr>
      <w:r>
        <w:rPr>
          <w:rFonts w:hint="eastAsia"/>
          <w:color w:val="000000"/>
        </w:rPr>
        <w:t>赎回费用由赎回基金份额的基金</w:t>
      </w:r>
      <w:r>
        <w:rPr>
          <w:rFonts w:hint="eastAsia"/>
          <w:color w:val="000000"/>
        </w:rPr>
        <w:t>份额持有人承担，在基金份额持有人赎回基金份额时收取，未计入基金财产的部分用于支付登记费和其他必要的手续费。本基金赎回费用按基金份额持有人持有该部分基金份额的时间分段设定如下：</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06"/>
        <w:gridCol w:w="2347"/>
        <w:gridCol w:w="3067"/>
      </w:tblGrid>
      <w:tr w:rsidR="00887ABD">
        <w:tc>
          <w:tcPr>
            <w:tcW w:w="1822" w:type="pct"/>
          </w:tcPr>
          <w:p w:rsidR="00887ABD" w:rsidRDefault="00B222D4">
            <w:pPr>
              <w:pStyle w:val="a3"/>
              <w:snapToGrid w:val="0"/>
              <w:spacing w:line="440" w:lineRule="exact"/>
              <w:jc w:val="center"/>
              <w:rPr>
                <w:color w:val="000000"/>
              </w:rPr>
            </w:pPr>
            <w:r>
              <w:rPr>
                <w:rFonts w:hint="eastAsia"/>
                <w:color w:val="000000"/>
              </w:rPr>
              <w:t>持有时间（</w:t>
            </w:r>
            <w:r>
              <w:rPr>
                <w:rFonts w:hint="eastAsia"/>
                <w:color w:val="000000"/>
              </w:rPr>
              <w:t>N</w:t>
            </w:r>
            <w:r>
              <w:rPr>
                <w:rFonts w:hint="eastAsia"/>
                <w:color w:val="000000"/>
              </w:rPr>
              <w:t>）</w:t>
            </w:r>
          </w:p>
        </w:tc>
        <w:tc>
          <w:tcPr>
            <w:tcW w:w="1377" w:type="pct"/>
          </w:tcPr>
          <w:p w:rsidR="00887ABD" w:rsidRDefault="00B222D4">
            <w:pPr>
              <w:pStyle w:val="a3"/>
              <w:snapToGrid w:val="0"/>
              <w:spacing w:line="440" w:lineRule="exact"/>
              <w:jc w:val="center"/>
              <w:rPr>
                <w:color w:val="000000"/>
              </w:rPr>
            </w:pPr>
            <w:r>
              <w:rPr>
                <w:rFonts w:hint="eastAsia"/>
                <w:color w:val="000000"/>
              </w:rPr>
              <w:t>赎回费率</w:t>
            </w:r>
          </w:p>
        </w:tc>
        <w:tc>
          <w:tcPr>
            <w:tcW w:w="1800" w:type="pct"/>
          </w:tcPr>
          <w:p w:rsidR="00887ABD" w:rsidRDefault="00B222D4">
            <w:pPr>
              <w:pStyle w:val="a3"/>
              <w:snapToGrid w:val="0"/>
              <w:spacing w:line="440" w:lineRule="exact"/>
              <w:jc w:val="center"/>
              <w:rPr>
                <w:color w:val="000000"/>
              </w:rPr>
            </w:pPr>
            <w:r>
              <w:rPr>
                <w:rFonts w:hint="eastAsia"/>
                <w:color w:val="000000"/>
              </w:rPr>
              <w:t>归入基金资产比例</w:t>
            </w:r>
          </w:p>
        </w:tc>
      </w:tr>
      <w:tr w:rsidR="00887ABD">
        <w:tc>
          <w:tcPr>
            <w:tcW w:w="1822" w:type="pct"/>
          </w:tcPr>
          <w:p w:rsidR="00887ABD" w:rsidRDefault="00B222D4">
            <w:pPr>
              <w:pStyle w:val="a3"/>
              <w:snapToGrid w:val="0"/>
              <w:spacing w:line="440" w:lineRule="exact"/>
              <w:jc w:val="center"/>
              <w:rPr>
                <w:color w:val="000000"/>
              </w:rPr>
            </w:pPr>
            <w:r>
              <w:rPr>
                <w:rFonts w:hint="eastAsia"/>
                <w:color w:val="000000"/>
              </w:rPr>
              <w:t>N</w:t>
            </w:r>
            <w:r>
              <w:rPr>
                <w:rFonts w:hint="eastAsia"/>
                <w:color w:val="000000"/>
              </w:rPr>
              <w:t>＜</w:t>
            </w:r>
            <w:r>
              <w:rPr>
                <w:color w:val="000000"/>
              </w:rPr>
              <w:t>7</w:t>
            </w:r>
            <w:r>
              <w:rPr>
                <w:rFonts w:hint="eastAsia"/>
                <w:color w:val="000000"/>
              </w:rPr>
              <w:t>天</w:t>
            </w:r>
          </w:p>
        </w:tc>
        <w:tc>
          <w:tcPr>
            <w:tcW w:w="1377" w:type="pct"/>
          </w:tcPr>
          <w:p w:rsidR="00887ABD" w:rsidRDefault="00B222D4">
            <w:pPr>
              <w:pStyle w:val="a3"/>
              <w:snapToGrid w:val="0"/>
              <w:spacing w:line="440" w:lineRule="exact"/>
              <w:jc w:val="center"/>
              <w:rPr>
                <w:color w:val="000000"/>
              </w:rPr>
            </w:pPr>
            <w:r>
              <w:rPr>
                <w:rFonts w:ascii="TimesNewRomanPSMT" w:eastAsia="TimesNewRomanPSMT" w:hAnsi="Calibri" w:cs="TimesNewRomanPSMT"/>
              </w:rPr>
              <w:t>1.</w:t>
            </w:r>
            <w:r>
              <w:rPr>
                <w:rFonts w:ascii="TimesNewRomanPSMT" w:eastAsia="TimesNewRomanPSMT" w:hAnsi="Calibri" w:cs="TimesNewRomanPSMT" w:hint="eastAsia"/>
              </w:rPr>
              <w:t>50</w:t>
            </w:r>
            <w:r>
              <w:rPr>
                <w:rFonts w:ascii="TimesNewRomanPSMT" w:eastAsia="TimesNewRomanPSMT" w:hAnsi="Calibri" w:cs="TimesNewRomanPSMT"/>
              </w:rPr>
              <w:t>%</w:t>
            </w:r>
          </w:p>
        </w:tc>
        <w:tc>
          <w:tcPr>
            <w:tcW w:w="1800" w:type="pct"/>
          </w:tcPr>
          <w:p w:rsidR="00887ABD" w:rsidRDefault="00B222D4">
            <w:pPr>
              <w:pStyle w:val="a3"/>
              <w:snapToGrid w:val="0"/>
              <w:spacing w:line="440" w:lineRule="exact"/>
              <w:jc w:val="center"/>
              <w:rPr>
                <w:rFonts w:ascii="TimesNewRomanPSMT" w:eastAsia="TimesNewRomanPSMT" w:hAnsi="Calibri" w:cs="TimesNewRomanPSMT"/>
              </w:rPr>
            </w:pPr>
            <w:r>
              <w:rPr>
                <w:rFonts w:ascii="TimesNewRomanPSMT" w:eastAsia="TimesNewRomanPSMT" w:hAnsi="Calibri" w:cs="TimesNewRomanPSMT" w:hint="eastAsia"/>
              </w:rPr>
              <w:t>100%</w:t>
            </w:r>
          </w:p>
        </w:tc>
      </w:tr>
      <w:tr w:rsidR="00887ABD">
        <w:tc>
          <w:tcPr>
            <w:tcW w:w="1822" w:type="pct"/>
          </w:tcPr>
          <w:p w:rsidR="00887ABD" w:rsidRDefault="00B222D4">
            <w:pPr>
              <w:pStyle w:val="a3"/>
              <w:snapToGrid w:val="0"/>
              <w:spacing w:line="440" w:lineRule="exact"/>
              <w:jc w:val="center"/>
              <w:rPr>
                <w:color w:val="000000"/>
              </w:rPr>
            </w:pPr>
            <w:r>
              <w:rPr>
                <w:rFonts w:hint="eastAsia"/>
                <w:color w:val="000000"/>
              </w:rPr>
              <w:t>7</w:t>
            </w:r>
            <w:r>
              <w:rPr>
                <w:rFonts w:hint="eastAsia"/>
                <w:color w:val="000000"/>
              </w:rPr>
              <w:t>天≤</w:t>
            </w:r>
            <w:r>
              <w:rPr>
                <w:rFonts w:hint="eastAsia"/>
                <w:color w:val="000000"/>
              </w:rPr>
              <w:t>N</w:t>
            </w:r>
            <w:r>
              <w:rPr>
                <w:rFonts w:hint="eastAsia"/>
                <w:color w:val="000000"/>
              </w:rPr>
              <w:t>＜</w:t>
            </w:r>
            <w:r>
              <w:rPr>
                <w:rFonts w:hint="eastAsia"/>
                <w:color w:val="000000"/>
              </w:rPr>
              <w:t>30</w:t>
            </w:r>
            <w:r>
              <w:rPr>
                <w:rFonts w:hint="eastAsia"/>
                <w:color w:val="000000"/>
              </w:rPr>
              <w:t>天</w:t>
            </w:r>
          </w:p>
        </w:tc>
        <w:tc>
          <w:tcPr>
            <w:tcW w:w="1377" w:type="pct"/>
          </w:tcPr>
          <w:p w:rsidR="00887ABD" w:rsidRDefault="00B222D4">
            <w:pPr>
              <w:pStyle w:val="a3"/>
              <w:snapToGrid w:val="0"/>
              <w:spacing w:line="440" w:lineRule="exact"/>
              <w:jc w:val="center"/>
              <w:rPr>
                <w:color w:val="000000"/>
              </w:rPr>
            </w:pPr>
            <w:r>
              <w:rPr>
                <w:rFonts w:ascii="TimesNewRomanPSMT" w:eastAsia="TimesNewRomanPSMT" w:hAnsi="Calibri" w:cs="TimesNewRomanPSMT" w:hint="eastAsia"/>
              </w:rPr>
              <w:t>0.</w:t>
            </w:r>
            <w:r>
              <w:rPr>
                <w:rFonts w:ascii="TimesNewRomanPSMT" w:eastAsia="TimesNewRomanPSMT" w:hAnsi="Calibri" w:cs="TimesNewRomanPSMT"/>
              </w:rPr>
              <w:t>5</w:t>
            </w:r>
            <w:r>
              <w:rPr>
                <w:rFonts w:ascii="TimesNewRomanPSMT" w:eastAsia="TimesNewRomanPSMT" w:hAnsi="Calibri" w:cs="TimesNewRomanPSMT" w:hint="eastAsia"/>
              </w:rPr>
              <w:t>0%</w:t>
            </w:r>
          </w:p>
        </w:tc>
        <w:tc>
          <w:tcPr>
            <w:tcW w:w="1800" w:type="pct"/>
          </w:tcPr>
          <w:p w:rsidR="00887ABD" w:rsidRDefault="00B222D4">
            <w:pPr>
              <w:pStyle w:val="a3"/>
              <w:snapToGrid w:val="0"/>
              <w:spacing w:line="440" w:lineRule="exact"/>
              <w:jc w:val="center"/>
              <w:rPr>
                <w:rFonts w:ascii="TimesNewRomanPSMT" w:eastAsia="TimesNewRomanPSMT" w:hAnsi="Calibri" w:cs="TimesNewRomanPSMT"/>
              </w:rPr>
            </w:pPr>
            <w:r>
              <w:rPr>
                <w:rFonts w:ascii="TimesNewRomanPSMT" w:eastAsia="TimesNewRomanPSMT" w:hAnsi="Calibri" w:cs="TimesNewRomanPSMT" w:hint="eastAsia"/>
              </w:rPr>
              <w:t>25%</w:t>
            </w:r>
          </w:p>
        </w:tc>
      </w:tr>
      <w:tr w:rsidR="00887ABD">
        <w:tc>
          <w:tcPr>
            <w:tcW w:w="1822" w:type="pct"/>
          </w:tcPr>
          <w:p w:rsidR="00887ABD" w:rsidRDefault="00B222D4">
            <w:pPr>
              <w:pStyle w:val="a3"/>
              <w:snapToGrid w:val="0"/>
              <w:spacing w:line="440" w:lineRule="exact"/>
              <w:jc w:val="center"/>
              <w:rPr>
                <w:color w:val="000000"/>
              </w:rPr>
            </w:pPr>
            <w:r>
              <w:rPr>
                <w:rFonts w:hint="eastAsia"/>
                <w:color w:val="000000"/>
              </w:rPr>
              <w:t>N</w:t>
            </w:r>
            <w:r>
              <w:rPr>
                <w:rFonts w:hint="eastAsia"/>
                <w:color w:val="000000"/>
              </w:rPr>
              <w:t>≥</w:t>
            </w:r>
            <w:r>
              <w:rPr>
                <w:rFonts w:hint="eastAsia"/>
                <w:color w:val="000000"/>
              </w:rPr>
              <w:t>30</w:t>
            </w:r>
            <w:r>
              <w:rPr>
                <w:rFonts w:hint="eastAsia"/>
                <w:color w:val="000000"/>
              </w:rPr>
              <w:t>天</w:t>
            </w:r>
          </w:p>
        </w:tc>
        <w:tc>
          <w:tcPr>
            <w:tcW w:w="1377" w:type="pct"/>
          </w:tcPr>
          <w:p w:rsidR="00887ABD" w:rsidRDefault="00B222D4">
            <w:pPr>
              <w:pStyle w:val="a3"/>
              <w:snapToGrid w:val="0"/>
              <w:spacing w:line="440" w:lineRule="exact"/>
              <w:jc w:val="center"/>
              <w:rPr>
                <w:rFonts w:ascii="TimesNewRomanPSMT" w:eastAsia="TimesNewRomanPSMT" w:hAnsi="Calibri" w:cs="TimesNewRomanPSMT"/>
              </w:rPr>
            </w:pPr>
            <w:r>
              <w:rPr>
                <w:rFonts w:ascii="TimesNewRomanPSMT" w:eastAsia="TimesNewRomanPSMT" w:hAnsi="Calibri" w:cs="TimesNewRomanPSMT" w:hint="eastAsia"/>
              </w:rPr>
              <w:t>0</w:t>
            </w:r>
          </w:p>
        </w:tc>
        <w:tc>
          <w:tcPr>
            <w:tcW w:w="1800" w:type="pct"/>
          </w:tcPr>
          <w:p w:rsidR="00887ABD" w:rsidRDefault="00B222D4">
            <w:pPr>
              <w:pStyle w:val="a3"/>
              <w:snapToGrid w:val="0"/>
              <w:spacing w:line="440" w:lineRule="exact"/>
              <w:jc w:val="center"/>
              <w:rPr>
                <w:rFonts w:ascii="TimesNewRomanPSMT" w:eastAsia="TimesNewRomanPSMT" w:hAnsi="Calibri" w:cs="TimesNewRomanPSMT"/>
              </w:rPr>
            </w:pPr>
            <w:r>
              <w:rPr>
                <w:rFonts w:ascii="TimesNewRomanPSMT" w:eastAsia="TimesNewRomanPSMT" w:hAnsi="Calibri" w:cs="TimesNewRomanPSMT"/>
              </w:rPr>
              <w:t>-</w:t>
            </w:r>
          </w:p>
        </w:tc>
      </w:tr>
    </w:tbl>
    <w:p w:rsidR="00887ABD" w:rsidRDefault="00B222D4">
      <w:pPr>
        <w:widowControl/>
        <w:spacing w:line="360" w:lineRule="auto"/>
        <w:rPr>
          <w:rFonts w:ascii="宋体"/>
          <w:b/>
          <w:sz w:val="24"/>
        </w:rPr>
      </w:pPr>
      <w:r>
        <w:rPr>
          <w:rFonts w:ascii="宋体" w:hint="eastAsia"/>
          <w:b/>
          <w:sz w:val="24"/>
        </w:rPr>
        <w:t xml:space="preserve">4.3 </w:t>
      </w:r>
      <w:r>
        <w:rPr>
          <w:rFonts w:ascii="宋体" w:hint="eastAsia"/>
          <w:b/>
          <w:sz w:val="24"/>
        </w:rPr>
        <w:t>其他与赎回相关的事项</w:t>
      </w:r>
    </w:p>
    <w:p w:rsidR="00887ABD" w:rsidRDefault="00B222D4">
      <w:pPr>
        <w:widowControl/>
        <w:spacing w:line="360" w:lineRule="auto"/>
        <w:ind w:firstLineChars="200" w:firstLine="480"/>
        <w:rPr>
          <w:rFonts w:ascii="宋体"/>
          <w:sz w:val="24"/>
        </w:rPr>
      </w:pPr>
      <w:r>
        <w:rPr>
          <w:rFonts w:ascii="宋体" w:hint="eastAsia"/>
          <w:sz w:val="24"/>
        </w:rPr>
        <w:t>基金管理人应以开放日交易时间结束前受理有效赎回申请的当天作为赎回申请日</w:t>
      </w:r>
      <w:r>
        <w:rPr>
          <w:rFonts w:ascii="宋体" w:hint="eastAsia"/>
          <w:sz w:val="24"/>
        </w:rPr>
        <w:t xml:space="preserve">(T </w:t>
      </w:r>
      <w:r>
        <w:rPr>
          <w:rFonts w:ascii="宋体" w:hint="eastAsia"/>
          <w:sz w:val="24"/>
        </w:rPr>
        <w:t>日</w:t>
      </w:r>
      <w:r>
        <w:rPr>
          <w:rFonts w:ascii="宋体" w:hint="eastAsia"/>
          <w:sz w:val="24"/>
        </w:rPr>
        <w:t>)</w:t>
      </w:r>
      <w:r>
        <w:rPr>
          <w:rFonts w:ascii="宋体" w:hint="eastAsia"/>
          <w:sz w:val="24"/>
        </w:rPr>
        <w:t>，在正常情况下，本基金登记机构在</w:t>
      </w:r>
      <w:r>
        <w:rPr>
          <w:rFonts w:ascii="宋体" w:hint="eastAsia"/>
          <w:sz w:val="24"/>
        </w:rPr>
        <w:t xml:space="preserve">T+1 </w:t>
      </w:r>
      <w:r>
        <w:rPr>
          <w:rFonts w:ascii="宋体" w:hint="eastAsia"/>
          <w:sz w:val="24"/>
        </w:rPr>
        <w:t>日内对该交易的有效性进行确认。</w:t>
      </w:r>
      <w:r>
        <w:rPr>
          <w:rFonts w:ascii="宋体" w:hint="eastAsia"/>
          <w:sz w:val="24"/>
        </w:rPr>
        <w:t xml:space="preserve">T </w:t>
      </w:r>
      <w:r>
        <w:rPr>
          <w:rFonts w:ascii="宋体" w:hint="eastAsia"/>
          <w:sz w:val="24"/>
        </w:rPr>
        <w:t>日提交的有效申请，投资人应在</w:t>
      </w:r>
      <w:r>
        <w:rPr>
          <w:rFonts w:ascii="宋体" w:hint="eastAsia"/>
          <w:sz w:val="24"/>
        </w:rPr>
        <w:t xml:space="preserve">T+2 </w:t>
      </w:r>
      <w:r>
        <w:rPr>
          <w:rFonts w:ascii="宋体" w:hint="eastAsia"/>
          <w:sz w:val="24"/>
        </w:rPr>
        <w:t>日后</w:t>
      </w:r>
      <w:r>
        <w:rPr>
          <w:rFonts w:ascii="宋体" w:hint="eastAsia"/>
          <w:sz w:val="24"/>
        </w:rPr>
        <w:t>(</w:t>
      </w:r>
      <w:r>
        <w:rPr>
          <w:rFonts w:ascii="宋体" w:hint="eastAsia"/>
          <w:sz w:val="24"/>
        </w:rPr>
        <w:t>包括该日</w:t>
      </w:r>
      <w:r>
        <w:rPr>
          <w:rFonts w:ascii="宋体" w:hint="eastAsia"/>
          <w:sz w:val="24"/>
        </w:rPr>
        <w:t>)</w:t>
      </w:r>
      <w:r>
        <w:rPr>
          <w:rFonts w:ascii="宋体" w:hint="eastAsia"/>
          <w:sz w:val="24"/>
        </w:rPr>
        <w:t>及时到销售网点柜台或以销售机构规定的其他方式查询申请的确认情况。销售机构对赎回申请的受理并不代表申请一定成功，而仅代表销售机构确实接收到申请。赎回的确认以登记机构的确认结果为准。对于申请的确认情况，投资者应及时查询。</w:t>
      </w:r>
    </w:p>
    <w:p w:rsidR="00887ABD" w:rsidRDefault="00B222D4">
      <w:pPr>
        <w:widowControl/>
        <w:spacing w:line="360" w:lineRule="auto"/>
        <w:ind w:firstLineChars="200" w:firstLine="480"/>
        <w:rPr>
          <w:rFonts w:ascii="宋体"/>
          <w:sz w:val="24"/>
        </w:rPr>
      </w:pPr>
      <w:r>
        <w:rPr>
          <w:rFonts w:ascii="宋体" w:hint="eastAsia"/>
          <w:sz w:val="24"/>
        </w:rPr>
        <w:t>基金份额持有人递交赎回申请，赎回成立；登记机构确认赎回时，赎回生效。投资者在提交赎回申请时，必须有足够的基金份额余额，否则所提交的赎回申请不成立。投资人赎回申请成功后，基金管理人将在</w:t>
      </w:r>
      <w:r>
        <w:rPr>
          <w:rFonts w:ascii="宋体" w:hint="eastAsia"/>
          <w:sz w:val="24"/>
        </w:rPr>
        <w:t>T</w:t>
      </w:r>
      <w:r>
        <w:rPr>
          <w:rFonts w:ascii="宋体" w:hint="eastAsia"/>
          <w:sz w:val="24"/>
        </w:rPr>
        <w:t>＋</w:t>
      </w:r>
      <w:r>
        <w:rPr>
          <w:rFonts w:ascii="宋体" w:hint="eastAsia"/>
          <w:sz w:val="24"/>
        </w:rPr>
        <w:t xml:space="preserve">7 </w:t>
      </w:r>
      <w:r>
        <w:rPr>
          <w:rFonts w:ascii="宋体" w:hint="eastAsia"/>
          <w:sz w:val="24"/>
        </w:rPr>
        <w:t>日</w:t>
      </w:r>
      <w:r>
        <w:rPr>
          <w:rFonts w:ascii="宋体" w:hint="eastAsia"/>
          <w:sz w:val="24"/>
        </w:rPr>
        <w:t>(</w:t>
      </w:r>
      <w:r>
        <w:rPr>
          <w:rFonts w:ascii="宋体" w:hint="eastAsia"/>
          <w:sz w:val="24"/>
        </w:rPr>
        <w:t>包括该日</w:t>
      </w:r>
      <w:r>
        <w:rPr>
          <w:rFonts w:ascii="宋体" w:hint="eastAsia"/>
          <w:sz w:val="24"/>
        </w:rPr>
        <w:t>)</w:t>
      </w:r>
      <w:r>
        <w:rPr>
          <w:rFonts w:ascii="宋体" w:hint="eastAsia"/>
          <w:sz w:val="24"/>
        </w:rPr>
        <w:t>内支付赎回款项。若遇证券交易所或交易市场数据传输延迟、通讯系统故障、银行数据交换系统故障或其它非基金管理人及基金托管人所能控制的因素影响业务处理流程时，赎回款项的划付相应顺延。在发生巨额赎回或基金合同载明的其他暂停赎回或延缓支付赎回款项的情形时，款项的支付办法参照基金合同有关条款处理。</w:t>
      </w:r>
    </w:p>
    <w:p w:rsidR="00887ABD" w:rsidRDefault="00B222D4">
      <w:pPr>
        <w:widowControl/>
        <w:spacing w:line="360" w:lineRule="auto"/>
        <w:rPr>
          <w:rFonts w:ascii="宋体" w:cs="宋体"/>
          <w:b/>
          <w:kern w:val="0"/>
          <w:sz w:val="24"/>
        </w:rPr>
      </w:pPr>
      <w:r>
        <w:rPr>
          <w:rFonts w:ascii="宋体" w:hAnsi="宋体" w:cs="宋体"/>
          <w:b/>
          <w:kern w:val="0"/>
          <w:sz w:val="24"/>
        </w:rPr>
        <w:t>5.</w:t>
      </w:r>
      <w:r>
        <w:rPr>
          <w:rFonts w:ascii="宋体" w:hAnsi="宋体" w:cs="宋体" w:hint="eastAsia"/>
          <w:b/>
          <w:kern w:val="0"/>
          <w:sz w:val="24"/>
        </w:rPr>
        <w:t>基金销售机构</w:t>
      </w:r>
    </w:p>
    <w:p w:rsidR="00887ABD" w:rsidRDefault="00B222D4">
      <w:pPr>
        <w:widowControl/>
        <w:spacing w:line="360" w:lineRule="auto"/>
        <w:rPr>
          <w:rFonts w:ascii="宋体" w:hAnsi="宋体" w:cs="宋体"/>
          <w:b/>
          <w:kern w:val="0"/>
          <w:sz w:val="24"/>
        </w:rPr>
      </w:pPr>
      <w:r>
        <w:rPr>
          <w:rFonts w:ascii="宋体" w:hAnsi="宋体" w:cs="宋体"/>
          <w:b/>
          <w:kern w:val="0"/>
          <w:sz w:val="24"/>
        </w:rPr>
        <w:t>5.1</w:t>
      </w:r>
      <w:r>
        <w:rPr>
          <w:rFonts w:ascii="宋体" w:hAnsi="宋体" w:cs="宋体" w:hint="eastAsia"/>
          <w:b/>
          <w:kern w:val="0"/>
          <w:sz w:val="24"/>
        </w:rPr>
        <w:t>场外销售机构</w:t>
      </w:r>
    </w:p>
    <w:p w:rsidR="00887ABD" w:rsidRDefault="00B222D4">
      <w:pPr>
        <w:widowControl/>
        <w:spacing w:line="360" w:lineRule="auto"/>
        <w:rPr>
          <w:rFonts w:ascii="宋体" w:cs="宋体"/>
          <w:b/>
          <w:kern w:val="0"/>
          <w:sz w:val="24"/>
        </w:rPr>
      </w:pPr>
      <w:r>
        <w:rPr>
          <w:rFonts w:ascii="宋体" w:hAnsi="宋体" w:cs="宋体"/>
          <w:b/>
          <w:kern w:val="0"/>
          <w:sz w:val="24"/>
        </w:rPr>
        <w:t xml:space="preserve">5.1.1 </w:t>
      </w:r>
      <w:r>
        <w:rPr>
          <w:rFonts w:ascii="宋体" w:hAnsi="宋体" w:cs="宋体" w:hint="eastAsia"/>
          <w:b/>
          <w:kern w:val="0"/>
          <w:sz w:val="24"/>
        </w:rPr>
        <w:t>直销机构</w:t>
      </w:r>
    </w:p>
    <w:p w:rsidR="00887ABD" w:rsidRDefault="00B222D4">
      <w:pPr>
        <w:snapToGrid w:val="0"/>
        <w:spacing w:line="440" w:lineRule="exact"/>
        <w:ind w:firstLineChars="200" w:firstLine="480"/>
        <w:rPr>
          <w:bCs/>
          <w:color w:val="000000"/>
          <w:sz w:val="24"/>
        </w:rPr>
      </w:pPr>
      <w:r>
        <w:rPr>
          <w:rFonts w:ascii="宋体" w:hAnsi="宋体" w:cs="宋体" w:hint="eastAsia"/>
          <w:kern w:val="0"/>
          <w:sz w:val="24"/>
        </w:rPr>
        <w:t>本基金的直销机构为</w:t>
      </w:r>
      <w:r>
        <w:rPr>
          <w:rFonts w:hint="eastAsia"/>
          <w:bCs/>
          <w:color w:val="000000"/>
          <w:sz w:val="24"/>
        </w:rPr>
        <w:t>长江证券（上海）资产管理有限公司</w:t>
      </w:r>
      <w:r>
        <w:rPr>
          <w:rFonts w:hint="eastAsia"/>
          <w:bCs/>
          <w:color w:val="000000"/>
          <w:sz w:val="24"/>
        </w:rPr>
        <w:t>直销柜台</w:t>
      </w:r>
    </w:p>
    <w:p w:rsidR="00887ABD" w:rsidRDefault="00B222D4">
      <w:pPr>
        <w:widowControl/>
        <w:spacing w:line="360" w:lineRule="auto"/>
        <w:ind w:firstLineChars="200" w:firstLine="480"/>
        <w:rPr>
          <w:rFonts w:ascii="宋体" w:cs="宋体"/>
          <w:kern w:val="0"/>
          <w:sz w:val="24"/>
        </w:rPr>
      </w:pPr>
      <w:r>
        <w:rPr>
          <w:rFonts w:ascii="宋体" w:cs="宋体" w:hint="eastAsia"/>
          <w:kern w:val="0"/>
          <w:sz w:val="24"/>
        </w:rPr>
        <w:t>办公地址：上海市虹口区新建路</w:t>
      </w:r>
      <w:r>
        <w:rPr>
          <w:rFonts w:ascii="宋体" w:cs="宋体" w:hint="eastAsia"/>
          <w:kern w:val="0"/>
          <w:sz w:val="24"/>
        </w:rPr>
        <w:t>200</w:t>
      </w:r>
      <w:r>
        <w:rPr>
          <w:rFonts w:ascii="宋体" w:cs="宋体" w:hint="eastAsia"/>
          <w:kern w:val="0"/>
          <w:sz w:val="24"/>
        </w:rPr>
        <w:t>号国华金融中心</w:t>
      </w:r>
      <w:r>
        <w:rPr>
          <w:rFonts w:ascii="宋体" w:cs="宋体" w:hint="eastAsia"/>
          <w:kern w:val="0"/>
          <w:sz w:val="24"/>
        </w:rPr>
        <w:t>B</w:t>
      </w:r>
      <w:r>
        <w:rPr>
          <w:rFonts w:ascii="宋体" w:cs="宋体" w:hint="eastAsia"/>
          <w:kern w:val="0"/>
          <w:sz w:val="24"/>
        </w:rPr>
        <w:t>栋</w:t>
      </w:r>
      <w:r>
        <w:rPr>
          <w:rFonts w:ascii="宋体" w:cs="宋体" w:hint="eastAsia"/>
          <w:kern w:val="0"/>
          <w:sz w:val="24"/>
        </w:rPr>
        <w:t>19</w:t>
      </w:r>
      <w:r>
        <w:rPr>
          <w:rFonts w:ascii="宋体" w:cs="宋体" w:hint="eastAsia"/>
          <w:kern w:val="0"/>
          <w:sz w:val="24"/>
        </w:rPr>
        <w:t>层</w:t>
      </w:r>
    </w:p>
    <w:p w:rsidR="00887ABD" w:rsidRDefault="00B222D4">
      <w:pPr>
        <w:widowControl/>
        <w:spacing w:line="360" w:lineRule="auto"/>
        <w:ind w:firstLineChars="200" w:firstLine="480"/>
        <w:rPr>
          <w:rFonts w:ascii="宋体" w:hAnsi="宋体" w:cs="宋体"/>
          <w:kern w:val="0"/>
          <w:sz w:val="24"/>
        </w:rPr>
      </w:pPr>
      <w:r>
        <w:rPr>
          <w:rFonts w:ascii="宋体" w:cs="宋体" w:hint="eastAsia"/>
          <w:kern w:val="0"/>
          <w:sz w:val="24"/>
        </w:rPr>
        <w:t>客户服务电话：</w:t>
      </w:r>
      <w:r>
        <w:rPr>
          <w:rFonts w:ascii="宋体" w:hAnsi="宋体" w:cs="宋体"/>
          <w:kern w:val="0"/>
          <w:sz w:val="24"/>
        </w:rPr>
        <w:t>4001-166</w:t>
      </w:r>
      <w:r>
        <w:rPr>
          <w:rFonts w:ascii="宋体" w:hAnsi="宋体" w:cs="宋体"/>
          <w:kern w:val="0"/>
          <w:sz w:val="24"/>
        </w:rPr>
        <w:t>-866</w:t>
      </w:r>
    </w:p>
    <w:p w:rsidR="00887ABD" w:rsidRDefault="00B222D4">
      <w:pPr>
        <w:widowControl/>
        <w:spacing w:line="360" w:lineRule="auto"/>
        <w:ind w:firstLineChars="200" w:firstLine="480"/>
        <w:rPr>
          <w:rFonts w:ascii="宋体" w:cs="宋体"/>
          <w:kern w:val="0"/>
          <w:sz w:val="24"/>
        </w:rPr>
      </w:pPr>
      <w:r>
        <w:rPr>
          <w:rFonts w:ascii="宋体" w:cs="宋体" w:hint="eastAsia"/>
          <w:kern w:val="0"/>
          <w:sz w:val="24"/>
        </w:rPr>
        <w:t>传真：</w:t>
      </w:r>
      <w:r>
        <w:rPr>
          <w:rFonts w:ascii="宋体" w:cs="宋体" w:hint="eastAsia"/>
          <w:kern w:val="0"/>
          <w:sz w:val="24"/>
        </w:rPr>
        <w:t>021-</w:t>
      </w:r>
      <w:r>
        <w:rPr>
          <w:rFonts w:ascii="宋体" w:cs="宋体" w:hint="eastAsia"/>
          <w:kern w:val="0"/>
          <w:sz w:val="24"/>
        </w:rPr>
        <w:t>65779500</w:t>
      </w:r>
    </w:p>
    <w:p w:rsidR="00887ABD" w:rsidRDefault="00B222D4">
      <w:pPr>
        <w:widowControl/>
        <w:spacing w:line="360" w:lineRule="auto"/>
        <w:ind w:firstLineChars="200" w:firstLine="480"/>
        <w:rPr>
          <w:rFonts w:ascii="宋体" w:cs="宋体"/>
          <w:kern w:val="0"/>
          <w:sz w:val="24"/>
        </w:rPr>
      </w:pPr>
      <w:r>
        <w:rPr>
          <w:rFonts w:ascii="宋体" w:cs="宋体" w:hint="eastAsia"/>
          <w:kern w:val="0"/>
          <w:sz w:val="24"/>
        </w:rPr>
        <w:t>网址：</w:t>
      </w:r>
      <w:r>
        <w:rPr>
          <w:rStyle w:val="a6"/>
          <w:rFonts w:ascii="宋体" w:cs="宋体" w:hint="eastAsia"/>
          <w:color w:val="auto"/>
          <w:kern w:val="0"/>
          <w:sz w:val="24"/>
          <w:u w:val="none"/>
        </w:rPr>
        <w:t>www.cjzcgl.com</w:t>
      </w:r>
    </w:p>
    <w:p w:rsidR="00887ABD" w:rsidRDefault="00B222D4">
      <w:pPr>
        <w:widowControl/>
        <w:spacing w:line="360" w:lineRule="auto"/>
        <w:rPr>
          <w:rFonts w:ascii="宋体" w:cs="宋体"/>
          <w:b/>
          <w:kern w:val="0"/>
          <w:sz w:val="24"/>
        </w:rPr>
      </w:pPr>
      <w:r>
        <w:rPr>
          <w:rFonts w:ascii="宋体" w:hAnsi="宋体" w:cs="宋体"/>
          <w:b/>
          <w:kern w:val="0"/>
          <w:sz w:val="24"/>
        </w:rPr>
        <w:t>5.1.</w:t>
      </w:r>
      <w:r>
        <w:rPr>
          <w:rFonts w:ascii="宋体" w:hAnsi="宋体" w:cs="宋体" w:hint="eastAsia"/>
          <w:b/>
          <w:kern w:val="0"/>
          <w:sz w:val="24"/>
        </w:rPr>
        <w:t>2</w:t>
      </w:r>
      <w:r>
        <w:rPr>
          <w:rFonts w:ascii="宋体" w:hAnsi="宋体" w:cs="宋体" w:hint="eastAsia"/>
          <w:b/>
          <w:kern w:val="0"/>
          <w:sz w:val="24"/>
        </w:rPr>
        <w:t xml:space="preserve"> </w:t>
      </w:r>
      <w:r>
        <w:rPr>
          <w:rFonts w:ascii="宋体" w:hAnsi="宋体" w:cs="宋体" w:hint="eastAsia"/>
          <w:b/>
          <w:kern w:val="0"/>
          <w:sz w:val="24"/>
        </w:rPr>
        <w:t>场外非直销机构</w:t>
      </w:r>
    </w:p>
    <w:p w:rsidR="00887ABD" w:rsidRDefault="00B222D4">
      <w:pPr>
        <w:widowControl/>
        <w:spacing w:line="360" w:lineRule="auto"/>
        <w:ind w:firstLineChars="200" w:firstLine="480"/>
        <w:rPr>
          <w:rFonts w:ascii="宋体" w:cs="宋体"/>
          <w:kern w:val="0"/>
          <w:sz w:val="24"/>
        </w:rPr>
      </w:pPr>
      <w:r>
        <w:rPr>
          <w:rFonts w:ascii="宋体" w:cs="宋体" w:hint="eastAsia"/>
          <w:kern w:val="0"/>
          <w:sz w:val="24"/>
        </w:rPr>
        <w:t>（</w:t>
      </w:r>
      <w:r>
        <w:rPr>
          <w:rFonts w:ascii="宋体" w:cs="宋体" w:hint="eastAsia"/>
          <w:kern w:val="0"/>
          <w:sz w:val="24"/>
        </w:rPr>
        <w:t>1</w:t>
      </w:r>
      <w:r>
        <w:rPr>
          <w:rFonts w:ascii="宋体" w:cs="宋体" w:hint="eastAsia"/>
          <w:kern w:val="0"/>
          <w:sz w:val="24"/>
        </w:rPr>
        <w:t>）北京汇成基金销售有限公司</w:t>
      </w:r>
    </w:p>
    <w:p w:rsidR="00887ABD" w:rsidRDefault="00B222D4">
      <w:pPr>
        <w:widowControl/>
        <w:spacing w:line="360" w:lineRule="auto"/>
        <w:ind w:firstLineChars="200" w:firstLine="480"/>
        <w:rPr>
          <w:rFonts w:ascii="宋体" w:cs="宋体"/>
          <w:kern w:val="0"/>
          <w:sz w:val="24"/>
        </w:rPr>
      </w:pPr>
      <w:r>
        <w:rPr>
          <w:rFonts w:ascii="宋体" w:cs="宋体" w:hint="eastAsia"/>
          <w:kern w:val="0"/>
          <w:sz w:val="24"/>
        </w:rPr>
        <w:t>（</w:t>
      </w:r>
      <w:r>
        <w:rPr>
          <w:rFonts w:ascii="宋体" w:cs="宋体" w:hint="eastAsia"/>
          <w:kern w:val="0"/>
          <w:sz w:val="24"/>
        </w:rPr>
        <w:t>2</w:t>
      </w:r>
      <w:r>
        <w:rPr>
          <w:rFonts w:ascii="宋体" w:cs="宋体" w:hint="eastAsia"/>
          <w:kern w:val="0"/>
          <w:sz w:val="24"/>
        </w:rPr>
        <w:t>）</w:t>
      </w:r>
      <w:r>
        <w:rPr>
          <w:rFonts w:ascii="宋体" w:cs="宋体" w:hint="eastAsia"/>
          <w:kern w:val="0"/>
          <w:sz w:val="24"/>
        </w:rPr>
        <w:t>东方财富证券股份有限公司</w:t>
      </w:r>
    </w:p>
    <w:p w:rsidR="00887ABD" w:rsidRDefault="00B222D4">
      <w:pPr>
        <w:widowControl/>
        <w:spacing w:line="360" w:lineRule="auto"/>
        <w:ind w:firstLineChars="200" w:firstLine="480"/>
        <w:rPr>
          <w:rFonts w:ascii="宋体" w:cs="宋体"/>
          <w:kern w:val="0"/>
          <w:sz w:val="24"/>
        </w:rPr>
      </w:pPr>
      <w:r>
        <w:rPr>
          <w:rFonts w:ascii="宋体" w:cs="宋体" w:hint="eastAsia"/>
          <w:kern w:val="0"/>
          <w:sz w:val="24"/>
        </w:rPr>
        <w:t>（</w:t>
      </w:r>
      <w:r>
        <w:rPr>
          <w:rFonts w:ascii="宋体" w:cs="宋体" w:hint="eastAsia"/>
          <w:kern w:val="0"/>
          <w:sz w:val="24"/>
        </w:rPr>
        <w:t>3</w:t>
      </w:r>
      <w:r>
        <w:rPr>
          <w:rFonts w:ascii="宋体" w:cs="宋体" w:hint="eastAsia"/>
          <w:kern w:val="0"/>
          <w:sz w:val="24"/>
        </w:rPr>
        <w:t>）京东肯特瑞基金销售有限公司</w:t>
      </w:r>
    </w:p>
    <w:p w:rsidR="00887ABD" w:rsidRDefault="00B222D4">
      <w:pPr>
        <w:widowControl/>
        <w:spacing w:line="360" w:lineRule="auto"/>
        <w:ind w:firstLineChars="200" w:firstLine="480"/>
        <w:rPr>
          <w:rFonts w:ascii="宋体" w:cs="宋体"/>
          <w:kern w:val="0"/>
          <w:sz w:val="24"/>
        </w:rPr>
      </w:pPr>
      <w:r>
        <w:rPr>
          <w:rFonts w:ascii="宋体" w:cs="宋体" w:hint="eastAsia"/>
          <w:kern w:val="0"/>
          <w:sz w:val="24"/>
        </w:rPr>
        <w:t>（</w:t>
      </w:r>
      <w:r>
        <w:rPr>
          <w:rFonts w:ascii="宋体" w:cs="宋体" w:hint="eastAsia"/>
          <w:kern w:val="0"/>
          <w:sz w:val="24"/>
        </w:rPr>
        <w:t>4</w:t>
      </w:r>
      <w:r>
        <w:rPr>
          <w:rFonts w:ascii="宋体" w:cs="宋体" w:hint="eastAsia"/>
          <w:kern w:val="0"/>
          <w:sz w:val="24"/>
        </w:rPr>
        <w:t>）宁波银行股份有限公司</w:t>
      </w:r>
    </w:p>
    <w:p w:rsidR="00887ABD" w:rsidRDefault="00B222D4">
      <w:pPr>
        <w:widowControl/>
        <w:spacing w:line="360" w:lineRule="auto"/>
        <w:ind w:firstLineChars="200" w:firstLine="480"/>
        <w:rPr>
          <w:rFonts w:ascii="宋体" w:cs="宋体"/>
          <w:kern w:val="0"/>
          <w:sz w:val="24"/>
        </w:rPr>
      </w:pPr>
      <w:r>
        <w:rPr>
          <w:rFonts w:ascii="宋体" w:cs="宋体" w:hint="eastAsia"/>
          <w:kern w:val="0"/>
          <w:sz w:val="24"/>
        </w:rPr>
        <w:t>（</w:t>
      </w:r>
      <w:r>
        <w:rPr>
          <w:rFonts w:ascii="宋体" w:cs="宋体" w:hint="eastAsia"/>
          <w:kern w:val="0"/>
          <w:sz w:val="24"/>
        </w:rPr>
        <w:t>5</w:t>
      </w:r>
      <w:r>
        <w:rPr>
          <w:rFonts w:ascii="宋体" w:cs="宋体" w:hint="eastAsia"/>
          <w:kern w:val="0"/>
          <w:sz w:val="24"/>
        </w:rPr>
        <w:t>）诺亚正行基金销售有限公司</w:t>
      </w:r>
    </w:p>
    <w:p w:rsidR="00887ABD" w:rsidRDefault="00B222D4">
      <w:pPr>
        <w:widowControl/>
        <w:spacing w:line="360" w:lineRule="auto"/>
        <w:ind w:firstLineChars="200" w:firstLine="480"/>
        <w:rPr>
          <w:rFonts w:ascii="宋体" w:cs="宋体"/>
          <w:color w:val="4C4C4C"/>
          <w:kern w:val="0"/>
          <w:sz w:val="24"/>
        </w:rPr>
      </w:pPr>
      <w:r>
        <w:rPr>
          <w:rFonts w:ascii="宋体" w:cs="宋体" w:hint="eastAsia"/>
          <w:kern w:val="0"/>
          <w:sz w:val="24"/>
        </w:rPr>
        <w:t>（</w:t>
      </w:r>
      <w:r>
        <w:rPr>
          <w:rFonts w:ascii="宋体" w:cs="宋体" w:hint="eastAsia"/>
          <w:kern w:val="0"/>
          <w:sz w:val="24"/>
        </w:rPr>
        <w:t>6</w:t>
      </w:r>
      <w:r>
        <w:rPr>
          <w:rFonts w:ascii="宋体" w:cs="宋体" w:hint="eastAsia"/>
          <w:kern w:val="0"/>
          <w:sz w:val="24"/>
        </w:rPr>
        <w:t>）</w:t>
      </w:r>
      <w:r>
        <w:rPr>
          <w:rFonts w:ascii="宋体" w:cs="宋体" w:hint="eastAsia"/>
          <w:kern w:val="0"/>
          <w:sz w:val="24"/>
        </w:rPr>
        <w:t>上海好买基金销售有限公司</w:t>
      </w:r>
    </w:p>
    <w:p w:rsidR="00887ABD" w:rsidRDefault="00B222D4">
      <w:pPr>
        <w:widowControl/>
        <w:spacing w:line="360" w:lineRule="auto"/>
        <w:ind w:firstLineChars="200" w:firstLine="480"/>
        <w:rPr>
          <w:rFonts w:ascii="宋体" w:cs="宋体"/>
          <w:kern w:val="0"/>
          <w:sz w:val="24"/>
        </w:rPr>
      </w:pPr>
      <w:r>
        <w:rPr>
          <w:rFonts w:ascii="宋体" w:cs="宋体" w:hint="eastAsia"/>
          <w:kern w:val="0"/>
          <w:sz w:val="24"/>
        </w:rPr>
        <w:t>（</w:t>
      </w:r>
      <w:r>
        <w:rPr>
          <w:rFonts w:ascii="宋体" w:cs="宋体" w:hint="eastAsia"/>
          <w:kern w:val="0"/>
          <w:sz w:val="24"/>
        </w:rPr>
        <w:t>7</w:t>
      </w:r>
      <w:r>
        <w:rPr>
          <w:rFonts w:ascii="宋体" w:cs="宋体" w:hint="eastAsia"/>
          <w:kern w:val="0"/>
          <w:sz w:val="24"/>
        </w:rPr>
        <w:t>）上海基煜基金销售有限公司</w:t>
      </w:r>
    </w:p>
    <w:p w:rsidR="00887ABD" w:rsidRDefault="00B222D4">
      <w:pPr>
        <w:widowControl/>
        <w:spacing w:line="360" w:lineRule="auto"/>
        <w:ind w:firstLineChars="200" w:firstLine="480"/>
        <w:rPr>
          <w:rFonts w:ascii="宋体" w:cs="宋体"/>
          <w:kern w:val="0"/>
          <w:sz w:val="24"/>
        </w:rPr>
      </w:pPr>
      <w:r>
        <w:rPr>
          <w:rFonts w:ascii="宋体" w:cs="宋体" w:hint="eastAsia"/>
          <w:kern w:val="0"/>
          <w:sz w:val="24"/>
        </w:rPr>
        <w:t>（</w:t>
      </w:r>
      <w:r>
        <w:rPr>
          <w:rFonts w:ascii="宋体" w:cs="宋体" w:hint="eastAsia"/>
          <w:kern w:val="0"/>
          <w:sz w:val="24"/>
        </w:rPr>
        <w:t>8</w:t>
      </w:r>
      <w:r>
        <w:rPr>
          <w:rFonts w:ascii="宋体" w:cs="宋体" w:hint="eastAsia"/>
          <w:kern w:val="0"/>
          <w:sz w:val="24"/>
        </w:rPr>
        <w:t>）上海利得基金销售有限公司</w:t>
      </w:r>
    </w:p>
    <w:p w:rsidR="00887ABD" w:rsidRDefault="00B222D4">
      <w:pPr>
        <w:widowControl/>
        <w:spacing w:line="360" w:lineRule="auto"/>
        <w:ind w:firstLineChars="200" w:firstLine="480"/>
        <w:rPr>
          <w:rFonts w:ascii="宋体" w:cs="宋体"/>
          <w:kern w:val="0"/>
          <w:sz w:val="24"/>
        </w:rPr>
      </w:pPr>
      <w:r>
        <w:rPr>
          <w:rFonts w:ascii="宋体" w:cs="宋体" w:hint="eastAsia"/>
          <w:kern w:val="0"/>
          <w:sz w:val="24"/>
        </w:rPr>
        <w:t>（</w:t>
      </w:r>
      <w:r>
        <w:rPr>
          <w:rFonts w:ascii="宋体" w:cs="宋体" w:hint="eastAsia"/>
          <w:kern w:val="0"/>
          <w:sz w:val="24"/>
        </w:rPr>
        <w:t>9</w:t>
      </w:r>
      <w:r>
        <w:rPr>
          <w:rFonts w:ascii="宋体" w:cs="宋体" w:hint="eastAsia"/>
          <w:kern w:val="0"/>
          <w:sz w:val="24"/>
        </w:rPr>
        <w:t>）上海联泰基金销售有限公司</w:t>
      </w:r>
    </w:p>
    <w:p w:rsidR="00887ABD" w:rsidRDefault="00B222D4">
      <w:pPr>
        <w:widowControl/>
        <w:spacing w:line="360" w:lineRule="auto"/>
        <w:ind w:firstLineChars="200" w:firstLine="480"/>
        <w:rPr>
          <w:rFonts w:ascii="宋体" w:cs="宋体"/>
          <w:kern w:val="0"/>
          <w:sz w:val="24"/>
        </w:rPr>
      </w:pPr>
      <w:r>
        <w:rPr>
          <w:rFonts w:ascii="宋体" w:cs="宋体" w:hint="eastAsia"/>
          <w:kern w:val="0"/>
          <w:sz w:val="24"/>
        </w:rPr>
        <w:t>（</w:t>
      </w:r>
      <w:r>
        <w:rPr>
          <w:rFonts w:ascii="宋体" w:cs="宋体" w:hint="eastAsia"/>
          <w:kern w:val="0"/>
          <w:sz w:val="24"/>
        </w:rPr>
        <w:t>10</w:t>
      </w:r>
      <w:r>
        <w:rPr>
          <w:rFonts w:ascii="宋体" w:cs="宋体" w:hint="eastAsia"/>
          <w:kern w:val="0"/>
          <w:sz w:val="24"/>
        </w:rPr>
        <w:t>）</w:t>
      </w:r>
      <w:r>
        <w:rPr>
          <w:rFonts w:ascii="宋体" w:cs="宋体" w:hint="eastAsia"/>
          <w:kern w:val="0"/>
          <w:sz w:val="24"/>
        </w:rPr>
        <w:t>上海陆享基金销售有限公司</w:t>
      </w:r>
    </w:p>
    <w:p w:rsidR="00887ABD" w:rsidRDefault="00B222D4">
      <w:pPr>
        <w:widowControl/>
        <w:spacing w:line="360" w:lineRule="auto"/>
        <w:ind w:firstLineChars="200" w:firstLine="480"/>
        <w:rPr>
          <w:rFonts w:ascii="宋体" w:cs="宋体"/>
          <w:kern w:val="0"/>
          <w:sz w:val="24"/>
        </w:rPr>
      </w:pPr>
      <w:r>
        <w:rPr>
          <w:rFonts w:ascii="宋体" w:cs="宋体" w:hint="eastAsia"/>
          <w:kern w:val="0"/>
          <w:sz w:val="24"/>
        </w:rPr>
        <w:t>（</w:t>
      </w:r>
      <w:r>
        <w:rPr>
          <w:rFonts w:ascii="宋体" w:cs="宋体" w:hint="eastAsia"/>
          <w:kern w:val="0"/>
          <w:sz w:val="24"/>
        </w:rPr>
        <w:t>11</w:t>
      </w:r>
      <w:r>
        <w:rPr>
          <w:rFonts w:ascii="宋体" w:cs="宋体" w:hint="eastAsia"/>
          <w:kern w:val="0"/>
          <w:sz w:val="24"/>
        </w:rPr>
        <w:t>）上海天天基金销售有限公司</w:t>
      </w:r>
    </w:p>
    <w:p w:rsidR="00887ABD" w:rsidRDefault="00B222D4">
      <w:pPr>
        <w:widowControl/>
        <w:spacing w:line="360" w:lineRule="auto"/>
        <w:ind w:firstLineChars="200" w:firstLine="480"/>
        <w:rPr>
          <w:rFonts w:ascii="宋体" w:cs="宋体"/>
          <w:kern w:val="0"/>
          <w:sz w:val="24"/>
        </w:rPr>
      </w:pPr>
      <w:r>
        <w:rPr>
          <w:rFonts w:ascii="宋体" w:cs="宋体" w:hint="eastAsia"/>
          <w:kern w:val="0"/>
          <w:sz w:val="24"/>
        </w:rPr>
        <w:t>（</w:t>
      </w:r>
      <w:r>
        <w:rPr>
          <w:rFonts w:ascii="宋体" w:cs="宋体" w:hint="eastAsia"/>
          <w:kern w:val="0"/>
          <w:sz w:val="24"/>
        </w:rPr>
        <w:t>12</w:t>
      </w:r>
      <w:r>
        <w:rPr>
          <w:rFonts w:ascii="宋体" w:cs="宋体" w:hint="eastAsia"/>
          <w:kern w:val="0"/>
          <w:sz w:val="24"/>
        </w:rPr>
        <w:t>）上海万得基金销售有限公司</w:t>
      </w:r>
    </w:p>
    <w:p w:rsidR="00887ABD" w:rsidRDefault="00B222D4">
      <w:pPr>
        <w:widowControl/>
        <w:spacing w:line="360" w:lineRule="auto"/>
        <w:ind w:firstLineChars="200" w:firstLine="480"/>
        <w:rPr>
          <w:rFonts w:ascii="宋体" w:cs="宋体"/>
          <w:kern w:val="0"/>
          <w:sz w:val="24"/>
        </w:rPr>
      </w:pPr>
      <w:r>
        <w:rPr>
          <w:rFonts w:ascii="宋体" w:cs="宋体" w:hint="eastAsia"/>
          <w:kern w:val="0"/>
          <w:sz w:val="24"/>
        </w:rPr>
        <w:t>（</w:t>
      </w:r>
      <w:r>
        <w:rPr>
          <w:rFonts w:ascii="宋体" w:cs="宋体" w:hint="eastAsia"/>
          <w:kern w:val="0"/>
          <w:sz w:val="24"/>
        </w:rPr>
        <w:t>13</w:t>
      </w:r>
      <w:r>
        <w:rPr>
          <w:rFonts w:ascii="宋体" w:cs="宋体" w:hint="eastAsia"/>
          <w:kern w:val="0"/>
          <w:sz w:val="24"/>
        </w:rPr>
        <w:t>）腾安基金销售（深圳）有限公司</w:t>
      </w:r>
    </w:p>
    <w:p w:rsidR="00887ABD" w:rsidRDefault="00B222D4">
      <w:pPr>
        <w:widowControl/>
        <w:spacing w:line="360" w:lineRule="auto"/>
        <w:ind w:firstLineChars="200" w:firstLine="480"/>
        <w:rPr>
          <w:rFonts w:ascii="宋体" w:cs="宋体"/>
          <w:kern w:val="0"/>
          <w:sz w:val="24"/>
        </w:rPr>
      </w:pPr>
      <w:r>
        <w:rPr>
          <w:rFonts w:ascii="宋体" w:cs="宋体" w:hint="eastAsia"/>
          <w:kern w:val="0"/>
          <w:sz w:val="24"/>
        </w:rPr>
        <w:t>（</w:t>
      </w:r>
      <w:r>
        <w:rPr>
          <w:rFonts w:ascii="宋体" w:cs="宋体" w:hint="eastAsia"/>
          <w:kern w:val="0"/>
          <w:sz w:val="24"/>
        </w:rPr>
        <w:t>14</w:t>
      </w:r>
      <w:r>
        <w:rPr>
          <w:rFonts w:ascii="宋体" w:cs="宋体" w:hint="eastAsia"/>
          <w:kern w:val="0"/>
          <w:sz w:val="24"/>
        </w:rPr>
        <w:t>）长江证券股份有限公司</w:t>
      </w:r>
    </w:p>
    <w:p w:rsidR="00887ABD" w:rsidRDefault="00B222D4">
      <w:pPr>
        <w:widowControl/>
        <w:spacing w:line="360" w:lineRule="auto"/>
        <w:ind w:firstLineChars="200" w:firstLine="480"/>
        <w:rPr>
          <w:rFonts w:ascii="宋体" w:cs="宋体"/>
          <w:kern w:val="0"/>
          <w:sz w:val="24"/>
        </w:rPr>
      </w:pPr>
      <w:r>
        <w:rPr>
          <w:rFonts w:ascii="宋体" w:cs="宋体" w:hint="eastAsia"/>
          <w:kern w:val="0"/>
          <w:sz w:val="24"/>
        </w:rPr>
        <w:t>（</w:t>
      </w:r>
      <w:r>
        <w:rPr>
          <w:rFonts w:ascii="宋体" w:cs="宋体" w:hint="eastAsia"/>
          <w:kern w:val="0"/>
          <w:sz w:val="24"/>
        </w:rPr>
        <w:t>15</w:t>
      </w:r>
      <w:r>
        <w:rPr>
          <w:rFonts w:ascii="宋体" w:cs="宋体" w:hint="eastAsia"/>
          <w:kern w:val="0"/>
          <w:sz w:val="24"/>
        </w:rPr>
        <w:t>）珠海盈米基金销售有限公司</w:t>
      </w:r>
    </w:p>
    <w:p w:rsidR="00887ABD" w:rsidRDefault="00B222D4">
      <w:pPr>
        <w:widowControl/>
        <w:spacing w:line="360" w:lineRule="auto"/>
        <w:ind w:firstLineChars="200" w:firstLine="480"/>
        <w:rPr>
          <w:rFonts w:ascii="宋体" w:cs="宋体"/>
          <w:kern w:val="0"/>
          <w:sz w:val="24"/>
        </w:rPr>
      </w:pPr>
      <w:r>
        <w:rPr>
          <w:rFonts w:ascii="宋体" w:cs="宋体" w:hint="eastAsia"/>
          <w:kern w:val="0"/>
          <w:sz w:val="24"/>
        </w:rPr>
        <w:t>（</w:t>
      </w:r>
      <w:r>
        <w:rPr>
          <w:rFonts w:ascii="宋体" w:cs="宋体" w:hint="eastAsia"/>
          <w:kern w:val="0"/>
          <w:sz w:val="24"/>
        </w:rPr>
        <w:t>16</w:t>
      </w:r>
      <w:r>
        <w:rPr>
          <w:rFonts w:ascii="宋体" w:cs="宋体" w:hint="eastAsia"/>
          <w:kern w:val="0"/>
          <w:sz w:val="24"/>
        </w:rPr>
        <w:t>）中国邮政储蓄银行股份有限公司“邮你同赢”平台</w:t>
      </w:r>
    </w:p>
    <w:p w:rsidR="00887ABD" w:rsidRDefault="00B222D4">
      <w:pPr>
        <w:widowControl/>
        <w:spacing w:line="360" w:lineRule="auto"/>
        <w:rPr>
          <w:rFonts w:ascii="宋体" w:cs="宋体"/>
          <w:b/>
          <w:kern w:val="0"/>
          <w:sz w:val="24"/>
        </w:rPr>
      </w:pPr>
      <w:r>
        <w:rPr>
          <w:rFonts w:ascii="宋体" w:hAnsi="宋体" w:cs="宋体"/>
          <w:b/>
          <w:kern w:val="0"/>
          <w:sz w:val="24"/>
        </w:rPr>
        <w:t>6</w:t>
      </w:r>
      <w:r>
        <w:rPr>
          <w:rFonts w:ascii="宋体" w:hAnsi="宋体" w:cs="宋体" w:hint="eastAsia"/>
          <w:b/>
          <w:kern w:val="0"/>
          <w:sz w:val="24"/>
        </w:rPr>
        <w:t>．基金份额净值公告的披露安排</w:t>
      </w:r>
    </w:p>
    <w:p w:rsidR="00887ABD" w:rsidRDefault="00B222D4">
      <w:pPr>
        <w:spacing w:line="360" w:lineRule="auto"/>
        <w:ind w:firstLineChars="200" w:firstLine="480"/>
        <w:rPr>
          <w:sz w:val="24"/>
        </w:rPr>
      </w:pPr>
      <w:r>
        <w:rPr>
          <w:rFonts w:hint="eastAsia"/>
          <w:sz w:val="24"/>
        </w:rPr>
        <w:t>《基金合同》生效后，在本基金的封闭期内，基金管理人应当至少每周在规定网站披露一次基金份额净值和基金份额累计净值。</w:t>
      </w:r>
    </w:p>
    <w:p w:rsidR="00887ABD" w:rsidRDefault="00B222D4">
      <w:pPr>
        <w:spacing w:line="360" w:lineRule="auto"/>
        <w:ind w:firstLineChars="200" w:firstLine="480"/>
        <w:rPr>
          <w:sz w:val="24"/>
        </w:rPr>
      </w:pPr>
      <w:r>
        <w:rPr>
          <w:rFonts w:hint="eastAsia"/>
          <w:sz w:val="24"/>
        </w:rPr>
        <w:t>在本基金的开放期内，基金管理人应当在不晚于每个开放日的次日，通过规定网站、基金销售机构网站或者营业网点披露开放日的基金份额净值和基金份额累计净值。</w:t>
      </w:r>
    </w:p>
    <w:p w:rsidR="00887ABD" w:rsidRDefault="00B222D4">
      <w:pPr>
        <w:spacing w:line="360" w:lineRule="auto"/>
        <w:ind w:firstLineChars="200" w:firstLine="480"/>
        <w:rPr>
          <w:sz w:val="24"/>
        </w:rPr>
      </w:pPr>
      <w:r>
        <w:rPr>
          <w:rFonts w:hint="eastAsia"/>
          <w:sz w:val="24"/>
        </w:rPr>
        <w:t>基金管理人应当在不晚于半年度和年度最后一日的次日，在规定网站披露半年度和年度最后一日的基金份额净值和基金份额累计净值。</w:t>
      </w:r>
    </w:p>
    <w:p w:rsidR="00887ABD" w:rsidRDefault="00B222D4">
      <w:pPr>
        <w:widowControl/>
        <w:spacing w:line="360" w:lineRule="auto"/>
        <w:rPr>
          <w:rFonts w:ascii="宋体" w:cs="宋体"/>
          <w:b/>
          <w:kern w:val="0"/>
          <w:sz w:val="24"/>
        </w:rPr>
      </w:pPr>
      <w:r>
        <w:rPr>
          <w:rFonts w:ascii="宋体" w:hAnsi="宋体" w:cs="宋体"/>
          <w:b/>
          <w:kern w:val="0"/>
          <w:sz w:val="24"/>
        </w:rPr>
        <w:t>7</w:t>
      </w:r>
      <w:r>
        <w:rPr>
          <w:rFonts w:ascii="宋体" w:cs="宋体"/>
          <w:b/>
          <w:kern w:val="0"/>
          <w:sz w:val="24"/>
        </w:rPr>
        <w:t>.</w:t>
      </w:r>
      <w:r>
        <w:rPr>
          <w:rFonts w:ascii="宋体" w:hAnsi="宋体" w:cs="宋体" w:hint="eastAsia"/>
          <w:b/>
          <w:kern w:val="0"/>
          <w:sz w:val="24"/>
        </w:rPr>
        <w:t>其他需要提示的事项</w:t>
      </w:r>
    </w:p>
    <w:p w:rsidR="00887ABD" w:rsidRDefault="00B222D4">
      <w:pPr>
        <w:widowControl/>
        <w:spacing w:line="360" w:lineRule="auto"/>
        <w:ind w:firstLineChars="200" w:firstLine="480"/>
        <w:rPr>
          <w:rFonts w:ascii="宋体" w:hAnsi="宋体" w:cs="宋体"/>
          <w:kern w:val="0"/>
          <w:sz w:val="24"/>
        </w:rPr>
      </w:pPr>
      <w:r>
        <w:rPr>
          <w:rFonts w:ascii="宋体" w:hAnsi="宋体" w:cs="宋体" w:hint="eastAsia"/>
          <w:kern w:val="0"/>
          <w:sz w:val="24"/>
        </w:rPr>
        <w:t>（</w:t>
      </w:r>
      <w:r>
        <w:rPr>
          <w:rFonts w:ascii="宋体" w:hAnsi="宋体" w:cs="宋体"/>
          <w:kern w:val="0"/>
          <w:sz w:val="24"/>
        </w:rPr>
        <w:t>1</w:t>
      </w:r>
      <w:r>
        <w:rPr>
          <w:rFonts w:ascii="宋体" w:hAnsi="宋体" w:cs="宋体" w:hint="eastAsia"/>
          <w:kern w:val="0"/>
          <w:sz w:val="24"/>
        </w:rPr>
        <w:t>）本公告仅对本基金</w:t>
      </w:r>
      <w:r>
        <w:rPr>
          <w:rFonts w:ascii="宋体" w:hAnsi="宋体" w:cs="宋体" w:hint="eastAsia"/>
          <w:kern w:val="0"/>
          <w:sz w:val="24"/>
        </w:rPr>
        <w:t>第</w:t>
      </w:r>
      <w:r>
        <w:rPr>
          <w:rFonts w:ascii="宋体" w:hAnsi="宋体" w:cs="宋体" w:hint="eastAsia"/>
          <w:kern w:val="0"/>
          <w:sz w:val="24"/>
        </w:rPr>
        <w:t>二十九</w:t>
      </w:r>
      <w:r>
        <w:rPr>
          <w:rFonts w:ascii="宋体" w:hAnsi="宋体" w:cs="宋体" w:hint="eastAsia"/>
          <w:kern w:val="0"/>
          <w:sz w:val="24"/>
        </w:rPr>
        <w:t>个</w:t>
      </w:r>
      <w:r>
        <w:rPr>
          <w:rFonts w:ascii="宋体" w:hAnsi="宋体" w:cs="宋体" w:hint="eastAsia"/>
          <w:kern w:val="0"/>
          <w:sz w:val="24"/>
        </w:rPr>
        <w:t>开放期内开放申购、赎回业务的有关事项予以说明。投资者欲了解本基金的详细情况，可登录本公司网站（</w:t>
      </w:r>
      <w:r>
        <w:rPr>
          <w:rFonts w:ascii="宋体" w:hAnsi="宋体" w:cs="宋体" w:hint="eastAsia"/>
          <w:kern w:val="0"/>
          <w:sz w:val="24"/>
        </w:rPr>
        <w:t>www.cjzcgl.com</w:t>
      </w:r>
      <w:r>
        <w:rPr>
          <w:rFonts w:ascii="宋体" w:hAnsi="宋体" w:cs="宋体" w:hint="eastAsia"/>
          <w:kern w:val="0"/>
          <w:sz w:val="24"/>
        </w:rPr>
        <w:t>）查阅《长江乐鑫纯债定期开放债券型发起式证券投资基金招募说明书》等法律文件，投资者亦可拨打本公司客户服务电话</w:t>
      </w:r>
      <w:r>
        <w:rPr>
          <w:rFonts w:ascii="宋体" w:hAnsi="宋体" w:cs="宋体"/>
          <w:kern w:val="0"/>
          <w:sz w:val="24"/>
        </w:rPr>
        <w:t>4001-166-866</w:t>
      </w:r>
      <w:r>
        <w:rPr>
          <w:rFonts w:ascii="宋体" w:hAnsi="宋体" w:cs="宋体" w:hint="eastAsia"/>
          <w:kern w:val="0"/>
          <w:sz w:val="24"/>
        </w:rPr>
        <w:t>了解本基金的相关事宜。</w:t>
      </w:r>
    </w:p>
    <w:p w:rsidR="00887ABD" w:rsidRDefault="00B222D4">
      <w:pPr>
        <w:widowControl/>
        <w:spacing w:line="360" w:lineRule="auto"/>
        <w:ind w:firstLineChars="200" w:firstLine="480"/>
        <w:rPr>
          <w:rFonts w:ascii="宋体" w:hAnsi="宋体" w:cs="宋体"/>
          <w:kern w:val="0"/>
          <w:sz w:val="24"/>
        </w:rPr>
      </w:pPr>
      <w:r>
        <w:rPr>
          <w:rFonts w:ascii="宋体" w:hAnsi="宋体" w:cs="宋体" w:hint="eastAsia"/>
          <w:kern w:val="0"/>
          <w:sz w:val="24"/>
        </w:rPr>
        <w:t>（</w:t>
      </w:r>
      <w:r>
        <w:rPr>
          <w:rFonts w:ascii="宋体" w:hAnsi="宋体" w:cs="宋体" w:hint="eastAsia"/>
          <w:kern w:val="0"/>
          <w:sz w:val="24"/>
        </w:rPr>
        <w:t>2</w:t>
      </w:r>
      <w:r>
        <w:rPr>
          <w:rFonts w:ascii="宋体" w:hAnsi="宋体" w:cs="宋体" w:hint="eastAsia"/>
          <w:kern w:val="0"/>
          <w:sz w:val="24"/>
        </w:rPr>
        <w:t>）本基金办理申购、赎回业务的具体规定请以各销售机构有关</w:t>
      </w:r>
      <w:r>
        <w:rPr>
          <w:rFonts w:ascii="宋体" w:hAnsi="宋体" w:cs="宋体" w:hint="eastAsia"/>
          <w:kern w:val="0"/>
          <w:sz w:val="24"/>
        </w:rPr>
        <w:t>规定为准。本基金开放申购、赎回的具体规定若有变化，本公司将另行公告。</w:t>
      </w:r>
    </w:p>
    <w:p w:rsidR="00887ABD" w:rsidRDefault="00B222D4">
      <w:pPr>
        <w:widowControl/>
        <w:spacing w:line="360" w:lineRule="auto"/>
        <w:ind w:firstLineChars="200" w:firstLine="480"/>
        <w:rPr>
          <w:rFonts w:ascii="宋体" w:cs="宋体"/>
          <w:kern w:val="0"/>
          <w:sz w:val="24"/>
        </w:rPr>
      </w:pPr>
      <w:r>
        <w:rPr>
          <w:rFonts w:ascii="宋体" w:hAnsi="宋体" w:cs="宋体" w:hint="eastAsia"/>
          <w:kern w:val="0"/>
          <w:sz w:val="24"/>
        </w:rPr>
        <w:t>（</w:t>
      </w:r>
      <w:r>
        <w:rPr>
          <w:rFonts w:ascii="宋体" w:hAnsi="宋体" w:cs="宋体" w:hint="eastAsia"/>
          <w:kern w:val="0"/>
          <w:sz w:val="24"/>
        </w:rPr>
        <w:t>3</w:t>
      </w:r>
      <w:r>
        <w:rPr>
          <w:rFonts w:ascii="宋体" w:hAnsi="宋体" w:cs="宋体" w:hint="eastAsia"/>
          <w:kern w:val="0"/>
          <w:sz w:val="24"/>
        </w:rPr>
        <w:t>）本基金允许单一投资者持有基金份额比例超过</w:t>
      </w:r>
      <w:r>
        <w:rPr>
          <w:rFonts w:ascii="宋体" w:hAnsi="宋体" w:cs="宋体" w:hint="eastAsia"/>
          <w:kern w:val="0"/>
          <w:sz w:val="24"/>
        </w:rPr>
        <w:t>50%</w:t>
      </w:r>
      <w:r>
        <w:rPr>
          <w:rFonts w:ascii="宋体" w:hAnsi="宋体" w:cs="宋体" w:hint="eastAsia"/>
          <w:kern w:val="0"/>
          <w:sz w:val="24"/>
        </w:rPr>
        <w:t>，不向个人投资者销售。</w:t>
      </w:r>
    </w:p>
    <w:p w:rsidR="00887ABD" w:rsidRDefault="00B222D4">
      <w:pPr>
        <w:widowControl/>
        <w:spacing w:line="360" w:lineRule="auto"/>
        <w:ind w:firstLineChars="200" w:firstLine="480"/>
        <w:rPr>
          <w:rFonts w:ascii="宋体" w:cs="宋体"/>
          <w:b/>
          <w:kern w:val="0"/>
          <w:sz w:val="24"/>
        </w:rPr>
      </w:pPr>
      <w:r>
        <w:rPr>
          <w:rFonts w:ascii="宋体" w:hAnsi="宋体" w:cs="宋体" w:hint="eastAsia"/>
          <w:kern w:val="0"/>
          <w:sz w:val="24"/>
        </w:rPr>
        <w:t>（</w:t>
      </w:r>
      <w:r>
        <w:rPr>
          <w:rFonts w:ascii="宋体" w:hAnsi="宋体" w:cs="宋体" w:hint="eastAsia"/>
          <w:kern w:val="0"/>
          <w:sz w:val="24"/>
        </w:rPr>
        <w:t>4</w:t>
      </w:r>
      <w:r>
        <w:rPr>
          <w:rFonts w:ascii="宋体" w:hAnsi="宋体" w:cs="宋体" w:hint="eastAsia"/>
          <w:kern w:val="0"/>
          <w:sz w:val="24"/>
        </w:rPr>
        <w:t>）本公告的解释权归本公司所有。</w:t>
      </w:r>
    </w:p>
    <w:p w:rsidR="00887ABD" w:rsidRDefault="00B222D4">
      <w:pPr>
        <w:widowControl/>
        <w:spacing w:line="360" w:lineRule="auto"/>
        <w:ind w:firstLineChars="200" w:firstLine="480"/>
        <w:rPr>
          <w:rFonts w:ascii="宋体" w:cs="宋体"/>
          <w:kern w:val="0"/>
          <w:sz w:val="24"/>
        </w:rPr>
      </w:pPr>
      <w:r>
        <w:rPr>
          <w:rFonts w:ascii="宋体" w:hAnsi="宋体" w:cs="宋体" w:hint="eastAsia"/>
          <w:kern w:val="0"/>
          <w:sz w:val="24"/>
        </w:rPr>
        <w:t>风险提示：基金管理人承诺以诚实信用、勤勉尽责的原则管理和运用基金资产，但不保证基金一定盈利，也不保证最低收益。投资者投资于本基金前应认真阅读本基金的《基金合同》和《招募说明书》等相关法律文件。</w:t>
      </w:r>
    </w:p>
    <w:p w:rsidR="00887ABD" w:rsidRDefault="00B222D4">
      <w:pPr>
        <w:widowControl/>
        <w:spacing w:line="360" w:lineRule="auto"/>
        <w:ind w:firstLineChars="200" w:firstLine="480"/>
        <w:rPr>
          <w:rFonts w:ascii="宋体" w:cs="宋体"/>
          <w:kern w:val="0"/>
          <w:sz w:val="24"/>
        </w:rPr>
      </w:pPr>
      <w:r>
        <w:rPr>
          <w:rFonts w:ascii="宋体" w:cs="宋体" w:hint="eastAsia"/>
          <w:kern w:val="0"/>
          <w:sz w:val="24"/>
        </w:rPr>
        <w:t>特此公告。</w:t>
      </w:r>
    </w:p>
    <w:p w:rsidR="00887ABD" w:rsidRDefault="00887ABD">
      <w:pPr>
        <w:widowControl/>
        <w:spacing w:line="360" w:lineRule="auto"/>
        <w:ind w:firstLineChars="200" w:firstLine="480"/>
        <w:rPr>
          <w:rFonts w:ascii="宋体" w:cs="宋体"/>
          <w:kern w:val="0"/>
          <w:sz w:val="24"/>
        </w:rPr>
      </w:pPr>
    </w:p>
    <w:p w:rsidR="00887ABD" w:rsidRDefault="00887ABD">
      <w:pPr>
        <w:widowControl/>
        <w:spacing w:line="360" w:lineRule="auto"/>
        <w:ind w:firstLineChars="200" w:firstLine="480"/>
        <w:rPr>
          <w:rFonts w:ascii="宋体" w:cs="宋体"/>
          <w:kern w:val="0"/>
          <w:sz w:val="24"/>
        </w:rPr>
      </w:pPr>
    </w:p>
    <w:p w:rsidR="00887ABD" w:rsidRDefault="00B222D4">
      <w:pPr>
        <w:widowControl/>
        <w:spacing w:line="360" w:lineRule="auto"/>
        <w:ind w:firstLine="3960"/>
        <w:jc w:val="right"/>
        <w:rPr>
          <w:rFonts w:ascii="宋体" w:cs="宋体"/>
          <w:b/>
          <w:kern w:val="0"/>
          <w:sz w:val="24"/>
        </w:rPr>
      </w:pPr>
      <w:r>
        <w:rPr>
          <w:rFonts w:ascii="宋体" w:hAnsi="宋体" w:cs="宋体" w:hint="eastAsia"/>
          <w:b/>
          <w:kern w:val="0"/>
          <w:sz w:val="24"/>
        </w:rPr>
        <w:t>长江证券（上海）资产管理有限公司</w:t>
      </w:r>
    </w:p>
    <w:p w:rsidR="00887ABD" w:rsidRDefault="00B222D4">
      <w:pPr>
        <w:jc w:val="right"/>
        <w:rPr>
          <w:rFonts w:ascii="宋体"/>
          <w:b/>
          <w:sz w:val="24"/>
        </w:rPr>
      </w:pPr>
      <w:r>
        <w:rPr>
          <w:rFonts w:ascii="宋体" w:hAnsi="宋体" w:cs="宋体" w:hint="eastAsia"/>
          <w:b/>
          <w:kern w:val="0"/>
          <w:sz w:val="24"/>
        </w:rPr>
        <w:t>202</w:t>
      </w:r>
      <w:r>
        <w:rPr>
          <w:rFonts w:ascii="宋体" w:hAnsi="宋体" w:cs="宋体" w:hint="eastAsia"/>
          <w:b/>
          <w:kern w:val="0"/>
          <w:sz w:val="24"/>
        </w:rPr>
        <w:t>6</w:t>
      </w:r>
      <w:r>
        <w:rPr>
          <w:rFonts w:ascii="宋体" w:hAnsi="宋体" w:cs="宋体"/>
          <w:b/>
          <w:kern w:val="0"/>
          <w:sz w:val="24"/>
        </w:rPr>
        <w:t>年</w:t>
      </w:r>
      <w:r>
        <w:rPr>
          <w:rFonts w:ascii="宋体" w:hAnsi="宋体" w:cs="宋体" w:hint="eastAsia"/>
          <w:b/>
          <w:kern w:val="0"/>
          <w:sz w:val="24"/>
        </w:rPr>
        <w:t>09</w:t>
      </w:r>
      <w:r>
        <w:rPr>
          <w:rFonts w:ascii="宋体" w:hAnsi="宋体" w:cs="宋体"/>
          <w:b/>
          <w:kern w:val="0"/>
          <w:sz w:val="24"/>
        </w:rPr>
        <w:t>月</w:t>
      </w:r>
      <w:r>
        <w:rPr>
          <w:rFonts w:ascii="宋体" w:hAnsi="宋体" w:cs="宋体" w:hint="eastAsia"/>
          <w:b/>
          <w:kern w:val="0"/>
          <w:sz w:val="24"/>
        </w:rPr>
        <w:t>15</w:t>
      </w:r>
      <w:r>
        <w:rPr>
          <w:rFonts w:ascii="宋体" w:hAnsi="宋体" w:cs="宋体" w:hint="eastAsia"/>
          <w:b/>
          <w:kern w:val="0"/>
          <w:sz w:val="24"/>
        </w:rPr>
        <w:t>日</w:t>
      </w:r>
    </w:p>
    <w:p w:rsidR="00887ABD" w:rsidRDefault="00887ABD"/>
    <w:p w:rsidR="00887ABD" w:rsidRDefault="00887ABD"/>
    <w:p w:rsidR="00887ABD" w:rsidRDefault="00887ABD"/>
    <w:p w:rsidR="00887ABD" w:rsidRDefault="00887ABD"/>
    <w:p w:rsidR="00887ABD" w:rsidRDefault="00887ABD"/>
    <w:p w:rsidR="00887ABD" w:rsidRDefault="00887ABD"/>
    <w:p w:rsidR="00887ABD" w:rsidRDefault="00887ABD"/>
    <w:p w:rsidR="00887ABD" w:rsidRDefault="00887ABD"/>
    <w:p w:rsidR="00887ABD" w:rsidRDefault="00887ABD"/>
    <w:sectPr w:rsidR="00887ABD" w:rsidSect="00887ABD">
      <w:headerReference w:type="default" r:id="rId6"/>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7ABD" w:rsidRDefault="00887ABD" w:rsidP="00887ABD">
      <w:r>
        <w:separator/>
      </w:r>
    </w:p>
  </w:endnote>
  <w:endnote w:type="continuationSeparator" w:id="0">
    <w:p w:rsidR="00887ABD" w:rsidRDefault="00887ABD" w:rsidP="00887AB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Verdana">
    <w:panose1 w:val="020B0604030504040204"/>
    <w:charset w:val="00"/>
    <w:family w:val="swiss"/>
    <w:pitch w:val="variable"/>
    <w:sig w:usb0="20000287" w:usb1="00000000" w:usb2="00000000" w:usb3="00000000" w:csb0="0000019F" w:csb1="00000000"/>
  </w:font>
  <w:font w:name="TimesNewRomanPSMT">
    <w:altName w:val="Times New Roman"/>
    <w:charset w:val="00"/>
    <w:family w:val="roman"/>
    <w:pitch w:val="default"/>
    <w:sig w:usb0="00000000" w:usb1="00000000" w:usb2="00000010" w:usb3="00000000" w:csb0="00040001" w:csb1="00000000"/>
  </w:font>
  <w:font w:name="Calibri Light">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7ABD" w:rsidRDefault="00887ABD" w:rsidP="00887ABD">
      <w:r>
        <w:separator/>
      </w:r>
    </w:p>
  </w:footnote>
  <w:footnote w:type="continuationSeparator" w:id="0">
    <w:p w:rsidR="00887ABD" w:rsidRDefault="00887ABD" w:rsidP="00887A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ABD" w:rsidRDefault="00B222D4">
    <w:pPr>
      <w:pStyle w:val="a5"/>
      <w:jc w:val="right"/>
      <w:rPr>
        <w:sz w:val="21"/>
        <w:szCs w:val="21"/>
      </w:rPr>
    </w:pPr>
    <w:r>
      <w:rPr>
        <w:rFonts w:hint="eastAsia"/>
      </w:rPr>
      <w:t>关于长江乐鑫纯债定期开放债券型发起式证券投资基金</w:t>
    </w:r>
    <w:r>
      <w:rPr>
        <w:rFonts w:hint="eastAsia"/>
      </w:rPr>
      <w:t>第</w:t>
    </w:r>
    <w:r>
      <w:rPr>
        <w:rFonts w:hint="eastAsia"/>
      </w:rPr>
      <w:t>二十九</w:t>
    </w:r>
    <w:r>
      <w:rPr>
        <w:rFonts w:hint="eastAsia"/>
      </w:rPr>
      <w:t>个</w:t>
    </w:r>
    <w:r>
      <w:rPr>
        <w:rFonts w:hint="eastAsia"/>
      </w:rPr>
      <w:t>开放期开放申购与赎回业务的公告</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68D67146"/>
    <w:rsid w:val="00887ABD"/>
    <w:rsid w:val="00B222D4"/>
    <w:rsid w:val="68D6714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semiHidden="1" w:uiPriority="99" w:qFormat="1"/>
    <w:lsdException w:name="caption" w:semiHidden="1" w:unhideWhenUsed="1" w:qFormat="1"/>
    <w:lsdException w:name="Title" w:qFormat="1"/>
    <w:lsdException w:name="Default Paragraph Font" w:semiHidden="1"/>
    <w:lsdException w:name="Body Text"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87ABD"/>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rsid w:val="00887ABD"/>
    <w:pPr>
      <w:spacing w:line="360" w:lineRule="auto"/>
    </w:pPr>
    <w:rPr>
      <w:kern w:val="0"/>
      <w:sz w:val="24"/>
      <w:lang w:val="zh-CN"/>
    </w:rPr>
  </w:style>
  <w:style w:type="paragraph" w:styleId="a4">
    <w:name w:val="footer"/>
    <w:basedOn w:val="a"/>
    <w:rsid w:val="00887ABD"/>
    <w:pPr>
      <w:tabs>
        <w:tab w:val="center" w:pos="4153"/>
        <w:tab w:val="right" w:pos="8306"/>
      </w:tabs>
      <w:snapToGrid w:val="0"/>
      <w:jc w:val="left"/>
    </w:pPr>
    <w:rPr>
      <w:sz w:val="18"/>
    </w:rPr>
  </w:style>
  <w:style w:type="paragraph" w:styleId="a5">
    <w:name w:val="header"/>
    <w:basedOn w:val="a"/>
    <w:uiPriority w:val="99"/>
    <w:semiHidden/>
    <w:qFormat/>
    <w:rsid w:val="00887ABD"/>
    <w:pPr>
      <w:pBdr>
        <w:bottom w:val="single" w:sz="6" w:space="1" w:color="auto"/>
      </w:pBdr>
      <w:tabs>
        <w:tab w:val="center" w:pos="4153"/>
        <w:tab w:val="right" w:pos="8306"/>
      </w:tabs>
      <w:snapToGrid w:val="0"/>
      <w:jc w:val="center"/>
    </w:pPr>
    <w:rPr>
      <w:rFonts w:ascii="Calibri" w:hAnsi="Calibri"/>
      <w:kern w:val="0"/>
      <w:sz w:val="18"/>
      <w:szCs w:val="18"/>
    </w:rPr>
  </w:style>
  <w:style w:type="character" w:styleId="a6">
    <w:name w:val="Hyperlink"/>
    <w:uiPriority w:val="99"/>
    <w:unhideWhenUsed/>
    <w:qFormat/>
    <w:rsid w:val="00887ABD"/>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696</Words>
  <Characters>3969</Characters>
  <Application>Microsoft Office Word</Application>
  <DocSecurity>4</DocSecurity>
  <Lines>33</Lines>
  <Paragraphs>9</Paragraphs>
  <ScaleCrop>false</ScaleCrop>
  <Company>CNSTOCK</Company>
  <LinksUpToDate>false</LinksUpToDate>
  <CharactersWithSpaces>4656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songmw</dc:creator>
  <cp:lastModifiedBy>ZHONGM</cp:lastModifiedBy>
  <cp:revision>2</cp:revision>
  <dcterms:created xsi:type="dcterms:W3CDTF">2026-09-14T16:01:00Z</dcterms:created>
  <dcterms:modified xsi:type="dcterms:W3CDTF">2026-09-14T16:01:00Z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6BBBEECD853A4EDD9ED18242306E49E5_11</vt:lpwstr>
  </property>
</Properties>
</file>