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2B58" w:rsidRDefault="00AC7938">
      <w:pPr>
        <w:jc w:val="center"/>
        <w:rPr>
          <w:rFonts w:asciiTheme="majorEastAsia" w:eastAsiaTheme="majorEastAsia" w:hAnsiTheme="majorEastAsia"/>
          <w:b/>
          <w:sz w:val="32"/>
          <w:szCs w:val="32"/>
        </w:rPr>
      </w:pPr>
      <w:bookmarkStart w:id="0" w:name="_GoBack"/>
      <w:bookmarkEnd w:id="0"/>
      <w:r>
        <w:rPr>
          <w:rFonts w:asciiTheme="majorEastAsia" w:eastAsiaTheme="majorEastAsia" w:hAnsiTheme="majorEastAsia" w:hint="eastAsia"/>
          <w:b/>
          <w:sz w:val="32"/>
          <w:szCs w:val="32"/>
        </w:rPr>
        <w:t>上海国泰海通证券资产管理有限公司关于旗下公募基金投资管理人关联方承销期内承销证券的公告</w:t>
      </w:r>
    </w:p>
    <w:p w:rsidR="00AA2B58" w:rsidRDefault="00AA2B58">
      <w:pPr>
        <w:jc w:val="center"/>
        <w:rPr>
          <w:rFonts w:asciiTheme="majorEastAsia" w:eastAsiaTheme="majorEastAsia" w:hAnsiTheme="majorEastAsia"/>
          <w:b/>
          <w:sz w:val="32"/>
          <w:szCs w:val="32"/>
        </w:rPr>
      </w:pPr>
    </w:p>
    <w:p w:rsidR="00AA2B58" w:rsidRDefault="00AC7938">
      <w:pPr>
        <w:ind w:firstLineChars="200" w:firstLine="480"/>
        <w:rPr>
          <w:sz w:val="24"/>
          <w:szCs w:val="24"/>
        </w:rPr>
      </w:pPr>
      <w:r>
        <w:rPr>
          <w:rFonts w:hint="eastAsia"/>
          <w:sz w:val="24"/>
          <w:szCs w:val="24"/>
        </w:rPr>
        <w:t>日前，沈鼓集团股份有限公司（以下简称“沈鼓集团”，证券代码：</w:t>
      </w:r>
      <w:r>
        <w:rPr>
          <w:rFonts w:hint="eastAsia"/>
          <w:sz w:val="24"/>
          <w:szCs w:val="24"/>
        </w:rPr>
        <w:t>601091.SH</w:t>
      </w:r>
      <w:r>
        <w:rPr>
          <w:rFonts w:hint="eastAsia"/>
          <w:sz w:val="24"/>
          <w:szCs w:val="24"/>
        </w:rPr>
        <w:t>）在交易所首次公开发行股票，该只新股的承销商</w:t>
      </w:r>
      <w:r>
        <w:rPr>
          <w:rFonts w:ascii="宋体" w:eastAsia="宋体" w:hAnsi="宋体" w:cs="宋体"/>
          <w:sz w:val="24"/>
          <w:szCs w:val="24"/>
        </w:rPr>
        <w:t>国泰</w:t>
      </w:r>
      <w:r>
        <w:rPr>
          <w:rFonts w:ascii="宋体" w:eastAsia="宋体" w:hAnsi="宋体" w:cs="宋体" w:hint="eastAsia"/>
          <w:sz w:val="24"/>
          <w:szCs w:val="24"/>
        </w:rPr>
        <w:t>海通</w:t>
      </w:r>
      <w:r>
        <w:rPr>
          <w:rFonts w:ascii="宋体" w:eastAsia="宋体" w:hAnsi="宋体" w:cs="宋体"/>
          <w:sz w:val="24"/>
          <w:szCs w:val="24"/>
        </w:rPr>
        <w:t>证券股份有限公司</w:t>
      </w:r>
      <w:r>
        <w:rPr>
          <w:rFonts w:hint="eastAsia"/>
          <w:sz w:val="24"/>
          <w:szCs w:val="24"/>
        </w:rPr>
        <w:t>为管理人上海国泰海通证券资产管理有限公司的母公司，参与本次新股发行的承销工作。</w:t>
      </w:r>
    </w:p>
    <w:p w:rsidR="00AA2B58" w:rsidRDefault="00AA2B58">
      <w:pPr>
        <w:rPr>
          <w:sz w:val="24"/>
          <w:szCs w:val="24"/>
        </w:rPr>
      </w:pPr>
    </w:p>
    <w:p w:rsidR="00AA2B58" w:rsidRDefault="00AC7938">
      <w:pPr>
        <w:ind w:firstLineChars="200" w:firstLine="480"/>
        <w:rPr>
          <w:sz w:val="24"/>
          <w:szCs w:val="24"/>
        </w:rPr>
      </w:pPr>
      <w:r>
        <w:rPr>
          <w:rFonts w:hint="eastAsia"/>
          <w:sz w:val="24"/>
          <w:szCs w:val="24"/>
        </w:rPr>
        <w:t>鉴于发行过程公开透明，且该交易不存在利益输送的情况，经本公司审慎研究，按法规要求履行相关审批程序后，本公司有十二只公募基金参与了上述新股申购并获配，现将获配情况公告如下：</w:t>
      </w:r>
    </w:p>
    <w:p w:rsidR="00AA2B58" w:rsidRDefault="00AA2B58">
      <w:pPr>
        <w:ind w:firstLineChars="200" w:firstLine="480"/>
        <w:rPr>
          <w:sz w:val="24"/>
          <w:szCs w:val="24"/>
        </w:rPr>
      </w:pPr>
    </w:p>
    <w:p w:rsidR="00AA2B58" w:rsidRDefault="00AA2B58">
      <w:pPr>
        <w:ind w:firstLineChars="200" w:firstLine="480"/>
        <w:rPr>
          <w:sz w:val="24"/>
          <w:szCs w:val="24"/>
        </w:rPr>
      </w:pPr>
    </w:p>
    <w:tbl>
      <w:tblPr>
        <w:tblStyle w:val="a7"/>
        <w:tblW w:w="0" w:type="auto"/>
        <w:tblInd w:w="-99" w:type="dxa"/>
        <w:tblLook w:val="04A0" w:firstRow="1" w:lastRow="0" w:firstColumn="1" w:lastColumn="0" w:noHBand="0" w:noVBand="1"/>
      </w:tblPr>
      <w:tblGrid>
        <w:gridCol w:w="5582"/>
        <w:gridCol w:w="1328"/>
        <w:gridCol w:w="1485"/>
      </w:tblGrid>
      <w:tr w:rsidR="00AA2B58">
        <w:tc>
          <w:tcPr>
            <w:tcW w:w="5582" w:type="dxa"/>
          </w:tcPr>
          <w:p w:rsidR="00AA2B58" w:rsidRDefault="00AC7938">
            <w:pPr>
              <w:jc w:val="center"/>
              <w:rPr>
                <w:szCs w:val="21"/>
              </w:rPr>
            </w:pPr>
            <w:r>
              <w:rPr>
                <w:rFonts w:hint="eastAsia"/>
                <w:szCs w:val="21"/>
              </w:rPr>
              <w:t>基金名称</w:t>
            </w:r>
          </w:p>
        </w:tc>
        <w:tc>
          <w:tcPr>
            <w:tcW w:w="1328" w:type="dxa"/>
          </w:tcPr>
          <w:p w:rsidR="00AA2B58" w:rsidRDefault="00AC7938">
            <w:pPr>
              <w:jc w:val="center"/>
              <w:rPr>
                <w:szCs w:val="21"/>
              </w:rPr>
            </w:pPr>
            <w:r>
              <w:rPr>
                <w:rFonts w:hint="eastAsia"/>
                <w:szCs w:val="21"/>
              </w:rPr>
              <w:t>获配数量（股）</w:t>
            </w:r>
          </w:p>
        </w:tc>
        <w:tc>
          <w:tcPr>
            <w:tcW w:w="1485" w:type="dxa"/>
          </w:tcPr>
          <w:p w:rsidR="00AA2B58" w:rsidRDefault="00AC7938">
            <w:pPr>
              <w:jc w:val="center"/>
              <w:rPr>
                <w:szCs w:val="21"/>
              </w:rPr>
            </w:pPr>
            <w:r>
              <w:rPr>
                <w:rFonts w:hint="eastAsia"/>
                <w:szCs w:val="21"/>
              </w:rPr>
              <w:t>获配价格（元）</w:t>
            </w:r>
          </w:p>
        </w:tc>
      </w:tr>
      <w:tr w:rsidR="00AA2B58">
        <w:trPr>
          <w:trHeight w:val="277"/>
        </w:trPr>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国泰海通中证500指数增强型证券投资基金</w:t>
            </w:r>
          </w:p>
        </w:tc>
        <w:tc>
          <w:tcPr>
            <w:tcW w:w="1328" w:type="dxa"/>
            <w:vAlign w:val="center"/>
          </w:tcPr>
          <w:p w:rsidR="00AA2B58" w:rsidRDefault="00AC7938">
            <w:pPr>
              <w:jc w:val="center"/>
              <w:rPr>
                <w:szCs w:val="21"/>
              </w:rPr>
            </w:pPr>
            <w:r>
              <w:rPr>
                <w:rFonts w:hint="eastAsia"/>
                <w:szCs w:val="21"/>
              </w:rPr>
              <w:t>5866</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国泰海通中证1000指数增强型证券投资基金</w:t>
            </w:r>
          </w:p>
        </w:tc>
        <w:tc>
          <w:tcPr>
            <w:tcW w:w="1328" w:type="dxa"/>
            <w:vAlign w:val="center"/>
          </w:tcPr>
          <w:p w:rsidR="00AA2B58" w:rsidRDefault="00AC7938">
            <w:pPr>
              <w:jc w:val="center"/>
              <w:rPr>
                <w:szCs w:val="21"/>
              </w:rPr>
            </w:pPr>
            <w:r>
              <w:rPr>
                <w:rFonts w:hint="eastAsia"/>
                <w:szCs w:val="21"/>
              </w:rPr>
              <w:t>5866</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国泰海通量化选股混合型发起式证券投资基金</w:t>
            </w:r>
          </w:p>
        </w:tc>
        <w:tc>
          <w:tcPr>
            <w:tcW w:w="1328" w:type="dxa"/>
            <w:vAlign w:val="center"/>
          </w:tcPr>
          <w:p w:rsidR="00AA2B58" w:rsidRDefault="00AC7938">
            <w:pPr>
              <w:jc w:val="center"/>
              <w:rPr>
                <w:szCs w:val="21"/>
              </w:rPr>
            </w:pPr>
            <w:r>
              <w:rPr>
                <w:rFonts w:hint="eastAsia"/>
                <w:szCs w:val="21"/>
              </w:rPr>
              <w:t>5866</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国泰海通远见价值混合型发起式证券投资基金</w:t>
            </w:r>
          </w:p>
        </w:tc>
        <w:tc>
          <w:tcPr>
            <w:tcW w:w="1328" w:type="dxa"/>
            <w:vAlign w:val="center"/>
          </w:tcPr>
          <w:p w:rsidR="00AA2B58" w:rsidRDefault="00AC7938">
            <w:pPr>
              <w:jc w:val="center"/>
              <w:rPr>
                <w:szCs w:val="21"/>
              </w:rPr>
            </w:pPr>
            <w:r>
              <w:rPr>
                <w:rFonts w:hint="eastAsia"/>
                <w:szCs w:val="21"/>
              </w:rPr>
              <w:t>4170</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国泰海通沪深300指数增强型发起式证券投资基金</w:t>
            </w:r>
          </w:p>
        </w:tc>
        <w:tc>
          <w:tcPr>
            <w:tcW w:w="1328" w:type="dxa"/>
            <w:vAlign w:val="center"/>
          </w:tcPr>
          <w:p w:rsidR="00AA2B58" w:rsidRDefault="00AC7938">
            <w:pPr>
              <w:jc w:val="center"/>
              <w:rPr>
                <w:szCs w:val="21"/>
              </w:rPr>
            </w:pPr>
            <w:r>
              <w:rPr>
                <w:rFonts w:hint="eastAsia"/>
                <w:szCs w:val="21"/>
              </w:rPr>
              <w:t>5866</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国泰海通中证1000优选股票型发起式证券投资基金</w:t>
            </w:r>
          </w:p>
        </w:tc>
        <w:tc>
          <w:tcPr>
            <w:tcW w:w="1328" w:type="dxa"/>
            <w:vAlign w:val="center"/>
          </w:tcPr>
          <w:p w:rsidR="00AA2B58" w:rsidRDefault="00AC7938">
            <w:pPr>
              <w:jc w:val="center"/>
              <w:rPr>
                <w:szCs w:val="21"/>
              </w:rPr>
            </w:pPr>
            <w:r>
              <w:rPr>
                <w:rFonts w:hint="eastAsia"/>
                <w:szCs w:val="21"/>
              </w:rPr>
              <w:t>5866</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国泰海通科创板量化选股股票型发起式证券投资基金</w:t>
            </w:r>
          </w:p>
        </w:tc>
        <w:tc>
          <w:tcPr>
            <w:tcW w:w="1328" w:type="dxa"/>
            <w:vAlign w:val="center"/>
          </w:tcPr>
          <w:p w:rsidR="00AA2B58" w:rsidRDefault="00AC7938">
            <w:pPr>
              <w:jc w:val="center"/>
              <w:rPr>
                <w:szCs w:val="21"/>
              </w:rPr>
            </w:pPr>
            <w:r>
              <w:rPr>
                <w:rFonts w:hint="eastAsia"/>
                <w:szCs w:val="21"/>
              </w:rPr>
              <w:t>4240</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国泰海通红利量化选股混合型证券投资基金</w:t>
            </w:r>
          </w:p>
        </w:tc>
        <w:tc>
          <w:tcPr>
            <w:tcW w:w="1328" w:type="dxa"/>
            <w:vAlign w:val="center"/>
          </w:tcPr>
          <w:p w:rsidR="00AA2B58" w:rsidRDefault="00AC7938">
            <w:pPr>
              <w:jc w:val="center"/>
              <w:rPr>
                <w:szCs w:val="21"/>
              </w:rPr>
            </w:pPr>
            <w:r>
              <w:rPr>
                <w:rFonts w:hint="eastAsia"/>
                <w:szCs w:val="21"/>
              </w:rPr>
              <w:t>2335</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国泰海通中证A500指数增强型证券投资基金</w:t>
            </w:r>
          </w:p>
        </w:tc>
        <w:tc>
          <w:tcPr>
            <w:tcW w:w="1328" w:type="dxa"/>
            <w:vAlign w:val="center"/>
          </w:tcPr>
          <w:p w:rsidR="00AA2B58" w:rsidRDefault="00AC7938">
            <w:pPr>
              <w:jc w:val="center"/>
              <w:rPr>
                <w:szCs w:val="21"/>
              </w:rPr>
            </w:pPr>
            <w:r>
              <w:rPr>
                <w:rFonts w:hint="eastAsia"/>
                <w:szCs w:val="21"/>
              </w:rPr>
              <w:t>5866</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szCs w:val="21"/>
              </w:rPr>
            </w:pPr>
            <w:r>
              <w:rPr>
                <w:rFonts w:ascii="宋体" w:eastAsia="宋体" w:hAnsi="宋体" w:cs="宋体" w:hint="eastAsia"/>
                <w:color w:val="000000"/>
                <w:kern w:val="0"/>
                <w:sz w:val="22"/>
              </w:rPr>
              <w:t>国泰海通上证科创板综合价格指数增强型证券投资基金</w:t>
            </w:r>
          </w:p>
        </w:tc>
        <w:tc>
          <w:tcPr>
            <w:tcW w:w="1328" w:type="dxa"/>
            <w:vAlign w:val="center"/>
          </w:tcPr>
          <w:p w:rsidR="00AA2B58" w:rsidRDefault="00AC7938">
            <w:pPr>
              <w:jc w:val="center"/>
              <w:rPr>
                <w:szCs w:val="21"/>
              </w:rPr>
            </w:pPr>
            <w:r>
              <w:rPr>
                <w:rFonts w:hint="eastAsia"/>
                <w:szCs w:val="21"/>
              </w:rPr>
              <w:t>3168</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rFonts w:ascii="宋体" w:eastAsia="宋体" w:hAnsi="宋体" w:cs="宋体"/>
                <w:color w:val="000000"/>
                <w:kern w:val="0"/>
                <w:sz w:val="22"/>
              </w:rPr>
            </w:pPr>
            <w:r>
              <w:rPr>
                <w:rFonts w:ascii="宋体" w:eastAsia="宋体" w:hAnsi="宋体" w:cs="宋体" w:hint="eastAsia"/>
                <w:color w:val="000000"/>
                <w:kern w:val="0"/>
                <w:sz w:val="22"/>
              </w:rPr>
              <w:t>国泰海通中证全指指数增强型证券投资基金</w:t>
            </w:r>
          </w:p>
        </w:tc>
        <w:tc>
          <w:tcPr>
            <w:tcW w:w="1328" w:type="dxa"/>
            <w:vAlign w:val="center"/>
          </w:tcPr>
          <w:p w:rsidR="00AA2B58" w:rsidRDefault="00AC7938">
            <w:pPr>
              <w:jc w:val="center"/>
              <w:rPr>
                <w:szCs w:val="21"/>
              </w:rPr>
            </w:pPr>
            <w:r>
              <w:rPr>
                <w:rFonts w:hint="eastAsia"/>
                <w:szCs w:val="21"/>
              </w:rPr>
              <w:t>4702</w:t>
            </w:r>
          </w:p>
        </w:tc>
        <w:tc>
          <w:tcPr>
            <w:tcW w:w="1485" w:type="dxa"/>
          </w:tcPr>
          <w:p w:rsidR="00AA2B58" w:rsidRDefault="00AC7938">
            <w:pPr>
              <w:jc w:val="center"/>
              <w:rPr>
                <w:szCs w:val="21"/>
              </w:rPr>
            </w:pPr>
            <w:r>
              <w:rPr>
                <w:rFonts w:hint="eastAsia"/>
                <w:szCs w:val="21"/>
              </w:rPr>
              <w:t>4.39</w:t>
            </w:r>
          </w:p>
        </w:tc>
      </w:tr>
      <w:tr w:rsidR="00AA2B58">
        <w:tc>
          <w:tcPr>
            <w:tcW w:w="5582" w:type="dxa"/>
            <w:vAlign w:val="center"/>
          </w:tcPr>
          <w:p w:rsidR="00AA2B58" w:rsidRDefault="00AC7938">
            <w:pPr>
              <w:widowControl/>
              <w:jc w:val="left"/>
              <w:textAlignment w:val="center"/>
              <w:rPr>
                <w:rFonts w:ascii="宋体" w:eastAsia="宋体" w:hAnsi="宋体" w:cs="宋体"/>
                <w:color w:val="000000"/>
                <w:kern w:val="0"/>
                <w:sz w:val="22"/>
              </w:rPr>
            </w:pPr>
            <w:r>
              <w:rPr>
                <w:rFonts w:ascii="宋体" w:eastAsia="宋体" w:hAnsi="宋体" w:cs="宋体" w:hint="eastAsia"/>
                <w:color w:val="000000"/>
                <w:kern w:val="0"/>
                <w:sz w:val="22"/>
              </w:rPr>
              <w:t>国泰海通君得鑫两年持有期混合型证券投资基金</w:t>
            </w:r>
          </w:p>
        </w:tc>
        <w:tc>
          <w:tcPr>
            <w:tcW w:w="1328" w:type="dxa"/>
            <w:vAlign w:val="center"/>
          </w:tcPr>
          <w:p w:rsidR="00AA2B58" w:rsidRDefault="00AC7938">
            <w:pPr>
              <w:jc w:val="center"/>
              <w:rPr>
                <w:szCs w:val="21"/>
              </w:rPr>
            </w:pPr>
            <w:r>
              <w:rPr>
                <w:rFonts w:hint="eastAsia"/>
                <w:szCs w:val="21"/>
              </w:rPr>
              <w:t>5866</w:t>
            </w:r>
          </w:p>
        </w:tc>
        <w:tc>
          <w:tcPr>
            <w:tcW w:w="1485" w:type="dxa"/>
          </w:tcPr>
          <w:p w:rsidR="00AA2B58" w:rsidRDefault="00AC7938">
            <w:pPr>
              <w:jc w:val="center"/>
              <w:rPr>
                <w:szCs w:val="21"/>
              </w:rPr>
            </w:pPr>
            <w:r>
              <w:rPr>
                <w:rFonts w:hint="eastAsia"/>
                <w:szCs w:val="21"/>
              </w:rPr>
              <w:t>4.39</w:t>
            </w:r>
          </w:p>
        </w:tc>
      </w:tr>
    </w:tbl>
    <w:p w:rsidR="00AA2B58" w:rsidRDefault="00AA2B58"/>
    <w:p w:rsidR="00AA2B58" w:rsidRDefault="00AC7938">
      <w:pPr>
        <w:ind w:firstLineChars="200" w:firstLine="480"/>
        <w:rPr>
          <w:sz w:val="24"/>
          <w:szCs w:val="24"/>
        </w:rPr>
      </w:pPr>
      <w:r>
        <w:rPr>
          <w:rFonts w:hint="eastAsia"/>
          <w:sz w:val="24"/>
          <w:szCs w:val="24"/>
        </w:rPr>
        <w:t>特此公告。</w:t>
      </w:r>
    </w:p>
    <w:p w:rsidR="00AA2B58" w:rsidRDefault="00AA2B58">
      <w:pPr>
        <w:rPr>
          <w:sz w:val="24"/>
          <w:szCs w:val="24"/>
        </w:rPr>
      </w:pPr>
    </w:p>
    <w:p w:rsidR="00AA2B58" w:rsidRDefault="00AC7938">
      <w:pPr>
        <w:jc w:val="right"/>
        <w:rPr>
          <w:sz w:val="24"/>
          <w:szCs w:val="24"/>
        </w:rPr>
      </w:pPr>
      <w:r>
        <w:rPr>
          <w:rFonts w:hint="eastAsia"/>
          <w:sz w:val="24"/>
          <w:szCs w:val="24"/>
        </w:rPr>
        <w:t>上海国泰海通证券资产管理有限公司</w:t>
      </w:r>
    </w:p>
    <w:p w:rsidR="00AA2B58" w:rsidRDefault="00AC7938">
      <w:pPr>
        <w:jc w:val="right"/>
        <w:rPr>
          <w:sz w:val="24"/>
          <w:szCs w:val="24"/>
        </w:rPr>
      </w:pPr>
      <w:r>
        <w:rPr>
          <w:rFonts w:hint="eastAsia"/>
          <w:sz w:val="24"/>
          <w:szCs w:val="24"/>
        </w:rPr>
        <w:t>2026</w:t>
      </w:r>
      <w:r>
        <w:rPr>
          <w:rFonts w:hint="eastAsia"/>
          <w:sz w:val="24"/>
          <w:szCs w:val="24"/>
        </w:rPr>
        <w:t>年</w:t>
      </w:r>
      <w:r>
        <w:rPr>
          <w:rFonts w:hint="eastAsia"/>
          <w:sz w:val="24"/>
          <w:szCs w:val="24"/>
        </w:rPr>
        <w:t>9</w:t>
      </w:r>
      <w:r>
        <w:rPr>
          <w:rFonts w:hint="eastAsia"/>
          <w:sz w:val="24"/>
          <w:szCs w:val="24"/>
        </w:rPr>
        <w:t>月</w:t>
      </w:r>
      <w:r>
        <w:rPr>
          <w:rFonts w:hint="eastAsia"/>
          <w:sz w:val="24"/>
          <w:szCs w:val="24"/>
        </w:rPr>
        <w:t>14</w:t>
      </w:r>
      <w:r>
        <w:rPr>
          <w:rFonts w:hint="eastAsia"/>
          <w:sz w:val="24"/>
          <w:szCs w:val="24"/>
        </w:rPr>
        <w:t>日</w:t>
      </w:r>
    </w:p>
    <w:sectPr w:rsidR="00AA2B58" w:rsidSect="00AA2B58">
      <w:headerReference w:type="even" r:id="rId6"/>
      <w:headerReference w:type="default" r:id="rId7"/>
      <w:headerReference w:type="firs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B58" w:rsidRDefault="00AA2B58" w:rsidP="00AA2B58">
      <w:r>
        <w:separator/>
      </w:r>
    </w:p>
  </w:endnote>
  <w:endnote w:type="continuationSeparator" w:id="0">
    <w:p w:rsidR="00AA2B58" w:rsidRDefault="00AA2B58" w:rsidP="00AA2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B58" w:rsidRDefault="00AA2B58" w:rsidP="00AA2B58">
      <w:r>
        <w:separator/>
      </w:r>
    </w:p>
  </w:footnote>
  <w:footnote w:type="continuationSeparator" w:id="0">
    <w:p w:rsidR="00AA2B58" w:rsidRDefault="00AA2B58" w:rsidP="00AA2B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B58" w:rsidRDefault="000B25F1">
    <w:r>
      <w:rPr>
        <w:noProof/>
      </w:rPr>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7572375" cy="10677525"/>
          <wp:effectExtent l="0" t="0" r="0" b="0"/>
          <wp:wrapNone/>
          <wp:docPr id="1027" name="图片 1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06775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B58" w:rsidRDefault="000B25F1">
    <w:r>
      <w:rPr>
        <w:noProof/>
      </w:rPr>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7572375" cy="10677525"/>
          <wp:effectExtent l="0" t="0" r="0" b="0"/>
          <wp:wrapNone/>
          <wp:docPr id="1025" name="图片 10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06775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2B58" w:rsidRDefault="000B25F1">
    <w:r>
      <w:rPr>
        <w:noProof/>
      </w:rPr>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572375" cy="10677525"/>
          <wp:effectExtent l="0" t="0" r="0" b="0"/>
          <wp:wrapNone/>
          <wp:docPr id="1026" name="图片 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067752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B58"/>
    <w:rsid w:val="000B25F1"/>
    <w:rsid w:val="00AA2B58"/>
    <w:rsid w:val="00AC79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5:docId w15:val="{96A94EFB-AF7E-4ECD-8EDF-46438A105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B58"/>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AA2B58"/>
    <w:pPr>
      <w:tabs>
        <w:tab w:val="center" w:pos="4153"/>
        <w:tab w:val="right" w:pos="8306"/>
      </w:tabs>
    </w:pPr>
  </w:style>
  <w:style w:type="paragraph" w:styleId="a5">
    <w:name w:val="header"/>
    <w:basedOn w:val="a"/>
    <w:link w:val="a6"/>
    <w:uiPriority w:val="99"/>
    <w:unhideWhenUsed/>
    <w:qFormat/>
    <w:rsid w:val="00AA2B58"/>
    <w:pPr>
      <w:tabs>
        <w:tab w:val="center" w:pos="4153"/>
        <w:tab w:val="right" w:pos="8306"/>
      </w:tabs>
    </w:pPr>
  </w:style>
  <w:style w:type="table" w:styleId="a7">
    <w:name w:val="Table Grid"/>
    <w:basedOn w:val="a1"/>
    <w:uiPriority w:val="39"/>
    <w:qFormat/>
    <w:rsid w:val="00AA2B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sid w:val="00AA2B58"/>
    <w:rPr>
      <w:rFonts w:asciiTheme="minorHAnsi" w:eastAsiaTheme="minorEastAsia" w:hAnsiTheme="minorHAnsi" w:cstheme="minorBidi"/>
      <w:kern w:val="2"/>
      <w:sz w:val="21"/>
      <w:szCs w:val="22"/>
    </w:rPr>
  </w:style>
  <w:style w:type="character" w:customStyle="1" w:styleId="a4">
    <w:name w:val="页脚 字符"/>
    <w:basedOn w:val="a0"/>
    <w:link w:val="a3"/>
    <w:uiPriority w:val="99"/>
    <w:qFormat/>
    <w:rsid w:val="00AA2B58"/>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599</Characters>
  <Application>Microsoft Office Word</Application>
  <DocSecurity>0</DocSecurity>
  <Lines>4</Lines>
  <Paragraphs>1</Paragraphs>
  <ScaleCrop>false</ScaleCrop>
  <Company>HP Inc.</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litongna</dc:creator>
  <cp:lastModifiedBy>田甜</cp:lastModifiedBy>
  <cp:revision>2</cp:revision>
  <dcterms:created xsi:type="dcterms:W3CDTF">2026-09-14T22:35:00Z</dcterms:created>
  <dcterms:modified xsi:type="dcterms:W3CDTF">2026-09-14T22:35:00Z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5A5F53CD46274B7481BA83D4CDE2E3E1_13</vt:lpwstr>
  </property>
  <property fmtid="{D5CDD505-2E9C-101B-9397-08002B2CF9AE}" pid="3" name="KSOProductBuildVer">
    <vt:lpwstr>2052-12.1.0.28505</vt:lpwstr>
  </property>
  <property fmtid="{D5CDD505-2E9C-101B-9397-08002B2CF9AE}" pid="4" name="KSOTemplateDocerSaveRecord">
    <vt:lpwstr>eyJoZGlkIjoiOGQ2NmNjMmJjYmU0YWE5ZTk5ZmU2Mzk5ZDgyZDEwYWUiLCJ1c2VySWQiOiIxMjM0OTk0MzA0In0=</vt:lpwstr>
  </property>
  <property fmtid="{D5CDD505-2E9C-101B-9397-08002B2CF9AE}" pid="5" name="WondersoftTag">
    <vt:lpwstr>9F29A896-D57B-4D2E-A457-5E4C2CD5003F#0#024861#20260914175932-87EDBFD5-0958-4F77-942A-9A334033C0E2</vt:lpwstr>
  </property>
  <property fmtid="{D5CDD505-2E9C-101B-9397-08002B2CF9AE}" pid="6" name="WondersoftWaterMarkTag">
    <vt:lpwstr>Mon Sep 14 17:59:33 CST 2026</vt:lpwstr>
  </property>
</Properties>
</file>