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4173" w:rsidRPr="00CB4173" w:rsidRDefault="00CB4173" w:rsidP="00CB4173">
      <w:pPr>
        <w:widowControl/>
        <w:spacing w:line="600" w:lineRule="atLeast"/>
        <w:jc w:val="left"/>
        <w:outlineLvl w:val="1"/>
        <w:rPr>
          <w:rFonts w:ascii="微软雅黑" w:eastAsia="微软雅黑" w:hAnsi="微软雅黑" w:cs="宋体"/>
          <w:b/>
          <w:bCs/>
          <w:color w:val="333333"/>
          <w:kern w:val="0"/>
          <w:sz w:val="33"/>
          <w:szCs w:val="33"/>
        </w:rPr>
      </w:pPr>
      <w:r w:rsidRPr="00CB4173">
        <w:rPr>
          <w:rFonts w:ascii="微软雅黑" w:eastAsia="微软雅黑" w:hAnsi="微软雅黑" w:cs="宋体" w:hint="eastAsia"/>
          <w:b/>
          <w:bCs/>
          <w:color w:val="333333"/>
          <w:kern w:val="0"/>
          <w:sz w:val="33"/>
          <w:szCs w:val="33"/>
        </w:rPr>
        <w:t>广发基金管理有限公司关于旗下公募基金风险等级更新的通知</w:t>
      </w:r>
    </w:p>
    <w:p w:rsidR="00CB4173" w:rsidRPr="00CB4173" w:rsidRDefault="00CB4173" w:rsidP="00CB4173">
      <w:pPr>
        <w:widowControl/>
        <w:jc w:val="left"/>
        <w:outlineLvl w:val="2"/>
        <w:rPr>
          <w:rFonts w:ascii="Arial" w:eastAsia="宋体" w:hAnsi="Arial" w:cs="Arial" w:hint="eastAsia"/>
          <w:b/>
          <w:bCs/>
          <w:color w:val="333333"/>
          <w:kern w:val="0"/>
          <w:sz w:val="18"/>
          <w:szCs w:val="18"/>
        </w:rPr>
      </w:pPr>
      <w:r w:rsidRPr="00CB4173">
        <w:rPr>
          <w:rFonts w:ascii="微软雅黑" w:eastAsia="微软雅黑" w:hAnsi="微软雅黑" w:cs="Arial" w:hint="eastAsia"/>
          <w:b/>
          <w:bCs/>
          <w:color w:val="888888"/>
          <w:kern w:val="0"/>
          <w:sz w:val="20"/>
          <w:szCs w:val="20"/>
        </w:rPr>
        <w:t>2026-08-28来源：</w:t>
      </w:r>
      <w:hyperlink r:id="rId4" w:history="1">
        <w:r w:rsidRPr="00CB4173">
          <w:rPr>
            <w:rFonts w:ascii="微软雅黑" w:eastAsia="微软雅黑" w:hAnsi="微软雅黑" w:cs="Arial" w:hint="eastAsia"/>
            <w:b/>
            <w:bCs/>
            <w:color w:val="888888"/>
            <w:kern w:val="0"/>
            <w:sz w:val="20"/>
            <w:szCs w:val="20"/>
            <w:u w:val="single"/>
          </w:rPr>
          <w:t>广发基金</w:t>
        </w:r>
      </w:hyperlink>
    </w:p>
    <w:p w:rsidR="00CB4173" w:rsidRPr="00CB4173" w:rsidRDefault="00CB4173" w:rsidP="00CB4173">
      <w:pPr>
        <w:widowControl/>
        <w:spacing w:line="540" w:lineRule="atLeast"/>
        <w:rPr>
          <w:rFonts w:ascii="微软雅黑" w:eastAsia="微软雅黑" w:hAnsi="微软雅黑" w:cs="宋体"/>
          <w:color w:val="4D4D4D"/>
          <w:kern w:val="0"/>
          <w:sz w:val="24"/>
          <w:szCs w:val="24"/>
        </w:rPr>
      </w:pPr>
      <w:r w:rsidRPr="00CB4173">
        <w:rPr>
          <w:rFonts w:ascii="微软雅黑" w:eastAsia="微软雅黑" w:hAnsi="微软雅黑" w:cs="宋体" w:hint="eastAsia"/>
          <w:color w:val="4D4D4D"/>
          <w:kern w:val="0"/>
          <w:sz w:val="24"/>
          <w:szCs w:val="24"/>
        </w:rPr>
        <w:t xml:space="preserve">　　根据《证券期货投资者适当性管理办法》《基金募集机构投资者适当性管理实施指引（试行）》要求，广发基金管理有限公司（以下简称“本公司”）严格遵循投资者利益优先原则，积极落实投资者适当性管理，本公司自2022年8月1日起参考《Morningstar晨星基金产品风险评价方法》对旗下的公募基金进行了风险等级划分，按照晨星风险等级评定结果，本公司将于2026年8月31日更新旗下公募基金的风险等级。</w:t>
      </w:r>
    </w:p>
    <w:p w:rsidR="00CB4173" w:rsidRPr="00CB4173" w:rsidRDefault="00CB4173" w:rsidP="00CB4173">
      <w:pPr>
        <w:widowControl/>
        <w:spacing w:line="540" w:lineRule="atLeast"/>
        <w:rPr>
          <w:rFonts w:ascii="微软雅黑" w:eastAsia="微软雅黑" w:hAnsi="微软雅黑" w:cs="宋体" w:hint="eastAsia"/>
          <w:color w:val="4D4D4D"/>
          <w:kern w:val="0"/>
          <w:sz w:val="24"/>
          <w:szCs w:val="24"/>
        </w:rPr>
      </w:pPr>
      <w:r w:rsidRPr="00CB4173">
        <w:rPr>
          <w:rFonts w:ascii="微软雅黑" w:eastAsia="微软雅黑" w:hAnsi="微软雅黑" w:cs="宋体" w:hint="eastAsia"/>
          <w:color w:val="4D4D4D"/>
          <w:kern w:val="0"/>
          <w:sz w:val="24"/>
          <w:szCs w:val="24"/>
        </w:rPr>
        <w:t xml:space="preserve">　　本公司提供的公募基金风险等级，按照风险由低到高排序，依次划分为：低风险-R1、中低风险-R2、中风险-R3、中高风险-R4、高风险-R5五个等级。</w:t>
      </w:r>
      <w:r w:rsidRPr="00CB4173">
        <w:rPr>
          <w:rFonts w:ascii="微软雅黑" w:eastAsia="微软雅黑" w:hAnsi="微软雅黑" w:cs="宋体" w:hint="eastAsia"/>
          <w:b/>
          <w:bCs/>
          <w:color w:val="4D4D4D"/>
          <w:kern w:val="0"/>
          <w:sz w:val="24"/>
          <w:szCs w:val="24"/>
        </w:rPr>
        <w:t>请见附件《广发基金管理有限公司产品适当性风险等级划分一览表》。</w:t>
      </w:r>
    </w:p>
    <w:p w:rsidR="00CB4173" w:rsidRPr="00CB4173" w:rsidRDefault="00CB4173" w:rsidP="00CB4173">
      <w:pPr>
        <w:widowControl/>
        <w:spacing w:line="540" w:lineRule="atLeast"/>
        <w:rPr>
          <w:rFonts w:ascii="微软雅黑" w:eastAsia="微软雅黑" w:hAnsi="微软雅黑" w:cs="宋体" w:hint="eastAsia"/>
          <w:color w:val="4D4D4D"/>
          <w:kern w:val="0"/>
          <w:sz w:val="24"/>
          <w:szCs w:val="24"/>
        </w:rPr>
      </w:pPr>
      <w:r w:rsidRPr="00CB4173">
        <w:rPr>
          <w:rFonts w:ascii="微软雅黑" w:eastAsia="微软雅黑" w:hAnsi="微软雅黑" w:cs="宋体" w:hint="eastAsia"/>
          <w:color w:val="4D4D4D"/>
          <w:kern w:val="0"/>
          <w:sz w:val="24"/>
          <w:szCs w:val="24"/>
        </w:rPr>
        <w:t xml:space="preserve">　　本公司对旗下公募基金风险等级的划分保有最终解释权。</w:t>
      </w:r>
    </w:p>
    <w:p w:rsidR="00CB4173" w:rsidRPr="00CB4173" w:rsidRDefault="00CB4173" w:rsidP="00CB4173">
      <w:pPr>
        <w:widowControl/>
        <w:spacing w:line="540" w:lineRule="atLeast"/>
        <w:rPr>
          <w:rFonts w:ascii="微软雅黑" w:eastAsia="微软雅黑" w:hAnsi="微软雅黑" w:cs="宋体" w:hint="eastAsia"/>
          <w:color w:val="4D4D4D"/>
          <w:kern w:val="0"/>
          <w:sz w:val="24"/>
          <w:szCs w:val="24"/>
        </w:rPr>
      </w:pPr>
      <w:r w:rsidRPr="00CB4173">
        <w:rPr>
          <w:rFonts w:ascii="微软雅黑" w:eastAsia="微软雅黑" w:hAnsi="微软雅黑" w:cs="宋体" w:hint="eastAsia"/>
          <w:color w:val="4D4D4D"/>
          <w:kern w:val="0"/>
          <w:sz w:val="24"/>
          <w:szCs w:val="24"/>
        </w:rPr>
        <w:t xml:space="preserve">　　风险提示：</w:t>
      </w:r>
    </w:p>
    <w:p w:rsidR="00CB4173" w:rsidRPr="00CB4173" w:rsidRDefault="00CB4173" w:rsidP="00CB4173">
      <w:pPr>
        <w:widowControl/>
        <w:spacing w:line="540" w:lineRule="atLeast"/>
        <w:rPr>
          <w:rFonts w:ascii="微软雅黑" w:eastAsia="微软雅黑" w:hAnsi="微软雅黑" w:cs="宋体" w:hint="eastAsia"/>
          <w:color w:val="4D4D4D"/>
          <w:kern w:val="0"/>
          <w:sz w:val="24"/>
          <w:szCs w:val="24"/>
        </w:rPr>
      </w:pPr>
      <w:r w:rsidRPr="00CB4173">
        <w:rPr>
          <w:rFonts w:ascii="微软雅黑" w:eastAsia="微软雅黑" w:hAnsi="微软雅黑" w:cs="宋体" w:hint="eastAsia"/>
          <w:color w:val="4D4D4D"/>
          <w:kern w:val="0"/>
          <w:sz w:val="24"/>
          <w:szCs w:val="24"/>
        </w:rPr>
        <w:t xml:space="preserve">　　1.销售机构根据投资者适当性法律法规对基金进行风险评价，不同的销售机构采用的评价方法不同，因此不同销售机构对基金的风险等级评价结果可能存在不同。</w:t>
      </w:r>
    </w:p>
    <w:p w:rsidR="00CB4173" w:rsidRPr="00CB4173" w:rsidRDefault="00CB4173" w:rsidP="00CB4173">
      <w:pPr>
        <w:widowControl/>
        <w:spacing w:line="540" w:lineRule="atLeast"/>
        <w:rPr>
          <w:rFonts w:ascii="微软雅黑" w:eastAsia="微软雅黑" w:hAnsi="微软雅黑" w:cs="宋体" w:hint="eastAsia"/>
          <w:color w:val="4D4D4D"/>
          <w:kern w:val="0"/>
          <w:sz w:val="24"/>
          <w:szCs w:val="24"/>
        </w:rPr>
      </w:pPr>
      <w:r w:rsidRPr="00CB4173">
        <w:rPr>
          <w:rFonts w:ascii="微软雅黑" w:eastAsia="微软雅黑" w:hAnsi="微软雅黑" w:cs="宋体" w:hint="eastAsia"/>
          <w:color w:val="4D4D4D"/>
          <w:kern w:val="0"/>
          <w:sz w:val="24"/>
          <w:szCs w:val="24"/>
        </w:rPr>
        <w:t xml:space="preserve">　　2.投资者购买基金后，所购买的基金产品风险等级可能因市场或运作情况等影响而发生调整，并可能超出投资者自身风险承受能力，从而可能产生不利后果和损失。投资者应及时关注基金风险等级的变化并谨慎决策，以确保自身的投资决策与风险承受能力相匹配。</w:t>
      </w:r>
    </w:p>
    <w:p w:rsidR="00CB4173" w:rsidRPr="00CB4173" w:rsidRDefault="00CB4173" w:rsidP="00CB4173">
      <w:pPr>
        <w:widowControl/>
        <w:spacing w:line="540" w:lineRule="atLeast"/>
        <w:rPr>
          <w:rFonts w:ascii="微软雅黑" w:eastAsia="微软雅黑" w:hAnsi="微软雅黑" w:cs="宋体" w:hint="eastAsia"/>
          <w:color w:val="4D4D4D"/>
          <w:kern w:val="0"/>
          <w:sz w:val="24"/>
          <w:szCs w:val="24"/>
        </w:rPr>
      </w:pPr>
      <w:r w:rsidRPr="00CB4173">
        <w:rPr>
          <w:rFonts w:ascii="微软雅黑" w:eastAsia="微软雅黑" w:hAnsi="微软雅黑" w:cs="宋体" w:hint="eastAsia"/>
          <w:color w:val="4D4D4D"/>
          <w:kern w:val="0"/>
          <w:sz w:val="24"/>
          <w:szCs w:val="24"/>
        </w:rPr>
        <w:lastRenderedPageBreak/>
        <w:t xml:space="preserve">　　3.本公司承诺以诚实信用、勤勉尽责的原则管理和运用基金资产，但不保证基金一定盈利，也不保证最低收益。投资者投资于本公司管理的基金时应认真阅读各基金的基金合同、招募说明书等法律文件，了解所投资基金的风险收益特征及归属的风险等级，并根据自身风险承受能力选择适合自己的基金产品。敬请投资者注意投资风险。</w:t>
      </w:r>
    </w:p>
    <w:p w:rsidR="00CB4173" w:rsidRPr="00CB4173" w:rsidRDefault="00CB4173" w:rsidP="00CB4173">
      <w:pPr>
        <w:widowControl/>
        <w:spacing w:line="540" w:lineRule="atLeast"/>
        <w:rPr>
          <w:rFonts w:ascii="微软雅黑" w:eastAsia="微软雅黑" w:hAnsi="微软雅黑" w:cs="宋体" w:hint="eastAsia"/>
          <w:color w:val="4D4D4D"/>
          <w:kern w:val="0"/>
          <w:sz w:val="24"/>
          <w:szCs w:val="24"/>
        </w:rPr>
      </w:pPr>
      <w:r w:rsidRPr="00CB4173">
        <w:rPr>
          <w:rFonts w:ascii="微软雅黑" w:eastAsia="微软雅黑" w:hAnsi="微软雅黑" w:cs="宋体" w:hint="eastAsia"/>
          <w:color w:val="4D4D4D"/>
          <w:kern w:val="0"/>
          <w:sz w:val="24"/>
          <w:szCs w:val="24"/>
        </w:rPr>
        <w:t xml:space="preserve">　　特此通知。</w:t>
      </w:r>
    </w:p>
    <w:p w:rsidR="00CB4173" w:rsidRPr="00CB4173" w:rsidRDefault="00CB4173" w:rsidP="00CB4173">
      <w:pPr>
        <w:widowControl/>
        <w:spacing w:before="150" w:line="540" w:lineRule="atLeast"/>
        <w:rPr>
          <w:rFonts w:ascii="微软雅黑" w:eastAsia="微软雅黑" w:hAnsi="微软雅黑" w:cs="宋体" w:hint="eastAsia"/>
          <w:color w:val="4D4D4D"/>
          <w:kern w:val="0"/>
          <w:sz w:val="24"/>
          <w:szCs w:val="24"/>
        </w:rPr>
      </w:pPr>
      <w:r w:rsidRPr="00CB4173">
        <w:rPr>
          <w:rFonts w:ascii="微软雅黑" w:eastAsia="微软雅黑" w:hAnsi="微软雅黑" w:cs="宋体" w:hint="eastAsia"/>
          <w:color w:val="4D4D4D"/>
          <w:kern w:val="0"/>
          <w:sz w:val="24"/>
          <w:szCs w:val="24"/>
        </w:rPr>
        <w:t xml:space="preserve">　　附件：</w:t>
      </w:r>
    </w:p>
    <w:tbl>
      <w:tblPr>
        <w:tblW w:w="12360" w:type="dxa"/>
        <w:tblLook w:val="04A0" w:firstRow="1" w:lastRow="0" w:firstColumn="1" w:lastColumn="0" w:noHBand="0" w:noVBand="1"/>
      </w:tblPr>
      <w:tblGrid>
        <w:gridCol w:w="1160"/>
        <w:gridCol w:w="7060"/>
        <w:gridCol w:w="1160"/>
        <w:gridCol w:w="1620"/>
        <w:gridCol w:w="1360"/>
      </w:tblGrid>
      <w:tr w:rsidR="00CB4173" w:rsidRPr="00CB4173" w:rsidTr="00CB4173">
        <w:trPr>
          <w:trHeight w:val="270"/>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4173" w:rsidRPr="00CB4173" w:rsidRDefault="00CB4173" w:rsidP="00CB4173">
            <w:pPr>
              <w:widowControl/>
              <w:jc w:val="center"/>
              <w:rPr>
                <w:rFonts w:ascii="宋体" w:eastAsia="宋体" w:hAnsi="宋体" w:cs="宋体"/>
                <w:b/>
                <w:bCs/>
                <w:kern w:val="0"/>
                <w:sz w:val="22"/>
              </w:rPr>
            </w:pPr>
            <w:r w:rsidRPr="00CB4173">
              <w:rPr>
                <w:rFonts w:ascii="宋体" w:eastAsia="宋体" w:hAnsi="宋体" w:cs="宋体" w:hint="eastAsia"/>
                <w:b/>
                <w:bCs/>
                <w:kern w:val="0"/>
                <w:sz w:val="22"/>
              </w:rPr>
              <w:t>基金代码</w:t>
            </w:r>
          </w:p>
        </w:tc>
        <w:tc>
          <w:tcPr>
            <w:tcW w:w="7060" w:type="dxa"/>
            <w:tcBorders>
              <w:top w:val="single" w:sz="4" w:space="0" w:color="auto"/>
              <w:left w:val="nil"/>
              <w:bottom w:val="single" w:sz="4" w:space="0" w:color="auto"/>
              <w:right w:val="single" w:sz="4" w:space="0" w:color="auto"/>
            </w:tcBorders>
            <w:shd w:val="clear" w:color="auto" w:fill="auto"/>
            <w:noWrap/>
            <w:vAlign w:val="center"/>
            <w:hideMark/>
          </w:tcPr>
          <w:p w:rsidR="00CB4173" w:rsidRPr="00CB4173" w:rsidRDefault="00CB4173" w:rsidP="00CB4173">
            <w:pPr>
              <w:widowControl/>
              <w:jc w:val="center"/>
              <w:rPr>
                <w:rFonts w:ascii="宋体" w:eastAsia="宋体" w:hAnsi="宋体" w:cs="宋体" w:hint="eastAsia"/>
                <w:b/>
                <w:bCs/>
                <w:kern w:val="0"/>
                <w:sz w:val="22"/>
              </w:rPr>
            </w:pPr>
            <w:r w:rsidRPr="00CB4173">
              <w:rPr>
                <w:rFonts w:ascii="宋体" w:eastAsia="宋体" w:hAnsi="宋体" w:cs="宋体" w:hint="eastAsia"/>
                <w:b/>
                <w:bCs/>
                <w:kern w:val="0"/>
                <w:sz w:val="22"/>
              </w:rPr>
              <w:t>基金名称</w:t>
            </w:r>
          </w:p>
        </w:tc>
        <w:tc>
          <w:tcPr>
            <w:tcW w:w="1160" w:type="dxa"/>
            <w:tcBorders>
              <w:top w:val="single" w:sz="4" w:space="0" w:color="auto"/>
              <w:left w:val="nil"/>
              <w:bottom w:val="single" w:sz="4" w:space="0" w:color="auto"/>
              <w:right w:val="single" w:sz="4" w:space="0" w:color="auto"/>
            </w:tcBorders>
            <w:shd w:val="clear" w:color="auto" w:fill="auto"/>
            <w:noWrap/>
            <w:vAlign w:val="center"/>
            <w:hideMark/>
          </w:tcPr>
          <w:p w:rsidR="00CB4173" w:rsidRPr="00CB4173" w:rsidRDefault="00CB4173" w:rsidP="00CB4173">
            <w:pPr>
              <w:widowControl/>
              <w:jc w:val="center"/>
              <w:rPr>
                <w:rFonts w:ascii="宋体" w:eastAsia="宋体" w:hAnsi="宋体" w:cs="宋体" w:hint="eastAsia"/>
                <w:b/>
                <w:bCs/>
                <w:kern w:val="0"/>
                <w:sz w:val="22"/>
              </w:rPr>
            </w:pPr>
            <w:r w:rsidRPr="00CB4173">
              <w:rPr>
                <w:rFonts w:ascii="宋体" w:eastAsia="宋体" w:hAnsi="宋体" w:cs="宋体" w:hint="eastAsia"/>
                <w:b/>
                <w:bCs/>
                <w:kern w:val="0"/>
                <w:sz w:val="22"/>
              </w:rPr>
              <w:t>风险等级</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rsidR="00CB4173" w:rsidRPr="00CB4173" w:rsidRDefault="00CB4173" w:rsidP="00CB4173">
            <w:pPr>
              <w:widowControl/>
              <w:jc w:val="center"/>
              <w:rPr>
                <w:rFonts w:ascii="宋体" w:eastAsia="宋体" w:hAnsi="宋体" w:cs="宋体" w:hint="eastAsia"/>
                <w:b/>
                <w:bCs/>
                <w:kern w:val="0"/>
                <w:sz w:val="22"/>
              </w:rPr>
            </w:pPr>
            <w:r w:rsidRPr="00CB4173">
              <w:rPr>
                <w:rFonts w:ascii="宋体" w:eastAsia="宋体" w:hAnsi="宋体" w:cs="宋体" w:hint="eastAsia"/>
                <w:b/>
                <w:bCs/>
                <w:kern w:val="0"/>
                <w:sz w:val="22"/>
              </w:rPr>
              <w:t>风险说明</w:t>
            </w:r>
          </w:p>
        </w:tc>
        <w:tc>
          <w:tcPr>
            <w:tcW w:w="1360" w:type="dxa"/>
            <w:tcBorders>
              <w:top w:val="single" w:sz="4" w:space="0" w:color="auto"/>
              <w:left w:val="nil"/>
              <w:bottom w:val="single" w:sz="4" w:space="0" w:color="auto"/>
              <w:right w:val="single" w:sz="4" w:space="0" w:color="auto"/>
            </w:tcBorders>
            <w:shd w:val="clear" w:color="auto" w:fill="auto"/>
            <w:noWrap/>
            <w:vAlign w:val="center"/>
            <w:hideMark/>
          </w:tcPr>
          <w:p w:rsidR="00CB4173" w:rsidRPr="00CB4173" w:rsidRDefault="00CB4173" w:rsidP="00CB4173">
            <w:pPr>
              <w:widowControl/>
              <w:jc w:val="center"/>
              <w:rPr>
                <w:rFonts w:ascii="宋体" w:eastAsia="宋体" w:hAnsi="宋体" w:cs="宋体" w:hint="eastAsia"/>
                <w:b/>
                <w:bCs/>
                <w:kern w:val="0"/>
                <w:sz w:val="22"/>
              </w:rPr>
            </w:pPr>
            <w:r w:rsidRPr="00CB4173">
              <w:rPr>
                <w:rFonts w:ascii="宋体" w:eastAsia="宋体" w:hAnsi="宋体" w:cs="宋体" w:hint="eastAsia"/>
                <w:b/>
                <w:bCs/>
                <w:kern w:val="0"/>
                <w:sz w:val="22"/>
              </w:rPr>
              <w:t>评估时间</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960001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广发行业领先混合H</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589210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广发上证科创板芯片设计主题ETF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589160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广发上证科创板芯片ETF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588980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广发上证科创板100ETF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588760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广发上证科创板人工智能ETF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588680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广发上证科创板100增强策略ETF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588320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广发中证科创创业50增强策略ETF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588140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广发上证科创板200ETF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588110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广发上证科创板成长ETF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588060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广发上证科创板50成份ETF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563850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广发中证全指食品ETF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563800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广发中证A500ETF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560980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广发中证光伏龙头30ETF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560880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广发中证全指家用电器ETF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560780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广发中证半导体材料设备ETF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560700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广发中证国新央企股东回报ETF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560680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广发中证主要消费ETF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560550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广发中证上海环交所碳中和ETF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560280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广发中证工程机械ETF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560260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广发中证医疗ETF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560220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广发中证2000ETF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560010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广发中证1000ETF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520900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广发中证国新港股通央企红利ETF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520710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广发中证港股通信息技术综合ETF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520630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广发中证港股通互联网ETF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520600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广发中证港股通汽车ETF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519859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广发现金宝场内货币B</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1</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低风险(R1)</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519858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广发现金宝场内货币A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1</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低风险(R1)</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518600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广发上海金ETF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lastRenderedPageBreak/>
              <w:t>517350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广发中证沪港深科技龙头ETF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516970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广发中证基建工程ETF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515600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广发中证央企创新驱动ETF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515120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广发中证创新药产业ETF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513750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广发中证港股通非银金融主题ETF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513380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广发恒生科技（QDII-ETF）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513120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广发中证香港创新药（QDII-ETF）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512980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广发中证传媒ETF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512910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广发中证A100ETF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512740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广发中证汽车零部件主题ETF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512680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广发中证军工ETF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512630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广发中证卫星产业ETF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512580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广发中证环保产业ETF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512470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广发中证工业有色金属主题ETF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512450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广发中证畜牧养殖产业ETF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512410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广发中证银行ETF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511950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广发添利交易型货币A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1</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低风险(R1)</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511920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广发货币E</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1</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低风险(R1)</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511120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广发上证AAA科技创新公司债ETF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510950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广发上证50ETF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510510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广发中证500ETF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510360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广发沪深300ETF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506007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广发科创板两年定开混合</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502056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广发中证医疗ETF联接（LOF）A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501303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广发恒生中型股指数（LOF）A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501212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广发优选配置混合（FOF-LOF）A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501078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广发科创主题灵活配置混合（LOF）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501070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广发睿阳三年定期开放混合</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270050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广发新经济混合A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270049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广发纯债债券C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270048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广发纯债债券A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270046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广发景荣纯债债券</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270045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广发双债添利债券C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270044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广发双债添利债券A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270043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广发理财年年红债券A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270042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广发纳指100ETF联接人民币（QDII）A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270041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广发消费品精选混合A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270030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广发聚财信用债券B</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270029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广发聚财信用债券A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270028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广发制造业精选混合A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270026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广发国证2000ETF联接A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270025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广发行业领先混合A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270023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广发全球精选股票（QDII）A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270022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广发内需增长混合A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lastRenderedPageBreak/>
              <w:t>270021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广发聚瑞混合A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270014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广发货币B</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1</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低风险(R1)</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270010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广发沪深300ETF联接A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270009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广发增强债券C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270008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广发核心精选混合</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270007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广发大盘成长混合</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270006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广发策略优选混合</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270005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广发聚丰混合A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270004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广发货币A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1</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低风险(R1)</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270002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广发稳健增长混合A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270001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广发聚富混合</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180106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广发成都高投产业园REIT</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162721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广发积极优势混合（FOF-LOF）A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162720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广发创业板两年定期开放混合</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162719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广发道琼斯美国石油开发与生产指数（QDII-LOF）A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162717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广发成长新动能混合A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162716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广发聚源债券（LOF）C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162715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广发聚源债券（LOF）A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162714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广发深证100ETF联接A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162712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广发聚利债券（LOF）A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162711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广发中证500ETF联接（LOF）A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162703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广发小盘成长混合（LOF）A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159952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广发创业板ETF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159945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广发中证全指能源ETF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159944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广发中证全指原材料ETF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159941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广发纳斯达克100ETF（QDII）</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159940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广发中证全指金融地产ETF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159939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广发中证全指信息技术ETF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159938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广发中证全指医药卫生ETF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159936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广发中证全指可选消费ETF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159907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广发国证2000ETF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159801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广发国证半导体芯片ETF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159755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广发国证新能源车电池ETF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159699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广发恒生消费ETF（QDII）</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159611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广发中证全指电力ETF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159608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广发中证稀有金属ETF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159605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广发中证海外中国互联网30（QDII-ETF）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159589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广发中证红利ETF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159587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广发国证粮食产业ETF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159576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广发深证100ETF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159539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广发国证信息技术创新主题ETF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159527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广发中证云计算与大数据ETF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159512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广发中证全指汽车ETF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159507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广发国证通信ETF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lastRenderedPageBreak/>
              <w:t>159397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广发深证基准做市信用债ETF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159320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广发恒生A股电网设备ETF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159312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广发恒指港股通ETF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159305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广发国证新能源电池ETF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159262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广发恒生港股通科技主题ETF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159229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广发中证800自由现金流ETF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159207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广发中证智选高股息策略ETF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159169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广发恒生生物科技ETF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159145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广发国证工业软件主题ETF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159136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广发中证A50ETF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159086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广发中证金融科技主题ETF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159050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广发国证机器人产业ETF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159029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广发中证有色金属矿业主题ETF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159018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广发国证石油天然气ETF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159016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广发中证证券公司30ETF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028854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广发中证证券公司30ETF发起式联接C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028853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广发中证证券公司30ETF发起式联接A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028848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广发景祥纯债C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028714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广发周期精选混合C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028713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广发周期精选混合A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028663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广发恒生A股电网设备ETF发起式联接C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028662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广发恒生A股电网设备ETF发起式联接A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028614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广发中证细分化工产业主题指数发起式C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028613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广发中证细分化工产业主题指数发起式A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028584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广发中证全指指数增强C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028583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广发中证全指指数增强A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028461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广发优势增长股票C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028160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广发稳致混合C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028152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广发稳致混合A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027955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广发招成债券C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027954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广发招成债券A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027762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广发国证粮食产业ETF发起式联接C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027761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广发国证粮食产业ETF发起式联接A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027733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广发养老目标2055五年持有混合发起式（FOF）Y</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027523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广发产业优选混合C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027522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广发产业优选混合A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027521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广发上证科创板芯片设计主题ETF发起式联接C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027520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广发上证科创板芯片设计主题ETF发起式联接A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027497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广发悦颐多元稳健三个月持有混合（FOF）C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027496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广发悦颐多元稳健三个月持有混合（FOF）A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027347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广发稳航混合C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027346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广发稳航混合A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027210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广发匠心精选混合C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027209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广发匠心精选混合A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lastRenderedPageBreak/>
              <w:t>027206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广发优势企业混合（QDII）C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027205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广发优势企业混合（QDII）A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027176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广发悦泰多元稳健三个月持有混合（ETF-FOF）C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027175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广发悦泰多元稳健三个月持有混合（ETF-FOF）A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027155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广发科创50ETF发起式联接Y</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027141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广发富泽多元配置三个月持有混合（ETF-FOF）C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027140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广发富泽多元配置三个月持有混合（ETF-FOF）A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027138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广发中证红利低波指数发起式C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027137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广发中证红利低波指数发起式A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027015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广发添享债券C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027014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广发添享债券A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027013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广发港股通医疗创新精选混合C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027012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广发港股通医疗创新精选混合A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026951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广发招瑞多元机遇6个月持有混合（FOF）C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026950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广发招瑞多元机遇6个月持有混合（FOF）A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026932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广发中证全指食品ETF联接C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026931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广发中证全指食品ETF联接A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026868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广发汇智量化选股混合C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026867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广发汇智量化选股混合A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026806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广发稳泰多元机遇三个月持有混合（ETF-FOF）C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026805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广发稳泰多元机遇三个月持有混合（ETF-FOF）A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026763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广发医疗创新精选混合发起式C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026762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广发医疗创新精选混合发起式A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026733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广发成长甄选混合C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026732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广发成长甄选混合A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026661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广发成长慧选混合C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026660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广发成长慧选混合A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026579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广发悦丰多元稳健三个月持有混合（FOF）C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026578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广发悦丰多元稳健三个月持有混合（FOF）A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026511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广发优选回报混合C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026510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广发优选回报混合A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026492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广发港股优选混合（QDII）</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026412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广发添益120天滚动持有债券C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026411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广发添益120天滚动持有债券A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026379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广发成长回报混合C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026378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广发成长回报混合A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026333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广发盛世精选混合C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026332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广发盛世精选混合A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026328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广发乾元价值增长混合C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026327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广发乾元价值增长混合A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026324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广发消费智选混合C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026323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广发消费智选混合A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026322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广发乾利一年持有债券C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026321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广发乾利一年持有债券A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lastRenderedPageBreak/>
              <w:t>026320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广发昭利中短债C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026319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广发昭利中短债B</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026318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广发昭利中短债A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026317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广发弘利3个月滚动持有债券C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026316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广发弘利3个月滚动持有债券A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026315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广发多添利六个月持有债券C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026314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广发多添利六个月持有债券A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026266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广发国证新能源电池ETF发起式联接C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026265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广发国证新能源电池ETF发起式联接A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026238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广发平衡精选混合E</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026237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广发平衡精选混合D</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026236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广发平衡精选混合C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026235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广发平衡精选混合A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026224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广发消费领航股票发起式C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026223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广发消费领航股票发起式A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026116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广发悦盈稳健三个月持有混合发起式（FOF）C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026115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广发悦盈稳健三个月持有混合发起式（FOF）A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026110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广发中证500指数量化增强C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026109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广发中证500指数量化增强A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026088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广发现金增利货币</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1</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低风险(R1)</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026073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广发研究智选混合C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026072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广发研究智选混合A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026014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广发新锐智选混合C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025992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广发集辉债券C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025991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广发集辉债券A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025965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广发创新成长混合C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025964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广发创新成长混合A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025942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广发新动力混合C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025882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广发沪深300指数增强Y</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025789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广发质量优选股票C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025788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广发质量优选股票A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025706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广发沪深300指数量化增强C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025705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广发沪深300指数量化增强A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025683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广发中证智选高股息策略ETF发起式联接C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025682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广发中证智选高股息策略ETF发起式联接A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025681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广发中证800自由现金流ETF发起式联接C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025680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广发中证800自由现金流ETF发起式联接A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025679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广发上证科创板100增强策略ETF发起式联接C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025678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广发上证科创板100增强策略ETF发起式联接A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025645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广发量化多因子灵活配置混合C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025512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广发信息产业股票发起式C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025511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广发信息产业股票发起式A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025350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广发乾享核心精选混合C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025349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广发乾享核心精选混合A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lastRenderedPageBreak/>
              <w:t>025227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广发集瑞债券E</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025198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广发恒生港股通科技主题ETF发起式联接C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025197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广发恒生港股通科技主题ETF发起式联接A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025196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广发创业板指数增强C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025195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广发创业板指数增强A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025192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广发稳健策略混合C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025094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广发均衡成长混合F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024988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广发集远债券E</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024832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广发北证50成份指数F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024758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广发智荟多元配置六个月持有混合（FOF）C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024757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广发智荟多元配置六个月持有混合（FOF）A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024511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广发恒荣三个月持有期混合E</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024449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广发价值稳进混合C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024448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广发价值稳进混合A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024382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广发中证港股通汽车ETF发起式联接C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024381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广发中证港股通汽车ETF发起式联接A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024246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广发上证科创板人工智能ETF发起式联接C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024245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广发上证科创板人工智能ETF发起式联接A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024010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广发悦康三个月持有混合（FOF）C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024009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广发悦康三个月持有混合（FOF）A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023984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广发添利交易型货币D</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1</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低风险(R1)</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023835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广发资源智选股票发起式C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023834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广发资源智选股票发起式A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023801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广发添福60天滚动持有债券C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023800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广发添福60天滚动持有债券A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023762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广发智选启航混合C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023761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广发智选启航混合A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023749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广发上证科创板200ETF联接C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023748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广发上证科创板200ETF联接A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023648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广发科技智选股票发起式C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023647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广发科技智选股票发起式A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023563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广发中证800指数增强C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023562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广发中证800指数增强A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023525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广发制造智选股票发起式C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023524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广发制造智选股票发起式A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023460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广发安盈灵活配置混合F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023402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广发全球精选股票（QDII）F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023109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广发中证A50ETF联接C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023108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广发中证A50ETF联接A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023005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广发养老目标2055五年持有混合发起式（FOF）A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022971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广发中证A500ETF联接Y</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022965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广发中证500ETF联接(LOF)Y</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022964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广发沪深300ETF联接Y</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022896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广发创业板ETF发起式联接Y</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lastRenderedPageBreak/>
              <w:t>022889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广发汇宜一年定期开放债券C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022744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广发可转债债券D</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022720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广发中证国新港股通央企红利ETF发起式联接C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022719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广发中证国新港股通央企红利ETF发起式联接A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022687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广发中证A500指数增强C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022686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广发中证A500指数增强A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022425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广发中证A500ETF联接C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022424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广发中证A500ETF联接A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022335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广发产业甄选混合C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022334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广发产业甄选混合A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022333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广发同远回报混合C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022332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广发同远回报混合A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022106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广发信息技术联接F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022104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广发创新药ETF联接F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022046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广发养老目标2060五年持有混合发起式（FOF）Y</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022005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广发恒生科技ETF联接（QDII）F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021952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广发中证传媒ETF联接F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021948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广发中证军工ETF联接F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021947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广发中证光伏产业指数F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021946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广发中证国新央企股东回报ETF发起式联接F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021945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广发国证半导体芯片ETF联接F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021944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广发中证基建工程ETF联接F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021902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广发主题领先灵活配置混合C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021897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广发景兴中短债债券E</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021850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广发景益债券C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021796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广发稳信六个月持有期混合C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021795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广发稳信六个月持有期混合A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021778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广发纳指100ETF联接（QDII）人民币F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021768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广发科创50ETF发起式联接F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021745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广发中证1000ETF联接F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021739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广发创业板ETF发起式联接F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021738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广发上海金ETF联接F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021737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广发沪深300ETF联接F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021723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广发上证50ETF发起式联接C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021722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广发上证50ETF发起式联接A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021609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广发中债7-10年期国开行债券指数D</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021588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广发景利纯债C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021553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广发景裕纯债债券C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021552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广发景裕纯债债券A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021496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广发养老目标2045三年持有混合发起式（FOF）Y</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021421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广发国证信创ETF发起式联接C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021420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广发国证信创ETF发起式联接A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021419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广发汇择纯债一年定期开放债券D</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021400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广发中证红利ETF发起式联接C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lastRenderedPageBreak/>
              <w:t>021399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广发中证红利ETF发起式联接A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021398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广发中证云计算与大数据ETF发起式联接C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021397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广发中证云计算与大数据ETF发起式联接A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021286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广发安盈灵活配置混合E</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021277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广发全球精选股票（QDII）C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021151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广发景秀纯债债券 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021137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广发集享债券C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021136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广发集享债券A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021093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广发中证港股通互联网ETF发起式联接C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021092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广发中证港股通互联网ETF发起式联接A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021019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广发汇兴3个月定期开放债券C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021017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广发景宏债券C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020978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广发汇荣三个月定期开放债券C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020904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广发中证工程机械ETF发起式联接C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020903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广发中证工程机械ETF发起式联接A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020744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广发恒生消费ETF发起式联接（QDII）C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020743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广发恒生消费ETF发起式联接（QDII）A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020700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广发中债农发行债券总指数D</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020679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广发集盛债券C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020678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广发集盛债券A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020640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广发中证半导体材料设备ETF发起式联接C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020639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广发中证半导体材料设备ETF发起式联接A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020627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广发安泽短债债券D</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020580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广发景和中短债债券D</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020501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广发中证港股通非银ETF发起式联接C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020500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广发中证港股通非银ETF发起式联接A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020463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广发景源纯债债券D</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020393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广发央企80债券指数D</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020377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广发景丰纯债债券D</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020376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广发景丰纯债债券C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020200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广发理财年年红债券C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020169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广发信远回报混合C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020168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广发信远回报混合A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020089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广发纯债债券E</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020047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广发添盈180天持有债券C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020046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广发添盈180天持有债券A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020017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广发中债1-3年农发行债券指数D</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019930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广发中债0-2年政金债指数C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019929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广发中债0-2年政金债指数A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019877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广发均衡成长混合C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019876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广发均衡成长混合A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019875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广发中证稀有金属ETF发起式联接C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019874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广发中证稀有金属ETF发起式联接A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019817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广发创业板ETF发起式联接E</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lastRenderedPageBreak/>
              <w:t>019786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广发上证科创板成长ETF发起式联接C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019785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广发上证科创板成长ETF发起式联接A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019757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广发锐意进取3个月持有期混合（FOF）E</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019746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广发积极养老目标五年持有期混合发起式（FOF）Y</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019745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广发安诚养老目标2040三年持有混合发起式（FOF）Y</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019711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广发道琼斯美国石油开发与生产指数（QDII-LOF）美元现汇 E</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019710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广发道琼斯美国石油开发与生产指数（QDII-LOF）E</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019686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广发中债1-3年国开债指数D</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019675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广发货币D</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1</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低风险(R1)</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019672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广发活期宝货币D</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1</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低风险(R1)</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019671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广发中证香港创新药ETF发起式联接（QDII）C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019670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广发中证香港创新药ETF发起式联接（QDII）A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019515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广发民玉纯债债券C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019488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广发添盈债券C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019487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广发添盈债券A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019429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广发中证国新央企股东回报ETF发起式联接C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019428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广发中证国新央企股东回报ETF发起式联接A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019376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广发睿杰精选混合发起式A3</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019375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广发睿杰精选混合发起式A2</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019374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广发睿杰精选混合发起式A1</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019344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广发聚源债券（LOF）B</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019237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广发国证通信ETF发起式联接C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019236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广发国证通信ETF发起式联接A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019233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广发全球稳健配置混合（QDII）美元C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019232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广发全球稳健配置混合（QDII）美元A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019231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广发全球稳健配置混合（QDII）人民币C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019230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广发全球稳健配置混合（QDII）人民币A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019133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广发积极回报3个月持有混合（FOF）C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019132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广发积极回报3个月持有混合（FOF）A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019028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广发添福30天持有债券C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019027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广发添福30天持有债券A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018864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广发中证传媒ETF联接E</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018839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广发添财30天持有债券C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018838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广发添财30天持有债券A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018837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广发养老目标2060五年持有混合发起式（FOF）A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018836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广发成长启航混合C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018835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广发成长启航混合A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018805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广发添福90天持有债券C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018804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广发添福90天持有债券A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018727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广发匠心优选三年持有混合发起式C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018726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广发匠心优选三年持有混合发起式A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018672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广发安诚养老目标2040三年持有混合发起式（FOF）A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018671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广发添利交易型货币C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1</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低风险(R1)</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018559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广发景佳纯债</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lastRenderedPageBreak/>
              <w:t>018419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广发碳中和主题混合发起式C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018418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广发碳中和主题混合发起式A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018354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广发养老目标日期2035三年持有期混合发起式（FOF）Y</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018291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广发新兴成长灵活配置混合C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018290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广发龙头优选灵活配置混合C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018289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广发趋势动力灵活配置混合C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018238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广发恒生中型股指数（LOF）E</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018224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广发均衡价值混合C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018221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广发品质优选混合发起式C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018220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广发品质优选混合发起式A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018090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广发活期宝货币C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1</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低风险(R1)</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018004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广发优质生活混合C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017963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广发医药创新混合发起式C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017962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广发医药创新混合发起式A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017700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广发景泰债券C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017699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广发景泰债券A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017676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广发积极养老目标五年持有期混合发起式（FOF）A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017616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广发安颐一年持有期混合C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017615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广发安颐一年持有期混合A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017513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广发北证50成份指数C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017512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广发北证50成份指数A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017480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广发医药精选股票C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017479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广发医药精选股票A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017476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广发集轩债券C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017475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广发集轩债券A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017403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广发养老目标日期2050五年持有期混合发起式（FOF）Y</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017402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广发养老目标日期2040三年持有期混合发起式（FOF）Y</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017383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广发均衡养老三年持有混合（FOF）Y</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017378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广发安裕稳健养老目标一年持有混合（FOF）Y</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017280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广发安泰稳健养老目标一年持有期混合（FOF）Y</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017279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广发稳健养老目标一年持有混合（FOF）Y</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017200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广发ESG责任投资混合C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017199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广发ESG责任投资混合A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017012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广发安润一年持有期混合C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017011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广发安润一年持有期混合A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016992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广发招阳两年持有混合（FOF）C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016991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广发招阳两年持有混合（FOF）A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016990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广发富信优选六个月持有混合（FOF）C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016989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广发富信优选六个月持有混合（FOF）A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016924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广发百发大数据策略价值灵活配置混合C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016874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广发远见智选混合C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016873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广发远见智选混合A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016831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广发恒裕一年持有期混合C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016830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广发恒裕一年持有期混合A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lastRenderedPageBreak/>
              <w:t>016724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广发安腾稳健6个月持有混合（FOF）C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016723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广发安腾稳健6个月持有混合（FOF）A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016649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广发养老目标2045三年持有混合发起式（FOF）A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016629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广发添财60天持有债券C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016628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广发添财60天持有债券A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016529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广发稳宏一年持有混合C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016528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广发稳宏一年持有混合A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016505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广发核心竞争力混合C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016504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广发核心竞争力混合A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016471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广发纳斯达克生物科技指数美元（QDII）C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016470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广发纳斯达克生物科技指数人民币（QDII）C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016425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广发集汇债券C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016424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广发集汇债券A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016281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广发全球医疗保健指数（QDII）美元C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016280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广发全球医疗保健指数（QDII）人民币C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016279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广发美国房地产指数（QDII）美元C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016278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广发美国房地产指数（QDII）人民币C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016244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广发成长领航一年持有混合C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016243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广发成长领航一年持有混合A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016186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广发中证全指电力ETF发起式联接C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016185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广发中证全指电力ETF发起式联接A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016004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广发集远债券C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016003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广发集远债券A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015935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广发景华纯债债券C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015905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广发新能源精选股票C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015904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广发新能源精选股票A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015893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广发景益债券A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015839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广发招利混合C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015838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广发招利混合A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015826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广发中证同业存单AAA指数7天持有期</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1</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低风险(R1)</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015607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广发集祥债券C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015606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广发集祥债券A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015476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广发景阳纯债债券</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015323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广发集源债券E</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015322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广发鑫享灵活配置混合C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014993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广发景宏债券A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014739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广发恒祥债券C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014738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广发恒祥债券A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014735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广发睿合混合C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014734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广发睿合混合A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014726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广发成长动力三年持有期混合C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014725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广发成长动力三年持有期混合A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014665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广发悦享一年持有混合（FOF）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014592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广发瑞誉一年持有期混合C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lastRenderedPageBreak/>
              <w:t>014591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广发瑞誉一年持有期混合A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014318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广发价值领航一年持有混合C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014317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广发价值领航一年持有混合A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014274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广发北交所精选两年定开混合C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014273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广发北交所精选两年定开混合A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014192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广发先进制造股票发起式C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014191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广发先进制造股票发起式A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014115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广发沪港深医药混合C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014114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广发沪港深医药混合A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013997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广发增强债券A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013968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广发恒享一年持有期混合C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013967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广发恒享一年持有期混合A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013955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广发中小盘精选混合C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013954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广发积极优势混合（FOF-LOF）C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013937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广发睿升混合C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013936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广发睿升混合A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013880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广发招享混合C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013825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广发优选配置混合（FOF-LOF）C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013811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广发科创50ETF发起式联接C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013810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广发科创50ETF发起式联接A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013711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广发成长新动能混合C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013696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广发安裕稳健养老目标一年持有混合（FOF）A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013629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广发集悦债券C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013628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广发集悦债券A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013617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广发睿智两年持有期混合发起式C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013616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广发睿智两年持有期混合发起式A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013608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广发睿恒进取一年持有期混合C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013607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广发睿恒进取一年持有期混合A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013533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广发科技创新混合C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013532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广发安宏回报灵活配置混合E</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013509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广发亚太中高收益债券（QDII）美元 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013508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广发亚太中高收益债券（QDII）人民币 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013489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广发成长智选混合C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013449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广发景宁纯债债券C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013392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广发港股通优质增长混合C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013206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广发汇宜一年定期开放债券A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013185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广发恒阳一年持有期混合C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013184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广发恒阳一年持有期混合A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013180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广发国证新能源车电池ETF发起联接C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013179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广发国证新能源车电池ETF发起联接A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013064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广发集益一年持有期债券C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013063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广发集益一年持有期债券A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013001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广发盛泽一年持有期混合C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013000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广发盛泽一年持有期混合A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lastRenderedPageBreak/>
              <w:t>012968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广发行业严选三年持有期混合C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012967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广发行业严选三年持有期混合A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012944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广发稳睿六个月持有期混合C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012943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广发稳睿六个月持有期混合A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012942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广发添财90天滚动持有债券C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012941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广发添财90天滚动持有债券A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012805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广发恒生科技ETF联接（QDII）C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012804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广发恒生科技ETF联接（QDII）A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012766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广发大盘价值混合C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012765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广发大盘价值混合A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012738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广发中证创新药产业ETF联接C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012737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广发中证创新药产业ETF联接A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012691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广发消费领先混合C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012690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广发消费领先混合A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012662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广发恒益一年持有期混合C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012661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广发恒益一年持有期混合A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012630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广发国证半导体芯片ETF联接C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012629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广发国证半导体芯片ETF联接A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012593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广发添财180天滚动持有债券E</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012592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广发添财180天滚动持有债券C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012591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广发添财180天滚动持有债券A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012529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广发鑫睿一年持有期混合C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012528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广发鑫睿一年持有期混合A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012527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广发盛锦混合C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012526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广发盛锦混合A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012449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广发睿毅领先混合C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012420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广发价值领先混合C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012409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广发恒昌一年持有期混合C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012408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广发恒昌一年持有期混合A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012365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广发中证光伏产业指数C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012364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广发中证光伏产业指数A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012343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广发瑞泽精选混合C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012342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广发瑞泽精选混合A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012331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广发集优9个月持有期债券C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012330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广发集优9个月持有期债券A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012261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广发睿明优质企业混合C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012260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广发睿明优质企业混合A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012245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广发金融地产精选股票C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012244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广发金融地产精选股票A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012183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广发沪港深精选混合C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012182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广发沪港深精选混合A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012106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广发安泰稳健养老目标一年持有期混合（FOF）A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012034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广发睿盛混合C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012033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广发睿盛混合A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lastRenderedPageBreak/>
              <w:t>012030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广发恒鑫一年持有期混合C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012029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广发恒鑫一年持有期混合A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011976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广发均衡回报混合C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011975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广发均衡回报混合A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011963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广发稳裕混合C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011954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广发汇荣三个月定期开放债券A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011909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广发沪港深价值精选混合C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011908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广发沪港深价值精选混合A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011867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广发价值增长混合C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011866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广发价值增长混合A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011758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广发逆向策略灵活配置混合C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011755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广发竞争优势混合C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011753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广发核心优选六个月持有混合（FOF）C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011752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广发核心优选六个月持有混合（FOF）A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011702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广发睿享稳健增利混合C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011638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广发沪港深价值成长混合C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011637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广发沪港深价值成长混合A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011481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广发瑞锦一年定开混合</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011480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广发诚享混合C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011479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广发诚享混合A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011430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广发估值优势混合C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011428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广发价值驱动混合C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011427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广发价值驱动混合A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011426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广发优势成长股票C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011425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广发优势成长股票A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011423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广发全球科技三个月定期开放混合（QDII）美元 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011422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广发全球科技三个月定期开放混合（QDII）人民币 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011421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广发全球科技三个月定期开放混合（QDII）美元 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011420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广发全球科技三个月定期开放混合（QDII）人民币 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011195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广发睿铭两年持有期混合C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011194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广发睿铭两年持有期混合A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011193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广发恒荣三个月持有期混合C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011192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广发恒荣三个月持有期混合A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011183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广发内需增长混合C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011172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广发利鑫灵活配置混合C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011140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广发聚鸿六个月持有期混合E</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011139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广发聚鸿六个月持有期混合C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011138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广发聚鸿六个月持有期混合A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011137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广发盛兴混合C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011136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广发盛兴混合A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011135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广发价值优选混合C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011134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广发价值优选混合A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011130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广发兴诚混合C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011121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广发兴诚混合A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lastRenderedPageBreak/>
              <w:t>011062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广发中债7-10年国开债指数E</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011061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广发安悦回报灵活配置混合C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010732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广发创新医疗两年持有期混合C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010731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广发创新医疗两年持有期混合A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010629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广发可转债债券E</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010596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广发成长精选混合C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010595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广发成长精选混合A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010594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广发睿选三年持有期混合</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010535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广发均衡增长混合C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010534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广发均衡增长混合A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010533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广发恒信一年持有期混合C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010532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广发恒信一年持有期混合A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010530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广发中债1-5年国开行债券指数C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010529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广发中债1-5年国开行债券指数A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010458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广发睿鑫混合C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010457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广发睿鑫混合A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010453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广发瑞福精选混合C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010452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广发瑞福精选混合A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010451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广发恒悦债券E</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010450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广发恒悦债券C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010449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广发恒悦债券A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010433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广发新兴产业精选灵活配置混合C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010432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广发国证2000ETF联接C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010380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广发均衡优选混合C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010379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广发均衡优选混合A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010378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广发价值核心混合C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010377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广发价值核心混合A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010324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广发招财短债债券E</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010245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广发品牌消费股票C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010236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广发电子信息传媒产业精选股票C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010235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广发资源优选股票C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010162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广发瑞安精选股票C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010161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广发瑞安精选股票A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010160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广发高端制造股票C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010134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广发新经济混合C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010113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广发研究精选股票C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010112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广发研究精选股票A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010111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广发医药健康混合C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010110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广发医药健康混合A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010038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广发恒通六个月持有期混合C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010036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广发恒通六个月持有期混合A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010026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广发聚瑞混合C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010025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广发聚丰混合C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010024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广发沪港深新起点股票C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lastRenderedPageBreak/>
              <w:t>010023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广发制造业精选混合C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010022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广发消费品精选混合C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010021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广发优企精选灵活配置混合C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009957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广发恒誉混合C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009956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广发恒誉混合A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009955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广发鑫裕灵活配置混合C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009952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广发稳健回报混合C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009951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广发稳健回报混合A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009897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广发港股通成长精选股票C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009896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广发港股通成长精选股票A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009888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广发稳健优选六个月持有期混合C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009887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广发稳健优选六个月持有期混合A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009881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广发中证医疗ETF联接（LOF）C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009609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广发中证500指数增强C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009608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广发中证500指数增强A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009532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广发景明中短债债券E</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009526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广发聚荣一年持有期混合C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009525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广发聚荣一年持有期混合A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009472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广发深证100ETF联接C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009326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广发稳健增长混合C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009322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广发锐意进取3个月持有期混合（FOF）C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009314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广发双擎升级混合C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009267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广发双债添利债券E</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009163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广发医疗保健股票C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009136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广发恒隆一年持有期混合C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009135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广发恒隆一年持有期混合A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009132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广发小盘成长混合（LOF）C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009121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广发招享混合A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009120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广发品质回报混合C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009119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广发品质回报混合A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008987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广发上海金ETF联接C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008986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广发上海金ETF联接A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008903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广发科技先锋混合</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008705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广发高股息优享混合C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008704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广发高股息优享混合A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008638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广发科技创新混合A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008609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广发养老目标日期2040三年持有期混合发起式（FOF）A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008608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广发汇浦三年定期开放债券</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008607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广发汇择纯债一年定期开放债券C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008606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广发汇择纯债一年定期开放债券A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008604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广发稳安灵活配置混合C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008483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广发央企80债券指数C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008482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广发央企80债券指数A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008421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广发招泰混合C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lastRenderedPageBreak/>
              <w:t>008420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广发招泰混合A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008366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广发汇明一年定期开放债券</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008363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广发民丰一年定期开放债券</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008362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广发汇成一年定期开放债券</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008297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广发价值优势混合</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008296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广发汇利一年定期开放债券</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008273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广发优质生活混合A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008161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广发汇达纯债3个月定期开放债券</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008130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广发汇优66个月定期开放债券</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008127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广发趋势优选灵活配置混合C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008099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广发价值领先混合A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007904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广发锐意进取3个月持有期混合（FOF）A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007848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广发聚宝混合C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007785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广发央企创新驱动ETF联接C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007784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广发央企创新驱动ETF联接A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007778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广发景富纯债债券</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007750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广发优势增长股票A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007668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广发养老目标日期2035三年持有期混合发起式（FOF）A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007598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广发民玉纯债债券A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007396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广发景辉纯债债券</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007256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广发汇阳三个月定期开放债券</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007254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广发均衡价值混合A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007253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广发中债农发行债券总指数C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007252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广发中债农发行债券总指数A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007251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广发睿享稳健增利混合A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007250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广发养老目标日期2050五年持有期混合发起式（FOF）A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007249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广发均衡养老三年持有混合（FOF）A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007235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广发聚利债券（LOF）C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007136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广发中证A100ETF联接C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007135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广发中证A100ETF联接A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006999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广发景兴中短债债券C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006998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广发景兴中短债债券A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006970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广发景利纯债债券A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006871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广发景和中短债债券C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006870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广发景和中短债债券A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006869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广发政策性金融债债券</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006780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广发稳健策略混合A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006680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广发道琼斯美国石油开发与生产指数（QDII-LOF）美元现汇 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006679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广发道琼斯美国石油开发与生产指数（QDII-LOF）美元现汇 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006673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广发招财短债债券C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006672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广发招财短债债券A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006671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广发消费升级股票</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006670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广发景秀纯债债券 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006595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广发港股通优质增长混合A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lastRenderedPageBreak/>
              <w:t>006592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广发景明中短债债券C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006591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广发景明中短债债券A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006552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广发汇兴3个月定期开放债券A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006504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广发汇承定期开放债券</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006487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广发中证1000ETF联接C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006486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广发中证1000ETF联接A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006485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广发中债1-3年国开债指数C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006484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广发中债1-3年国开债指数A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006483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广发可转债债券C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006482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广发可转债债券A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006480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广发纳指100ETF联接美元（QDII）C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006479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广发纳指100ETF联接人民币（QDII）C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006378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广发汇宏6个月定期开放债券</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006377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广发趋势动力灵活配置混合A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006298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广发稳健养老目标一年持有混合（FOF）A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006141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广发集嘉债券C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006140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广发集嘉债券A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006137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广发汇立定期开放债券</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006136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广发估值优势混合A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006021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广发沪深300指数增强C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006020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广发沪深300指数增强A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005917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广发汇誉3个月定期开放债券</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005911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广发双擎升级混合A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005910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广发龙头优选灵活配置混合A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005778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广发汇元纯债定期开放债券</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005777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广发科技动力股票</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005745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广发汇康定期开放债券</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005693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广发中证军工ETF联接C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005647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广发汇佳定期开放债券</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005644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广发沪港深行业龙头混合</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005624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广发中债1-3年农发行债券指数C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005623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广发中债1-3年农发行债券指数A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005598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广发中小盘精选混合A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005402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广发资源优选股票A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005310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广发电子信息传媒产业精选股票A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005234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广发汇吉3个月定期开放债券</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005233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广发睿毅领先混合A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005225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广发量化多因子灵活配置混合A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005224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广发中证基建工程ETF联接C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005223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广发中证基建工程ETF联接A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005107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广发添利交易型货币B</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1</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低风险(R1)</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005092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广发货币C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1</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低风险(R1)</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005064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广发中证全指家用电器ETF联接C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005063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广发中证全指家用电器ETF联接A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lastRenderedPageBreak/>
              <w:t>004997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广发高端制造股票A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004996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广发恒生中型股指数（LOF）C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004995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广发品牌消费股票A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004857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广发中证全指建筑材料指数C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004856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广发中证全指建筑材料指数A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004855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广发中证全指汽车指数C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004854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广发中证全指汽车指数A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004853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广发价值回报混合C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004852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广发价值回报混合A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004851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广发医疗保健股票A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004796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广发钱袋子货币E</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1</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低风险(R1)</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004753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广发中证传媒ETF联接C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004752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广发中证传媒ETF联接A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004751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广发鑫和灵活配置混合C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004750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广发鑫和灵活配置混合A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004387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广发汇安18个月定期开放债券C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004386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广发汇安18个月定期开放债券A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004243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广发道琼斯美国石油开发与生产指数（QDII-LOF）C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004119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广发创新驱动灵活配置混合</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004028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广发景源纯债债券C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004027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广发景源纯债债券A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004022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广发汇富一年定期开放债券 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004021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广发汇富一年定期开放债券 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004020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广发景祥纯债债券A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003819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广发景华纯债债券A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003766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广发创业板ETF发起式联接C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003765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广发创业板ETF发起式联接A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003746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广发汇瑞3个月定期开放债券</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003745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广发多元新兴股票</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003377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广发中债7-10年国开债指数C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003376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广发中债7-10年国开债指数A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003281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广发活期宝货币B</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1</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低风险(R1)</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003223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广发景丰纯债债券A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003040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广发集富纯债债券C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003039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广发集富纯债债券A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003038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广发集瑞债券C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003037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广发集瑞债券A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003017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广发中证军工ETF联接A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002987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广发沪深300ETF联接C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002984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广发中证环保ETF联接C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002982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广发养老指数发起式C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002979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广发金融地产联接C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002978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广发医药卫生联接C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002977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广发可选消费联接C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lastRenderedPageBreak/>
              <w:t>002974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广发中证全指信息技术ETF发起式联接C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002943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广发多因子灵活配置混合</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002939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广发创新升级灵活配置混合</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002926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广发集源债券C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002925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广发集源债券A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002903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广发中证500ETF联接（LOF）C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002865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广发安泽短债债券C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002864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广发安泽短债债券A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002802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广发成长智选混合A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002712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广发集丰债券C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002711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广发集丰债券A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002637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广发集裕债券C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002636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广发集裕债券A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002624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广发优企精选灵活配置混合A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002622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广发稳裕混合A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002446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广发利鑫灵活配置混合A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002295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广发稳安灵活配置混合A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002183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广发天天红B</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1</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低风险(R1)</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002136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广发鑫源灵活配置混合C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002135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广发鑫源灵活配置混合A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002134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广发鑫裕灵活配置混合A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002133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广发鑫益灵活配置混合</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002132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广发鑫享灵活配置混合A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002128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广发鑫惠纯债定期开放债券</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002125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广发新兴成长灵活配置混合A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002124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广发新兴产业精选灵活配置混合A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002121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广发沪港深新起点股票A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002120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广发安悦回报灵活配置混合A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002119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广发安盈灵活配置混合C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002118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广发安盈灵活配置混合A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002117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广发安享灵活配置混合C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002116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广发安享灵活配置混合A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002026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广发聚盛灵活配置混合C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002025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广发聚盛灵活配置混合A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001764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广发沪港深新机遇股票</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001763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广发多策略灵活配置混合</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001762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广发安宏回报灵活配置混合C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001761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广发安宏回报灵活配置混合A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001742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广发百发大数据策略精选灵活配置混合E</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001741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广发百发大数据策略精选灵活配置混合A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001735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广发新锐智选混合E</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001734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广发新锐智选混合A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001732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广发百发大数据策略价值灵活配置混合E</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001731</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广发百发大数据策略价值灵活配置混合A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lastRenderedPageBreak/>
              <w:t>001469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广发金融地产联接A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001468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广发改革先锋灵活配置混合</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001356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广发聚泰混合C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001355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广发聚泰混合A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001189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广发聚宝混合A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001180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广发医药卫生联接A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001134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广发天天利货币E</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1</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低风险(R1)</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001133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广发可选消费联接A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001116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广发聚安混合C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001115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广发聚安混合A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001093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广发纳斯达克生物科技指数美元（QDII）A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001092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广发纳斯达克生物科技指数人民币（QDII）A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001064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广发中证环保ETF联接A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000992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广发对冲套利定开发起式</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000968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广发养老指数发起式A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000942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广发中证全指信息技术ETF发起式联接A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000906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广发全球精选股票（QDII）A 美元现汇</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000827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广发中证百度百发策略100指数E</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000826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广发中证百度百发策略100指数A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000748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广发活期宝货币A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1</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低风险(R1)</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000747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广发逆向策略灵活配置混合A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000567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广发聚祥灵活配置混合</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000550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广发新动力混合A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000529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广发竞争优势混合A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000509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广发钱袋子货币A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1</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低风险(R1)</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000477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广发主题领先灵活配置混合A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000476</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广发天天利货币B</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1</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低风险(R1)</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000475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广发天天利货币A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1</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低风险(R1)</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000389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广发天天红A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1</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低风险(R1)</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000370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广发全球医疗保健指数（QDII）美元A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000369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广发全球医疗保健指数（QDII）人民币A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000275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广发亚太中高收益债券（QDII）美元 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000274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广发亚太中高收益债券（QDII）人民币 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000268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广发集利一年定期开放债券C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000267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广发集利一年定期开放债券A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000215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广发趋势优选灵活配置混合A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000214</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广发成长优选混合</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000180</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广发美国房地产指数（QDII）美元A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000179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广发美国房地产指数（QDII）人民币A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4</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中高风险(R4)</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000167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广发聚优灵活配置混合A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000119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广发聚鑫债券C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000118</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广发聚鑫债券A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000117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广发轮动配置混合</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000055</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广发纳指100ETF联接美元（QDII）A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lastRenderedPageBreak/>
              <w:t>000037</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广发景宁纯债债券A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中低风险(R2)</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026952</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广发恒指港股通ETF联接A</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026953</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广发恒指港股通ETF联接C</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158039</w:t>
            </w:r>
          </w:p>
        </w:tc>
        <w:tc>
          <w:tcPr>
            <w:tcW w:w="70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广发标普港股通低波红利ETF</w:t>
            </w:r>
          </w:p>
        </w:tc>
        <w:tc>
          <w:tcPr>
            <w:tcW w:w="11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3</w:t>
            </w:r>
          </w:p>
        </w:tc>
        <w:tc>
          <w:tcPr>
            <w:tcW w:w="162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中风险(R3)</w:t>
            </w:r>
          </w:p>
        </w:tc>
        <w:tc>
          <w:tcPr>
            <w:tcW w:w="1360" w:type="dxa"/>
            <w:tcBorders>
              <w:top w:val="nil"/>
              <w:left w:val="nil"/>
              <w:bottom w:val="nil"/>
              <w:right w:val="nil"/>
            </w:tcBorders>
            <w:shd w:val="clear" w:color="auto" w:fill="auto"/>
            <w:noWrap/>
            <w:vAlign w:val="center"/>
            <w:hideMark/>
          </w:tcPr>
          <w:p w:rsidR="00CB4173" w:rsidRPr="00CB4173" w:rsidRDefault="00CB4173" w:rsidP="00CB4173">
            <w:pPr>
              <w:widowControl/>
              <w:jc w:val="center"/>
              <w:rPr>
                <w:rFonts w:ascii="宋体" w:eastAsia="宋体" w:hAnsi="宋体" w:cs="宋体" w:hint="eastAsia"/>
                <w:color w:val="000000"/>
                <w:kern w:val="0"/>
                <w:sz w:val="22"/>
              </w:rPr>
            </w:pPr>
            <w:r w:rsidRPr="00CB4173">
              <w:rPr>
                <w:rFonts w:ascii="宋体" w:eastAsia="宋体" w:hAnsi="宋体" w:cs="宋体" w:hint="eastAsia"/>
                <w:color w:val="000000"/>
                <w:kern w:val="0"/>
                <w:sz w:val="22"/>
              </w:rPr>
              <w:t>2026-07-31</w:t>
            </w:r>
          </w:p>
        </w:tc>
      </w:tr>
      <w:tr w:rsidR="00CB4173" w:rsidRPr="00CB4173" w:rsidTr="00CB4173">
        <w:trPr>
          <w:trHeight w:val="270"/>
        </w:trPr>
        <w:tc>
          <w:tcPr>
            <w:tcW w:w="1160" w:type="dxa"/>
            <w:tcBorders>
              <w:top w:val="nil"/>
              <w:left w:val="nil"/>
              <w:bottom w:val="nil"/>
              <w:right w:val="nil"/>
            </w:tcBorders>
            <w:shd w:val="clear" w:color="auto" w:fill="auto"/>
            <w:noWrap/>
            <w:vAlign w:val="bottom"/>
            <w:hideMark/>
          </w:tcPr>
          <w:p w:rsidR="00CB4173" w:rsidRPr="00CB4173" w:rsidRDefault="00CB4173" w:rsidP="00CB4173">
            <w:pPr>
              <w:widowControl/>
              <w:jc w:val="center"/>
              <w:rPr>
                <w:rFonts w:ascii="宋体" w:eastAsia="宋体" w:hAnsi="宋体" w:cs="宋体" w:hint="eastAsia"/>
                <w:color w:val="000000"/>
                <w:kern w:val="0"/>
                <w:sz w:val="22"/>
              </w:rPr>
            </w:pPr>
          </w:p>
        </w:tc>
        <w:tc>
          <w:tcPr>
            <w:tcW w:w="7060" w:type="dxa"/>
            <w:tcBorders>
              <w:top w:val="nil"/>
              <w:left w:val="nil"/>
              <w:bottom w:val="nil"/>
              <w:right w:val="nil"/>
            </w:tcBorders>
            <w:shd w:val="clear" w:color="auto" w:fill="auto"/>
            <w:noWrap/>
            <w:vAlign w:val="bottom"/>
            <w:hideMark/>
          </w:tcPr>
          <w:p w:rsidR="00CB4173" w:rsidRPr="00CB4173" w:rsidRDefault="00CB4173" w:rsidP="00CB4173">
            <w:pPr>
              <w:widowControl/>
              <w:jc w:val="left"/>
              <w:rPr>
                <w:rFonts w:ascii="Times New Roman" w:eastAsia="Times New Roman" w:hAnsi="Times New Roman" w:cs="Times New Roman"/>
                <w:kern w:val="0"/>
                <w:sz w:val="20"/>
                <w:szCs w:val="20"/>
              </w:rPr>
            </w:pPr>
          </w:p>
        </w:tc>
        <w:tc>
          <w:tcPr>
            <w:tcW w:w="1160" w:type="dxa"/>
            <w:tcBorders>
              <w:top w:val="nil"/>
              <w:left w:val="nil"/>
              <w:bottom w:val="nil"/>
              <w:right w:val="nil"/>
            </w:tcBorders>
            <w:shd w:val="clear" w:color="auto" w:fill="auto"/>
            <w:noWrap/>
            <w:vAlign w:val="bottom"/>
            <w:hideMark/>
          </w:tcPr>
          <w:p w:rsidR="00CB4173" w:rsidRPr="00CB4173" w:rsidRDefault="00CB4173" w:rsidP="00CB4173">
            <w:pPr>
              <w:widowControl/>
              <w:jc w:val="left"/>
              <w:rPr>
                <w:rFonts w:ascii="Times New Roman" w:eastAsia="Times New Roman" w:hAnsi="Times New Roman" w:cs="Times New Roman"/>
                <w:kern w:val="0"/>
                <w:sz w:val="20"/>
                <w:szCs w:val="20"/>
              </w:rPr>
            </w:pPr>
          </w:p>
        </w:tc>
        <w:tc>
          <w:tcPr>
            <w:tcW w:w="1620" w:type="dxa"/>
            <w:tcBorders>
              <w:top w:val="nil"/>
              <w:left w:val="nil"/>
              <w:bottom w:val="nil"/>
              <w:right w:val="nil"/>
            </w:tcBorders>
            <w:shd w:val="clear" w:color="auto" w:fill="auto"/>
            <w:noWrap/>
            <w:vAlign w:val="bottom"/>
            <w:hideMark/>
          </w:tcPr>
          <w:p w:rsidR="00CB4173" w:rsidRPr="00CB4173" w:rsidRDefault="00CB4173" w:rsidP="00CB4173">
            <w:pPr>
              <w:widowControl/>
              <w:jc w:val="left"/>
              <w:rPr>
                <w:rFonts w:ascii="Times New Roman" w:eastAsia="Times New Roman" w:hAnsi="Times New Roman" w:cs="Times New Roman"/>
                <w:kern w:val="0"/>
                <w:sz w:val="20"/>
                <w:szCs w:val="20"/>
              </w:rPr>
            </w:pPr>
          </w:p>
        </w:tc>
        <w:tc>
          <w:tcPr>
            <w:tcW w:w="1360" w:type="dxa"/>
            <w:tcBorders>
              <w:top w:val="nil"/>
              <w:left w:val="nil"/>
              <w:bottom w:val="nil"/>
              <w:right w:val="nil"/>
            </w:tcBorders>
            <w:shd w:val="clear" w:color="auto" w:fill="auto"/>
            <w:noWrap/>
            <w:vAlign w:val="bottom"/>
            <w:hideMark/>
          </w:tcPr>
          <w:p w:rsidR="00CB4173" w:rsidRPr="00CB4173" w:rsidRDefault="00CB4173" w:rsidP="00CB4173">
            <w:pPr>
              <w:widowControl/>
              <w:jc w:val="left"/>
              <w:rPr>
                <w:rFonts w:ascii="Times New Roman" w:eastAsia="Times New Roman" w:hAnsi="Times New Roman" w:cs="Times New Roman"/>
                <w:kern w:val="0"/>
                <w:sz w:val="20"/>
                <w:szCs w:val="20"/>
              </w:rPr>
            </w:pPr>
          </w:p>
        </w:tc>
      </w:tr>
    </w:tbl>
    <w:p w:rsidR="00AE0C49" w:rsidRPr="00CB4173" w:rsidRDefault="00CB4173">
      <w:bookmarkStart w:id="0" w:name="_GoBack"/>
      <w:bookmarkEnd w:id="0"/>
    </w:p>
    <w:sectPr w:rsidR="00AE0C49" w:rsidRPr="00CB417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29E"/>
    <w:rsid w:val="00073D69"/>
    <w:rsid w:val="0090729E"/>
    <w:rsid w:val="00CB4173"/>
    <w:rsid w:val="00ED2D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332AE6-F441-4E04-BA1D-9B117D0E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link w:val="20"/>
    <w:uiPriority w:val="9"/>
    <w:qFormat/>
    <w:rsid w:val="00CB4173"/>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link w:val="30"/>
    <w:uiPriority w:val="9"/>
    <w:qFormat/>
    <w:rsid w:val="00CB4173"/>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
    <w:rsid w:val="00CB4173"/>
    <w:rPr>
      <w:rFonts w:ascii="宋体" w:eastAsia="宋体" w:hAnsi="宋体" w:cs="宋体"/>
      <w:b/>
      <w:bCs/>
      <w:kern w:val="0"/>
      <w:sz w:val="36"/>
      <w:szCs w:val="36"/>
    </w:rPr>
  </w:style>
  <w:style w:type="character" w:customStyle="1" w:styleId="30">
    <w:name w:val="标题 3 字符"/>
    <w:basedOn w:val="a0"/>
    <w:link w:val="3"/>
    <w:uiPriority w:val="9"/>
    <w:rsid w:val="00CB4173"/>
    <w:rPr>
      <w:rFonts w:ascii="宋体" w:eastAsia="宋体" w:hAnsi="宋体" w:cs="宋体"/>
      <w:b/>
      <w:bCs/>
      <w:kern w:val="0"/>
      <w:sz w:val="27"/>
      <w:szCs w:val="27"/>
    </w:rPr>
  </w:style>
  <w:style w:type="character" w:styleId="a3">
    <w:name w:val="Hyperlink"/>
    <w:basedOn w:val="a0"/>
    <w:uiPriority w:val="99"/>
    <w:semiHidden/>
    <w:unhideWhenUsed/>
    <w:rsid w:val="00CB4173"/>
    <w:rPr>
      <w:color w:val="0000FF"/>
      <w:u w:val="single"/>
    </w:rPr>
  </w:style>
  <w:style w:type="paragraph" w:styleId="a4">
    <w:name w:val="Normal (Web)"/>
    <w:basedOn w:val="a"/>
    <w:uiPriority w:val="99"/>
    <w:semiHidden/>
    <w:unhideWhenUsed/>
    <w:rsid w:val="00CB4173"/>
    <w:pPr>
      <w:widowControl/>
      <w:spacing w:before="100" w:beforeAutospacing="1" w:after="100" w:afterAutospacing="1"/>
      <w:jc w:val="left"/>
    </w:pPr>
    <w:rPr>
      <w:rFonts w:ascii="宋体" w:eastAsia="宋体" w:hAnsi="宋体" w:cs="宋体"/>
      <w:kern w:val="0"/>
      <w:sz w:val="24"/>
      <w:szCs w:val="24"/>
    </w:rPr>
  </w:style>
  <w:style w:type="character" w:styleId="a5">
    <w:name w:val="FollowedHyperlink"/>
    <w:basedOn w:val="a0"/>
    <w:uiPriority w:val="99"/>
    <w:semiHidden/>
    <w:unhideWhenUsed/>
    <w:rsid w:val="00CB4173"/>
    <w:rPr>
      <w:color w:val="800080"/>
      <w:u w:val="single"/>
    </w:rPr>
  </w:style>
  <w:style w:type="paragraph" w:customStyle="1" w:styleId="msonormal0">
    <w:name w:val="msonormal"/>
    <w:basedOn w:val="a"/>
    <w:rsid w:val="00CB4173"/>
    <w:pPr>
      <w:widowControl/>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a"/>
    <w:rsid w:val="00CB4173"/>
    <w:pPr>
      <w:widowControl/>
      <w:spacing w:before="100" w:beforeAutospacing="1" w:after="100" w:afterAutospacing="1"/>
      <w:jc w:val="left"/>
    </w:pPr>
    <w:rPr>
      <w:rFonts w:ascii="宋体" w:eastAsia="宋体" w:hAnsi="宋体" w:cs="宋体"/>
      <w:kern w:val="0"/>
      <w:sz w:val="18"/>
      <w:szCs w:val="18"/>
    </w:rPr>
  </w:style>
  <w:style w:type="paragraph" w:customStyle="1" w:styleId="xl64">
    <w:name w:val="xl64"/>
    <w:basedOn w:val="a"/>
    <w:rsid w:val="00CB417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b/>
      <w:bCs/>
      <w:kern w:val="0"/>
      <w:sz w:val="24"/>
      <w:szCs w:val="24"/>
    </w:rPr>
  </w:style>
  <w:style w:type="paragraph" w:customStyle="1" w:styleId="xl65">
    <w:name w:val="xl65"/>
    <w:basedOn w:val="a"/>
    <w:rsid w:val="00CB4173"/>
    <w:pPr>
      <w:widowControl/>
      <w:spacing w:before="100" w:beforeAutospacing="1" w:after="100" w:afterAutospacing="1"/>
      <w:jc w:val="center"/>
      <w:textAlignment w:val="center"/>
    </w:pPr>
    <w:rPr>
      <w:rFonts w:ascii="宋体" w:eastAsia="宋体" w:hAnsi="宋体" w:cs="宋体"/>
      <w:kern w:val="0"/>
      <w:sz w:val="24"/>
      <w:szCs w:val="24"/>
    </w:rPr>
  </w:style>
  <w:style w:type="paragraph" w:customStyle="1" w:styleId="xl66">
    <w:name w:val="xl66"/>
    <w:basedOn w:val="a"/>
    <w:rsid w:val="00CB4173"/>
    <w:pPr>
      <w:widowControl/>
      <w:spacing w:before="100" w:beforeAutospacing="1" w:after="100" w:afterAutospacing="1"/>
      <w:jc w:val="center"/>
      <w:textAlignment w:val="center"/>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6771330">
      <w:bodyDiv w:val="1"/>
      <w:marLeft w:val="0"/>
      <w:marRight w:val="0"/>
      <w:marTop w:val="0"/>
      <w:marBottom w:val="0"/>
      <w:divBdr>
        <w:top w:val="none" w:sz="0" w:space="0" w:color="auto"/>
        <w:left w:val="none" w:sz="0" w:space="0" w:color="auto"/>
        <w:bottom w:val="none" w:sz="0" w:space="0" w:color="auto"/>
        <w:right w:val="none" w:sz="0" w:space="0" w:color="auto"/>
      </w:divBdr>
      <w:divsChild>
        <w:div w:id="1931160329">
          <w:marLeft w:val="0"/>
          <w:marRight w:val="0"/>
          <w:marTop w:val="150"/>
          <w:marBottom w:val="150"/>
          <w:divBdr>
            <w:top w:val="none" w:sz="0" w:space="0" w:color="auto"/>
            <w:left w:val="none" w:sz="0" w:space="0" w:color="auto"/>
            <w:bottom w:val="none" w:sz="0" w:space="0" w:color="auto"/>
            <w:right w:val="none" w:sz="0" w:space="0" w:color="auto"/>
          </w:divBdr>
          <w:divsChild>
            <w:div w:id="1034959979">
              <w:marLeft w:val="0"/>
              <w:marRight w:val="0"/>
              <w:marTop w:val="150"/>
              <w:marBottom w:val="150"/>
              <w:divBdr>
                <w:top w:val="none" w:sz="0" w:space="0" w:color="auto"/>
                <w:left w:val="none" w:sz="0" w:space="0" w:color="auto"/>
                <w:bottom w:val="none" w:sz="0" w:space="0" w:color="auto"/>
                <w:right w:val="none" w:sz="0" w:space="0" w:color="auto"/>
              </w:divBdr>
              <w:divsChild>
                <w:div w:id="11213664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669745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gffunds.com.cn/jjgg/lsgg/202608/t20260828_430491.s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6294</Words>
  <Characters>35878</Characters>
  <Application>Microsoft Office Word</Application>
  <DocSecurity>0</DocSecurity>
  <Lines>298</Lines>
  <Paragraphs>84</Paragraphs>
  <ScaleCrop>false</ScaleCrop>
  <Company/>
  <LinksUpToDate>false</LinksUpToDate>
  <CharactersWithSpaces>42088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顾雪莲</dc:creator>
  <cp:keywords/>
  <dc:description/>
  <cp:lastModifiedBy>顾雪莲</cp:lastModifiedBy>
  <cp:revision>3</cp:revision>
  <dcterms:created xsi:type="dcterms:W3CDTF">2026-08-28T07:38:00Z</dcterms:created>
  <dcterms:modified xsi:type="dcterms:W3CDTF">2026-08-28T07:38:00Z</dcterms:modified>
</cp:coreProperties>
</file>