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DC5" w:rsidRPr="00721DC5" w:rsidRDefault="00721DC5" w:rsidP="00721DC5">
      <w:pPr>
        <w:widowControl/>
        <w:spacing w:line="600" w:lineRule="atLeast"/>
        <w:jc w:val="left"/>
        <w:outlineLvl w:val="1"/>
        <w:rPr>
          <w:rFonts w:ascii="微软雅黑" w:eastAsia="微软雅黑" w:hAnsi="微软雅黑" w:cs="宋体"/>
          <w:b/>
          <w:bCs/>
          <w:color w:val="333333"/>
          <w:kern w:val="0"/>
          <w:sz w:val="33"/>
          <w:szCs w:val="33"/>
        </w:rPr>
      </w:pPr>
      <w:r w:rsidRPr="00721DC5">
        <w:rPr>
          <w:rFonts w:ascii="微软雅黑" w:eastAsia="微软雅黑" w:hAnsi="微软雅黑" w:cs="宋体" w:hint="eastAsia"/>
          <w:b/>
          <w:bCs/>
          <w:color w:val="333333"/>
          <w:kern w:val="0"/>
          <w:sz w:val="33"/>
          <w:szCs w:val="33"/>
        </w:rPr>
        <w:t>广发基金管理有限公司关于旗下公募基金风险等级更新的通知</w:t>
      </w:r>
    </w:p>
    <w:p w:rsidR="00721DC5" w:rsidRPr="00721DC5" w:rsidRDefault="00721DC5" w:rsidP="00721DC5">
      <w:pPr>
        <w:widowControl/>
        <w:jc w:val="left"/>
        <w:outlineLvl w:val="2"/>
        <w:rPr>
          <w:rFonts w:ascii="Arial" w:eastAsia="宋体" w:hAnsi="Arial" w:cs="Arial"/>
          <w:b/>
          <w:bCs/>
          <w:color w:val="333333"/>
          <w:kern w:val="0"/>
          <w:sz w:val="18"/>
          <w:szCs w:val="18"/>
        </w:rPr>
      </w:pPr>
      <w:r w:rsidRPr="00721DC5">
        <w:rPr>
          <w:rFonts w:ascii="微软雅黑" w:eastAsia="微软雅黑" w:hAnsi="微软雅黑" w:cs="Arial" w:hint="eastAsia"/>
          <w:b/>
          <w:bCs/>
          <w:color w:val="888888"/>
          <w:kern w:val="0"/>
          <w:sz w:val="20"/>
          <w:szCs w:val="20"/>
        </w:rPr>
        <w:t>2026-05-29来源：</w:t>
      </w:r>
      <w:hyperlink r:id="rId6" w:history="1">
        <w:r w:rsidRPr="00721DC5">
          <w:rPr>
            <w:rFonts w:ascii="微软雅黑" w:eastAsia="微软雅黑" w:hAnsi="微软雅黑" w:cs="Arial" w:hint="eastAsia"/>
            <w:b/>
            <w:bCs/>
            <w:color w:val="888888"/>
            <w:kern w:val="0"/>
            <w:sz w:val="20"/>
            <w:szCs w:val="20"/>
            <w:u w:val="single"/>
          </w:rPr>
          <w:t>广发基金</w:t>
        </w:r>
      </w:hyperlink>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根据《证券期货投资者适当性管理办法》《基金募集机构投资者适当性管理实施指引（试行）》要求，广发基金管理有限公司（以下简称“本公司”）严格遵循投资者利益优先原则，积极落实投资者适当性管理，本公司自2022年8月1日起参考《Morningstar晨星基金产品风险评价方法》对旗下的公募基金进行了风险等级划分，按照晨星风险等级评定结果，本公司将于2026年6月1日更新旗下公募基金的风险等级。</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本公司提供的公募基金风险等级，按照风险由低到高排序，依次划分为：低风险-R1、中低风险-R2、中风险-R3、中高风险-R4、高风险-R5五个等级。</w:t>
      </w:r>
      <w:r w:rsidRPr="00721DC5">
        <w:rPr>
          <w:rFonts w:ascii="微软雅黑" w:eastAsia="微软雅黑" w:hAnsi="微软雅黑" w:cs="宋体" w:hint="eastAsia"/>
          <w:b/>
          <w:bCs/>
          <w:color w:val="4D4D4D"/>
          <w:kern w:val="0"/>
          <w:sz w:val="24"/>
          <w:szCs w:val="24"/>
        </w:rPr>
        <w:t>请见附件《广发基金管理有限公司产品适当性风险等级划分一览表》。</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本公司对旗下公募基金风险等级的划分保有最终解释权。</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风险提示：</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1.销售机构根据投资者适当性法律法规对基金进行风险评价，不同的销售机构采用的评价方法不同，因此不同销售机构对基金的风险等级评价结果可能存在不同。</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 xml:space="preserve">　　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721DC5" w:rsidRPr="00721DC5" w:rsidRDefault="00721DC5" w:rsidP="00721DC5">
      <w:pPr>
        <w:widowControl/>
        <w:spacing w:line="540" w:lineRule="atLeast"/>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lastRenderedPageBreak/>
        <w:t xml:space="preserve">　　3.本公司承诺以诚实信用、勤勉尽责的原则管理和运用基金资产，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721DC5" w:rsidRDefault="00721DC5" w:rsidP="00DF413F">
      <w:pPr>
        <w:widowControl/>
        <w:spacing w:line="540" w:lineRule="atLeast"/>
        <w:ind w:firstLine="480"/>
        <w:jc w:val="left"/>
        <w:rPr>
          <w:rFonts w:ascii="微软雅黑" w:eastAsia="微软雅黑" w:hAnsi="微软雅黑" w:cs="宋体"/>
          <w:color w:val="4D4D4D"/>
          <w:kern w:val="0"/>
          <w:sz w:val="24"/>
          <w:szCs w:val="24"/>
        </w:rPr>
      </w:pPr>
      <w:r w:rsidRPr="00721DC5">
        <w:rPr>
          <w:rFonts w:ascii="微软雅黑" w:eastAsia="微软雅黑" w:hAnsi="微软雅黑" w:cs="宋体" w:hint="eastAsia"/>
          <w:color w:val="4D4D4D"/>
          <w:kern w:val="0"/>
          <w:sz w:val="24"/>
          <w:szCs w:val="24"/>
        </w:rPr>
        <w:t>特此通知。</w:t>
      </w:r>
    </w:p>
    <w:p w:rsidR="00DF413F" w:rsidRPr="00721DC5" w:rsidRDefault="00DF413F" w:rsidP="00DF413F">
      <w:pPr>
        <w:widowControl/>
        <w:spacing w:line="540" w:lineRule="atLeast"/>
        <w:ind w:firstLine="480"/>
        <w:jc w:val="left"/>
        <w:rPr>
          <w:rFonts w:ascii="微软雅黑" w:eastAsia="微软雅黑" w:hAnsi="微软雅黑" w:cs="宋体"/>
          <w:color w:val="4D4D4D"/>
          <w:kern w:val="0"/>
          <w:sz w:val="24"/>
          <w:szCs w:val="24"/>
        </w:rPr>
      </w:pPr>
      <w:r>
        <w:rPr>
          <w:rFonts w:ascii="微软雅黑" w:eastAsia="微软雅黑" w:hAnsi="微软雅黑" w:hint="eastAsia"/>
          <w:color w:val="4D4D4D"/>
          <w:shd w:val="clear" w:color="auto" w:fill="FFFFFF"/>
        </w:rPr>
        <w:t>附件：《</w:t>
      </w:r>
      <w:hyperlink r:id="rId7" w:history="1">
        <w:r>
          <w:rPr>
            <w:rStyle w:val="a7"/>
            <w:rFonts w:ascii="微软雅黑" w:eastAsia="微软雅黑" w:hAnsi="微软雅黑" w:hint="eastAsia"/>
            <w:shd w:val="clear" w:color="auto" w:fill="FFFFFF"/>
          </w:rPr>
          <w:t>广发基金管理有限公司产品适当性风险等级划分一览表</w:t>
        </w:r>
      </w:hyperlink>
      <w:r>
        <w:rPr>
          <w:rFonts w:ascii="微软雅黑" w:eastAsia="微软雅黑" w:hAnsi="微软雅黑" w:hint="eastAsia"/>
          <w:color w:val="4D4D4D"/>
          <w:shd w:val="clear" w:color="auto" w:fill="FFFFFF"/>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gridCol w:w="4436"/>
        <w:gridCol w:w="746"/>
        <w:gridCol w:w="1134"/>
        <w:gridCol w:w="1046"/>
      </w:tblGrid>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基金代码</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基金名称</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风险等级</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风险说明</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评估时间</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960001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广发行业领先混合H</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589210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广发上证科创板芯片设计主题ETF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589160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广发上证科创板芯片ETF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588980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广发上证科创板100ETF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588760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广发上证科创板人工智能ETF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588680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广发上证科创板100增强策略ETF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588320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广发中证科创创业50增强策略ETF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588140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广发上证科创板200ETF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bookmarkStart w:id="0" w:name="_GoBack"/>
            <w:r w:rsidRPr="003E3455">
              <w:rPr>
                <w:rFonts w:ascii="宋体" w:eastAsia="宋体" w:hAnsi="宋体" w:cs="宋体"/>
                <w:kern w:val="0"/>
                <w:sz w:val="24"/>
                <w:szCs w:val="24"/>
              </w:rPr>
              <w:t>588110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广发上证科创板成长ETF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bookmarkEnd w:id="0"/>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588060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广发上证科创板50成份ETF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563850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广发中证全指食品ETF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563800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560980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广发中证光伏龙头30ETF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560880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广发中证全指家用电器ETF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560780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广发中证半导体材料设备ETF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560700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广发中证国新央企股东回报ETF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560680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广发中证主要消费ETF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560550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广发中证上海环交所碳中和ETF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560280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广发中证工程机械ETF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560260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广发中证医疗ETF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560220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广发中证2000ETF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560010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广发中证1000ETF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520900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广发中证国新港股通央企红利ETF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520710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广发中证港股通信息技术综合ETF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520630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广发中证港股通互联网ETF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520600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广发中证港股通汽车ETF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519859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广发现金宝场内货币B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519858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广发现金宝场内货币A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518600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广发上海金ETF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517350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广发中证沪港深科技龙头ETF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516970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广发中证基建工程ETF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515600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广发中证央企创新驱动ETF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515120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广发中证创新药产业ETF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513750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广发中证港股通非银金融主题ETF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513380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广发恒生科技（QDII-ETF）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513120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广发中证香港创新药（QDII-ETF）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512980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广发中证传媒ETF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512910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广发中证A100ETF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512680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广发中证军工ETF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512630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广发中证卫星产业ETF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512580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广发中证环保产业ETF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512450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广发中证畜牧养殖产业ETF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511950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广发添利交易型货币A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511920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广发货币E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511120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广发上证AAA科技创新公司债ETF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510950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广发上证50ETF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510510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510360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506007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广发科创板两年定开混合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502056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广发中证医疗ETF联接（LOF）A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501303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广发恒生中型股指数（LOF）A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501212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广发优选配置混合（FOF-LOF）A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501078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广发科创主题灵活配置混合（LOF）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501070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广发睿阳三年定期开放混合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广发新经济混合A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广发景荣纯债债券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广发双债添利债券C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广发双债添利债券A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广发理财年年红债券A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广发纳指100ETF联接人民币（QDII）A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270041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广发消费品精选混合A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广发聚财信用债券B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广发聚财信用债券A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广发制造业精选混合A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广发国证2000ETF联接A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广发行业领先混合A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广发全球精选股票（QDII）A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广发内需增长混合A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广发聚瑞混合A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广发货币B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270010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广发增强债券C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广发核心精选混合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广发大盘成长混合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广发策略优选混合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广发聚丰混合A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270001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广发聚富混合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180106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广发成都高投产业园REIT</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广发积极优势混合（FOF-LOF）A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广发创业板两年定期开放混合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广发成长新动能混合A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广发聚源债券（LOF）C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广发聚源债券（LOF）A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广发深证100ETF联接A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广发聚利债券（LOF）A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广发中证500ETF联接（LOF）A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162703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广发小盘成长混合（LOF）A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159952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广发中证全指能源ETF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广发中证全指原材料ETF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159941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广发纳斯达克100ETF（QDII）</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广发中证全指金融地产ETF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广发中证全指信息技术ETF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广发中证全指医药卫生ETF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广发中证全指可选消费ETF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159907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广发国证2000ETF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159801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广发国证半导体芯片ETF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159755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广发国证新能源车电池ETF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159699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广发恒生消费ETF（QDII）</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159611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广发中证全指电力ETF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159608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广发中证稀有金属ETF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159605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广发中证海外中国互联网30（QDII-ETF）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广发中证红利ETF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广发国证粮食产业ETF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广发深证100ETF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广发国证信息技术创新主题ETF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广发中证云计算与大数据ETF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159512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广发中证全指汽车ETF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159507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广发国证通信ETF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159397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广发深证基准做市信用债ETF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159320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广发恒生A股电网设备ETF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159312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广发恒指港股通ETF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159305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广发国证新能源电池ETF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159262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广发恒生港股通科技主题ETF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159229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广发中证800自由现金流ETF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159207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广发中证智选高股息策略ETF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159169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广发恒生生物科技ETF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159145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广发国证工业软件主题ETF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159050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广发国证机器人产业ETF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159029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广发中证有色金属矿业主题ETF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159018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广发国证石油天然气ETF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159016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广发中证证券公司30ETF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027521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广发上证科创板芯片设计主题ETF发起式联接C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027520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广发上证科创板芯片设计主题ETF发起式联接A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027155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广发科创50ETF发起式联接Y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027138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广发中证红利低波指数发起式C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027137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广发中证红利低波指数发起式A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027015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广发添享债券C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027014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广发添享债券A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027013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广发港股通医疗创新精选混合C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027012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广发港股通医疗创新精选混合A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026932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广发中证全指食品ETF联接C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026931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广发中证全指食品ETF联接A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026868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广发汇智量化选股混合C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026867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广发汇智量化选股混合A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026806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广发稳泰多元机遇三个月持有混合（ETF-FOF）C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026805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广发稳泰多元机遇三个月持有混合（ETF-FOF）A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026763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广发医疗创新精选混合发起式C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026762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广发医疗创新精选混合发起式A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026733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广发成长甄选混合C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026732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广发成长甄选混合A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026661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广发成长慧选混合C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026660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广发成长慧选混合A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026579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广发悦丰多元稳健三个月持有混合（FOF）C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026578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广发悦丰多元稳健三个月持有混合（FOF）A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026511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广发优选回报混合C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026510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广发优选回报混合A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026492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广发港股优选混合（QDII）</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026412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广发添益120天滚动持有债券C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026411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广发添益120天滚动持有债券A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广发盛世精选混合C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广发盛世精选混合A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广发乾元价值增长混合C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广发乾元价值增长混合A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广发消费智选混合C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广发消费智选混合A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广发乾利一年持有债券C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广发乾利一年持有债券A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广发昭利中短债C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广发昭利中短债B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广发昭利中短债A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广发弘利3个月滚动持有债券C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广发弘利3个月滚动持有债券A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026315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广发多添利六个月持有债券C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026314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广发多添利六个月持有债券A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026266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广发国证新能源电池ETF发起式联接C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广发国证新能源电池ETF发起式联接A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广发平衡精选混合E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广发平衡精选混合D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广发平衡精选混合C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广发平衡精选混合A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广发消费领航股票发起式C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026223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广发消费领航股票发起式A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026116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广发悦盈稳健三个月持有混合发起式（FOF）C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026115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广发悦盈稳健三个月持有混合发起式（FOF）A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026110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广发中证500指数量化增强C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026109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广发中证500指数量化增强A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026088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广发现金增利货币</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026073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广发研究智选混合C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026072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广发研究智选混合A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026014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广发新锐智选混合C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025992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025991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025965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广发创新成长混合C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025964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广发创新成长混合A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025942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广发新动力混合C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025882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广发沪深300指数增强Y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025789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广发质量优选股票C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025788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广发质量优选股票A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025706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广发沪深300指数量化增强C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025705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广发沪深300指数量化增强A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广发中证智选高股息策略ETF发起式联接C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广发中证智选高股息策略ETF发起式联接A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广发中证800自由现金流ETF发起式联接C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广发中证800自由现金流ETF发起式联接A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广发上证科创板100增强策略ETF发起式联接C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广发上证科创板100增强策略ETF发起式联接A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025645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广发量化多因子灵活配置混合C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025512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广发信息产业股票发起式C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025511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广发信息产业股票发起式A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025350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广发乾享核心精选混合C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025349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广发乾享核心精选混合A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025227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广发集瑞债券E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025198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广发恒生港股通科技主题ETF发起式联接C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025197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广发恒生港股通科技主题ETF发起式联接A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025196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广发创业板指数增强C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025195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广发创业板指数增强A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025192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广发稳健策略混合C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025094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广发均衡成长混合F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024988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广发集远债券E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024832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广发北证50成份指数F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024758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广发智荟多元配置六个月持有混合（FOF）C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024757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广发智荟多元配置六个月持有混合（FOF）A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024511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广发恒荣三个月持有期混合E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024449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广发价值稳进混合C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024448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广发价值稳进混合A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024382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广发中证港股通汽车ETF发起式联接C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024381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广发中证港股通汽车ETF发起式联接A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024246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广发上证科创板人工智能ETF发起式联接C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024245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广发上证科创板人工智能ETF发起式联接A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024010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广发悦康三个月持有混合（FOF）C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024009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广发悦康三个月持有混合（FOF）A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023984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广发添利交易型货币D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023835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广发资源智选股票发起式C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023834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广发资源智选股票发起式A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023801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广发添福60天滚动持有债券C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023800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广发添福60天滚动持有债券A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023762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广发智选启航混合C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023761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广发智选启航混合A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023749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广发上证科创板200ETF联接C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023748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广发上证科创板200ETF联接A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023648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广发科技智选股票发起式C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023647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广发科技智选股票发起式A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023563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广发中证800指数增强C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023562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广发中证800指数增强A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023525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广发制造智选股票发起式C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023524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广发制造智选股票发起式A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023460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广发安盈灵活配置混合F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023402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广发全球精选股票（QDII）F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023109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023108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023005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广发养老目标2055五年持有混合发起式（FOF）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022971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 A500 ETF联接Y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022965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广发中证500ETF联接(LOF)Y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022964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 300ETF联接Y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022896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广发创业板ETF发起式联接Y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022889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广发汇宜一年定期开放债券C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022744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广发可转债债券D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022720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广发中证国新港股通央企红利ETF发起式联接C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022719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广发中证国新港股通央企红利ETF发起式联接A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022687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广发中证A500指数增强C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022686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广发中证A500指数增强A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022425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广发中证A500ETF 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022424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广发中证A500ETF 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022335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广发产业甄选混合C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022334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广发产业甄选混合A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022333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广发同远回报混合C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022332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广发同远回报混合A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022106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广发信息技术联接F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022104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广发创新药ETF联接F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022046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广发养老目标2060五年持有期混合发起式（FOF）Y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022005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广发恒生科技ETF联接（QDII）F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广发中证传媒ETF联接F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广发中证军工ETF联接F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021947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广发中证光伏产业指数F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广发中证国新央企股东回报ETF发起式联接F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广发国证半导体芯片ETF联接F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广发中证基建工程ETF联接F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021902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广发主题领先灵活配置混合C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021897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广发景兴中短债债券E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021850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广发景益债券C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广发稳信六个月持有期混合C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广发稳信六个月持有期混合A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广发纳指100ETF联接（QDII）人民币F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广发科创50ETF发起式联接F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广发中证1000ETF联接F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广发创业板ETF发起式联接F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广发上海金ETF联接F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广发沪深300ETF联接F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广发上证50ETF发起式联接C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021722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广发上证50ETF发起式联接A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021609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广发中债7-10年期国开行债券指数D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021588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广发景利纯债C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021553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广发景裕纯债债券C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021552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广发景裕纯债债券A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021496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广发养老目标日期2045三年持有期混合（FOF）Y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021421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广发国证信创ETF发起式联接C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021420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广发国证信创ETF发起式联接A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021419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广发汇择纯债一年定期开放债券D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021400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广发中证红利ETF发起式联接C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021399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广发中证红利ETF发起式联接A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021398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广发中证云计算与大数据ETF发起式联接C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021397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广发中证云计算与大数据ETF发起式联接A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021286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广发安盈灵活配置混合E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021277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广发全球精选股票（QDII）C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021151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广发景秀纯债债券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021137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广发集享债券C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广发集享债券A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021093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广发中证港股通互联网ETF发起式联接C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021092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广发中证港股通互联网ETF发起式联接A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021019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广发汇兴3个月定期开放债券C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021017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广发景宏债券C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020978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广发汇荣三个月定期开放债券C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020904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广发中证工程机械ETF发起式联接C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020903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广发中证工程机械ETF发起式联接A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020744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广发恒生消费ETF发起式联接（QDII）C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020743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广发恒生消费ETF发起式联接（QDII）A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020700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广发中债农发行债券总指数D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020679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广发集盛债券C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020678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广发集盛债券A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020640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广发中证半导体材料设备ETF发起式联接C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020639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广发中证半导体材料设备ETF发起式联接A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020627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广发安泽短债债券D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020580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广发景和中短债债券D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020501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广发中证港股通非银ETF发起式联接C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020500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广发中证港股通非银ETF发起式联接A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020463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广发景源纯债债券D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020393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广发上海清算所0-4年央企80债券指数D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020377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广发景丰纯债债券D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020376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广发景丰纯债债券C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020200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广发理财年年红债券C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020169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广发信远回报混合C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020168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广发信远回报混合A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020089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广发纯债债券E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020047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广发添盈180天持有债券C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020046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广发添盈180天持有债券A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020017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广发中债1-3年农发行债券指数D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019930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广发中债0-2年政金债指数C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019929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广发中债0-2年政金债指数A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019877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广发均衡成长混合C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019876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广发均衡成长混合A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019875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广发中证稀有金属ETF发起式联接C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019874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广发中证稀有金属ETF发起式联接A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019817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广发创业板ETF联接基金E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广发上证科创板成长ETF发起式联接C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019785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广发上证科创板成长ETF发起式联接A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019757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广发锐意进取3个月持有期混合（FOF）E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广发积极养老目标五年持有期混合（FOF）Y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广发安诚养老目标2040三年持有混合发起式（FOF）Y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广发道琼斯美国石油开发与生产指数（QDII-LOF）美元现汇 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019710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019686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广发中债1-3年国开债指数D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019675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广发货币D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019672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广发活期宝货币D</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019671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广发中证香港创新药ETF发起式联接（QDII）C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019670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广发中证香港创新药ETF发起式联接（QDII）A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019515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广发民玉纯债债券C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019488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广发添盈债券C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019487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广发添盈债券A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019429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广发中证国新央企股东回报ETF发起式联接C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019428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广发中证国新央企股东回报ETF发起式联接A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019376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广发睿杰精选混合发起式A3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019375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广发睿杰精选混合发起式A2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019374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广发睿杰精选混合发起式A1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019344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广发聚源债券（LOF）B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广发国证通信ETF发起式联接C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广发国证通信ETF发起式联接A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广发全球稳健配置混合（QDII）美元C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广发全球稳健配置混合（QDII）美元A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广发全球稳健配置混合（QDII）人民币C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019230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广发全球稳健配置混合（QDII）人民币A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019133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广发积极回报3个月持有混合（FOF）C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019132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广发积极回报3个月持有混合（FOF）A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019028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广发添福30天持有债券C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019027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广发添福30天持有债券A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广发中证传媒ETF联接基金E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广发添财30天持有债券C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广发添财30天持有债券A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广发养老目标2060五年持有混合发起式（FOF）A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广发成长启航混合C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广发成长启航混合A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广发添福90天持有债券C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018804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广发添福90天持有债券A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018727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广发匠心优选三年持有混合发起式C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018726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广发匠心优选三年持有混合发起式A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018672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广发安诚养老目标2040三年持有混合发起式（FOF）A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018671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广发添利交易型货币C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018559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广发景佳纯债</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018419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广发碳中和主题混合发起式C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018418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广发碳中和主题混合发起式A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018354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广发养老目标日期2035三年持有期混合（FOF）Y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广发新兴成长灵活配置混合C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018290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广发龙头优选灵活配置混合C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广发趋势动力灵活配置混合C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018238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广发恒生中型股指数（LOF）E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广发均衡价值混合C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广发品质优选混合发起式C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018220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广发品质优选混合发起式A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018090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广发活期宝货币C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018004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广发优质生活混合C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017963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广发医药创新混合发起式C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017962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广发医药创新混合发起式A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017700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广发景泰债券C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017699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广发景泰债券A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017676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广发积极养老目标五年持有期混合（FOF）A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017616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广发安颐一年持有期混合C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017615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广发安颐一年持有期混合A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017513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广发北证50成份指数C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017512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广发北证50成份指数A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017480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017479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017476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广发集轩债券C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017475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广发集轩债券A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017403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广发养老目标日期2050五年持有期混合（FOF）Y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017402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广发养老目标日期2040三年持有期混合（FOF）Y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017383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广发均衡养老目标三年持有期混合（FOF）Y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017378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广发安裕稳健养老目标一年持有混合（FOF）Y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017280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广发安泰稳健养老目标一年持有期混合（FOF）Y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017279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广发稳健养老目标一年持有混合（FOF）Y</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017200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广发ESG责任投资混合C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017199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广发ESG责任投资混合A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017012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广发安润一年持有期混合C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017011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广发安润一年持有期混合A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016992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广发招阳两年持有混合（FOF）C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016991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广发招阳两年持有混合（FOF）A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016990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广发富信优选六个月持有混合（FOF）C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016989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广发富信优选六个月持有混合（FOF）A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016924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广发百发大数据策略价值灵活配置混合C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016874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广发远见智选混合C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016873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广发远见智选混合A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016831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广发恒裕一年持有期混合C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016830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广发恒裕一年持有期混合A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016724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广发安腾稳健6个月持有混合（FOF）C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016723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广发安腾稳健6个月持有混合（FOF）A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016649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广发养老目标2045三年持有混合（FOF）A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016629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广发添财60天持有债券C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016628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广发添财60天持有债券A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016529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广发稳宏一年持有混合C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016528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广发稳宏一年持有混合A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016505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广发核心竞争力混合C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016504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广发核心竞争力混合A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016471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广发纳斯达克生物科技指数美元（QDII）C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016470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广发纳斯达克生物科技指数人民币（QDII）C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016425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广发集汇债券C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016424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广发集汇债券A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广发全球医疗保健指数（QDII）美元C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广发全球医疗保健指数（QDII）人民币C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广发美国房地产指数（QDII）美元C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广发美国房地产指数（QDII）人民币C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广发成长领航一年持有混合C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016243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广发成长领航一年持有混合A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016186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广发中证全指电力ETF联接C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016185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广发中证全指电力ETF联接A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016004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广发集远债券C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016003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广发集远债券A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015935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广发景华纯债债券C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015905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广发新能源精选股票C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015904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广发新能源精选股票A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015893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广发景益债券A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015839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广发招利混合C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015838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广发招利混合A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015826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广发中证同业存单AAA指数7天持有期</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015607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广发集祥债券C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015606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广发集祥债券A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015476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广发景阳纯债债券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015323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广发集源债券E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015322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广发鑫享灵活配置混合C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014993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广发景宏债券A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广发恒祥债券C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广发恒祥债券A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广发睿合混合C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广发睿合混合A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广发成长动力三年持有期混合C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014725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广发成长动力三年持有期混合A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014665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广发悦享一年持有混合（FOF）</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014592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广发瑞誉一年持有期混合C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014591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广发瑞誉一年持有期混合A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014318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广发价值领航一年持有混合C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014317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广发价值领航一年持有混合A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014274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广发北交所精选两年定开混合C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014273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广发北交所精选两年定开混合A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014192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广发先进制造股票C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014191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广发先进制造股票A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014115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广发沪港深医药混合C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014114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广发沪港深医药混合A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广发增强债券A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广发恒享一年持有期混合C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广发恒享一年持有期混合A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广发中小盘精选混合C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013954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广发积极优势混合（FOF-LOF）C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广发睿升混合C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013936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广发睿升混合A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013880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广发招享混合C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013825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广发优选配置混合（FOF-LOF）C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013811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广发上证科创板50成份ETF联接C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013810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广发上证科创板50成份ETF联接A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013711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广发成长新动能混合C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广发安裕稳健养老目标一年持有混合（FOF）A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广发集悦债券C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广发集悦债券A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广发睿智两年持有期混合C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广发睿智两年持有期混合A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广发睿恒进取一年持有期混合C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013607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广发睿恒进取一年持有期混合A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013533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广发科技创新混合C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013532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广发安宏回报灵活配置混合E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013509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广发亚太中高收益债券（QDII）美元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013508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广发亚太中高收益债券（QDII）人民币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013489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广发成长智选混合C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013449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广发景宁纯债债券C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013392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广发港股通优质增长混合C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013206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广发汇宜一年定期开放债券A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013185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广发恒阳一年持有期混合C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013184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广发恒阳一年持有期混合A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013180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广发国证新能源车电池ETF联接C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013179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广发国证新能源车电池ETF联接A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013064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广发集益一年持有期债券C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013063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广发集益一年持有期债券A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013001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广发盛泽一年持有期混合C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013000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广发盛泽一年持有期混合A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广发行业严选三年持有期混合C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广发行业严选三年持有期混合A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广发稳睿六个月持有期混合C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广发稳睿六个月持有期混合A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广发添财90天滚动持有债券C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012941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广发添财90天滚动持有债券A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012805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广发恒生科技ETF联接（QDII）C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012804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广发恒生科技ETF联接（QDII）A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012766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广发大盘价值混合C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012765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广发大盘价值混合A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012738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广发中证创新药产业ETF联接C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012737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广发中证创新药产业ETF联接A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012691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广发消费领先混合C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012690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广发消费领先混合A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012662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广发恒益一年持有期混合C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012661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广发恒益一年持有期混合A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012630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广发国证半导体芯片ETF联接C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012629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广发国证半导体芯片ETF联接A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广发添财180天滚动持有债券E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广发添财180天滚动持有债券C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广发添财180天滚动持有债券A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广发鑫睿一年持有期混合C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广发鑫睿一年持有期混合A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广发盛锦混合C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012526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广发盛锦混合A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012449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广发睿毅领先混合C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012420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广发价值领先混合C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012409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广发恒昌一年持有期混合C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012408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广发恒昌一年持有期混合A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012365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广发中证光伏产业指数C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012364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广发中证光伏产业指数A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012343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广发瑞泽精选混合C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012342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广发瑞泽精选混合A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012331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广发集优9个月持有期债券C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012330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广发集优9个月持有期债券A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012261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广发睿明优质企业混合C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012260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广发睿明优质企业混合A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012245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广发金融地产精选股票C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012244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广发金融地产精选股票A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012183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012182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012106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广发安泰稳健养老目标一年持有期混合（FOF）A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012034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广发睿盛混合C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012033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广发睿盛混合A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012030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广发恒鑫一年持有期混合C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012029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广发恒鑫一年持有期混合A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广发稳裕混合C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011954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广发汇荣三个月定期开放债券A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广发沪港深价值精选混合C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011908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广发沪港深价值精选混合A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011867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011866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011758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广发逆向策略灵活配置混合C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011755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广发竞争优势混合C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011753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广发核心优选六个月持有混合（FOF）C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011752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广发核心优选六个月持有混合（FOF）A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011702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广发睿享稳健增利混合C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011638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广发沪港深价值成长混合C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011637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广发沪港深价值成长混合A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广发瑞锦一年定开混合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广发诚享混合C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广发诚享混合A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广发估值优势混合C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广发价值驱动混合C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广发价值驱动混合A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广发优势成长股票C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广发优势成长股票A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广发全球科技三个月定期开放混合（QDII）美元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广发全球科技三个月定期开放混合（QDII）人民币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广发全球科技三个月定期开放混合（QDII）美元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011420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广发全球科技三个月定期开放混合（QDII）人民币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广发睿铭两年持有期混合C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011194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广发睿铭两年持有期混合A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广发恒荣三个月持有期混合C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广发恒荣三个月持有期混合A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广发内需增长混合C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广发利鑫灵活配置混合C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广发聚鸿六个月持有期混合E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广发聚鸿六个月持有期混合C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广发聚鸿六个月持有期混合A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广发盛兴混合C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广发盛兴混合A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广发价值优选混合C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广发价值优选混合A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广发兴诚混合C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011121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广发兴诚混合A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011062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广发中债7-10年国开债指数E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011061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广发安悦回报灵活配置混合C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010732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广发创新医疗两年持有期混合C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010731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广发创新医疗两年持有期混合A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010629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广发可转债债券E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010595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010594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广发睿选三年持有期混合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广发恒信一年持有期混合C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广发恒信一年持有期混合A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广发中债1-5年国开行债券指数C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010529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广发中债1-5年国开行债券指数A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广发睿鑫混合C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广发睿鑫混合A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广发瑞福精选混合C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广发瑞福精选混合A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广发恒悦债券E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广发恒悦债券C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广发恒悦债券A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广发新兴产业精选灵活配置混合C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010432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广发国证 2000ETF联接C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010380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广发均衡优选混合C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010379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广发均衡优选混合A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010378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广发价值核心混合C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010377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广发价值核心混合A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010324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广发招财短债债券E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010245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广发品牌消费股票C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010236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广发电子信息传媒产业精选股票C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010235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广发资源优选股票C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广发瑞安精选股票C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广发瑞安精选股票A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010160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广发高端制造股票C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广发新经济混合C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010113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广发研究精选股票C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广发研究精选股票A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广发医药健康混合C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010110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广发医药健康混合A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广发恒通六个月持有期混合C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广发恒通六个月持有期混合A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广发聚瑞混合C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广发聚丰混合C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广发沪港深新起点股票C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广发制造业精选混合C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010022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广发消费品精选混合C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010021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广发优企精选灵活配置混合C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009957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009956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009955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广发鑫裕灵活配置混合C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009952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009951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009897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广发港股通成长精选股票C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009896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广发港股通成长精选股票A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009888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广发稳健优选六个月持有期混合C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009887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广发稳健优选六个月持有期混合A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009881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广发中证医疗ETF联接（LOF）C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009609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广发中证500指数增强C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009608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广发中证500指数增强A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009532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广发景明中短债债券E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009526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广发聚荣一年持有期混合C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009525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广发聚荣一年持有期混合A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009472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广发深证100ETF联接C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009326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广发稳健增长混合C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009322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广发锐意进取3个月持有期混合（FOF）C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009314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广发双擎升级混合C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009267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广发双债添利债券E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广发医疗保健股票C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广发恒隆一年持有期混合C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广发恒隆一年持有期混合A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广发小盘成长混合（LOF）C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广发招享混合A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广发品质回报混合C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009119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广发品质回报混合A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008987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广发上海金ETF联接C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008986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广发上海金ETF联接A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008903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广发科技先锋混合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008705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广发高股息优享混合C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008704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广发高股息优享混合A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广发科技创新混合A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广发养老目标日期2040三年持有期混合（FOF）A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008608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广发汇浦三年定期开放债券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广发汇择纯债一年定期开放债券C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广发汇择纯债一年定期开放债券A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008604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广发稳安灵活配置混合C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008483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广发上海清算所0-4年央企80债券指数C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008482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广发上海清算所0-4年央企80债券指数A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008421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广发招泰混合C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008420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广发招泰混合A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008366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广发汇明一年定期开放债券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008363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广发民丰一年定期开放债券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008362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广发汇成一年定期开放债券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008297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广发价值优势混合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008296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广发汇利一年定期开放债券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008273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广发优质生活混合A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008161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广发汇达纯债3个月定期开放债券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008130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广发汇优66个月定期开放债券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008127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广发趋势优选灵活配置混合C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008099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广发价值领先混合A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007904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广发锐意进取3个月持有期混合（FOF）A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007848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广发聚宝混合C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007785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广发中证央企创新驱动ETF联接C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007784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广发中证央企创新驱动ETF联接A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007778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广发景富纯债债券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007750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广发优势增长股票</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007668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广发养老目标日期2035三年持有期混合（FOF）A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007598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广发民玉纯债债券A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007396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广发景辉纯债债券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广发汇阳三个月定期开放债券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广发均衡价值混合A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广发中债农发行债券总指数C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广发中债农发行债券总指数A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广发睿享稳健增利混合A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广发养老目标日期2050五年持有期混合（FOF）A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007249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广发均衡养老目标三年持有期混合（FOF）A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007235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广发聚利债券（LOF）C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广发中证A100ETF联接基金C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007135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广发中证A100ETF联接基金A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006999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广发景兴中短债债券C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006998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广发景兴中短债债券A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006970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广发景利纯债债券A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006871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广发景和中短债债券C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006870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广发景和中短债债券A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006869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广发政策性金融债债券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006780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广发稳健策略混合A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006680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广发道琼斯美国石油开发与生产指数（QDII-LOF）美元现汇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006679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广发道琼斯美国石油开发与生产指数（QDII-LOF）美元现汇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006673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广发招财短债债券C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006672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广发招财短债债券A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006671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广发消费升级股票</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006670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广发景秀纯债债券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006595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广发港股通优质增长混合A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006592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广发景明中短债债券C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006591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广发景明中短债债券A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006552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广发汇兴3个月定期开放债券A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006504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广发汇承定期开放债券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广发中证1000ETF联接C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广发中证1000ETF联接A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广发中债1-3年国开债指数C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广发中债1-3年国开债指数A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广发可转债债券C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广发可转债债券A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广发纳指100ETF联接美元（QDII）C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006479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广发纳指100ETF联接人民币（QDII）C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006378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广发汇宏6个月定期开放债券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006377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广发趋势动力灵活配置混合A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006298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广发稳健养老目标一年持有混合（FOF）A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006141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广发集嘉债券C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006140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广发集嘉债券A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006137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广发汇立定期开放债券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广发估值优势混合A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006021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广发沪深300指数增强C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006020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广发沪深300指数增强A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005917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广发汇誉3个月定期开放债券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005911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广发双擎升级混合A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005910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广发龙头优选灵活配置混合A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005778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广发汇元纯债定期开放债券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005777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广发科技动力股票</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005745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广发汇康定期开放债券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005693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广发中证军工ETF联接基金C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005647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广发汇佳定期开放债券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005644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广发沪港深行业龙头混合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005624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广发中债1-3年农发行债券指数C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005623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广发中债1-3年农发行债券指数A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005598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广发中小盘精选混合A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005402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广发资源优选股票A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005310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广发电子信息传媒产业精选股票A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005234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广发汇吉3个月定期开放债券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005233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广发睿毅领先混合A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005225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广发量化多因子灵活配置混合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005224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广发中证基建工程ETF联接C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005223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广发中证基建工程ETF联接A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005107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广发添利交易型货币B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005092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广发货币C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005064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广发中证全指家用电器ETF联接C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005063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广发中证全指家用电器ETF联接A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004997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广发高端制造股票A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004996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广发恒生中型股指数（LOF）C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004995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广发品牌消费股票A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广发中证全指建筑材料指数C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广发中证全指建筑材料指数A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广发中证全指汽车指数C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广发中证全指汽车指数A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广发价值回报混合C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广发价值回报混合A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004851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广发医疗保健股票A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004796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广发钱袋子货币E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004753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广发中证传媒ETF联接基金C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004752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广发中证传媒ETF联接基金A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004751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广发鑫和灵活配置混合C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004750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广发鑫和灵活配置混合A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004387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广发汇安18个月定期开放债券C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004386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广发汇安18个月定期开放债券A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004243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广发道琼斯美国石油开发与生产指数（QDII-LOF）C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004119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广发创新驱动灵活配置混合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004028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广发景源纯债债券C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004027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广发景源纯债债券A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004022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广发汇富一年定期开放债券 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004021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广发汇富一年定期开放债券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004020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广发景祥纯债债券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003819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广发景华纯债债券A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003766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003765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广发创业板ETF联接基金A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003746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广发汇瑞3个月定期开放债券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003745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广发多元新兴股票</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003377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广发中债7-10年国开债指数C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003376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广发中债7-10年国开债指数A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003281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广发活期宝货币B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003223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广发景丰纯债债券A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003040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广发集富纯债债券C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003039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广发集富纯债债券A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003038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广发集瑞债券C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003037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广发集瑞债券A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003017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广发中证军工ETF联接基金A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002987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广发沪深300ETF联接C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002984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广发中证环保产业ETF联接基金C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002982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广发中证养老产业指数C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广发中证全指金融地产ETF联接基金C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002978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广发中证全指医药卫生ETF联接基金C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广发中证全指可选消费ETF联接基金C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广发中证全指信息技术ETF联接基金C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002943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广发多因子灵活配置混合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002939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广发创新升级灵活配置混合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广发集源债券C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广发集源债券A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002903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广发中证500ETF联接（LOF）C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002865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广发安泽短债债券C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002864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广发安泽短债债券A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002802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广发成长智选混合A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002712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广发集丰债券C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002711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广发集丰债券A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002637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广发集裕债券C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002636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广发集裕债券A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002624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广发优企精选灵活配置混合A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002622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广发稳裕混合A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002446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广发利鑫灵活配置混合A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002295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广发稳安灵活配置混合A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002183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广发天天红货币市场基金B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002136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广发鑫源灵活配置混合C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广发鑫源灵活配置混合A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广发鑫裕灵活配置混合A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广发鑫益灵活配置混合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广发鑫享灵活配置混合A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002128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广发鑫惠纯债定期开放债券</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广发新兴成长灵活配置混合A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002124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广发新兴产业精选灵活配置混合A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002121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广发沪港深新起点股票A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002120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广发安悦回报灵活配置混合A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广发安盈灵活配置混合C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广发安盈灵活配置混合A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广发安享灵活配置混合C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002116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广发安享灵活配置混合A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002026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广发聚盛灵活配置混合C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002025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广发聚盛灵活配置混合A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广发沪港深新机遇股票</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001763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广发多策略灵活配置混合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001762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广发安宏回报灵活配置混合C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001761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广发安宏回报灵活配置混合A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广发百发大数据策略精选灵活配置混合E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001741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广发百发大数据策略精选灵活配置混合A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001735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广发新锐智选混合E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广发新锐智选混合A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001732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广发百发大数据策略价值灵活配置混合E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001731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广发百发大数据策略价值灵活配置混合A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001469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广发中证全指金融地产ETF联接基金A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001468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广发改革先锋灵活配置混合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001356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广发聚泰混合C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001355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广发聚泰混合A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广发聚宝混合A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广发中证全指医药卫生ETF联接基金A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001134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广发天天利货币E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001133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广发中证全指可选消费ETF联接基金A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001116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广发聚安混合C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001115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广发聚安混合A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001093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广发纳斯达克生物科技指数美元（QDII）A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001092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广发纳斯达克生物科技指数人民币（QDII）A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001064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广发中证环保产业ETF联接基金A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000992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广发对冲套利定开发起式</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000968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广发养老指数发起式A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000942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广发中证全指信息技术ETF发起式联接A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中高风险(R4)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000906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广发全球精选股票（QDII）A 美元现汇</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000827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广发中证百度百发策略100指数E</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000826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广发中证百度百发策略100指数A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000748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广发活期宝货币A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000747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广发逆向策略灵活配置混合A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000567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广发聚祥灵活配置混合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000550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广发新动力混合A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000529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广发竞争优势混合A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000509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广发钱袋子货币A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000477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广发主题领先灵活配置混合A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000476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广发天天利货币B</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000475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广发天天利货币A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000389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广发天天红货币市场基金A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低风险(R1)</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000370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广发全球医疗保健指数（QDII）美元A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000369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广发全球医疗保健指数（QDII）人民币A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广发亚太中高收益债券（QDII）美元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000274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广发亚太中高收益债券（QDII）人民币 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000268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广发集利一年定期开放债券C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广发集利一年定期开放债券A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000215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广发趋势优选灵活配置混合A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000214</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广发成长优选混合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000180</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广发美国房地产指数（QDII）美元A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000179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广发美国房地产指数（QDII）人民币A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000167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广发聚优灵活配置混合A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000119</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广发聚鑫债券C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000118</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广发聚鑫债券A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lastRenderedPageBreak/>
              <w:t>000117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广发轮动配置混合</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000055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广发纳指100ETF联接美元（QDII）A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000037</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广发景宁纯债债券A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027206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广发优势企业混合（QDII）C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027205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广发优势企业混合（QDII）A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中风险(R3)</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027176</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广发悦泰多元稳健三个月持有混合（ETF-FOF）C</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r w:rsidR="003E3455" w:rsidRPr="003E3455" w:rsidTr="003E3455">
        <w:trPr>
          <w:tblCellSpacing w:w="15" w:type="dxa"/>
        </w:trPr>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027175</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广发悦泰多元稳健三个月持有混合（ETF-FOF）A</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中低风险(R2)</w:t>
            </w:r>
          </w:p>
        </w:tc>
        <w:tc>
          <w:tcPr>
            <w:tcW w:w="0" w:type="auto"/>
            <w:vAlign w:val="center"/>
            <w:hideMark/>
          </w:tcPr>
          <w:p w:rsidR="003E3455" w:rsidRPr="003E3455" w:rsidRDefault="003E3455" w:rsidP="003E3455">
            <w:pPr>
              <w:widowControl/>
              <w:jc w:val="left"/>
              <w:rPr>
                <w:rFonts w:ascii="宋体" w:eastAsia="宋体" w:hAnsi="宋体" w:cs="宋体"/>
                <w:kern w:val="0"/>
                <w:sz w:val="24"/>
                <w:szCs w:val="24"/>
              </w:rPr>
            </w:pPr>
            <w:r w:rsidRPr="003E3455">
              <w:rPr>
                <w:rFonts w:ascii="宋体" w:eastAsia="宋体" w:hAnsi="宋体" w:cs="宋体"/>
                <w:kern w:val="0"/>
                <w:sz w:val="24"/>
                <w:szCs w:val="24"/>
              </w:rPr>
              <w:t>2026-04-30</w:t>
            </w:r>
          </w:p>
        </w:tc>
      </w:tr>
    </w:tbl>
    <w:p w:rsidR="00F32DF5" w:rsidRPr="00721DC5" w:rsidRDefault="00F32DF5" w:rsidP="00721DC5"/>
    <w:sectPr w:rsidR="00F32DF5" w:rsidRPr="00721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0D" w:rsidRDefault="00AD090D" w:rsidP="00721DC5">
      <w:r>
        <w:separator/>
      </w:r>
    </w:p>
  </w:endnote>
  <w:endnote w:type="continuationSeparator" w:id="0">
    <w:p w:rsidR="00AD090D" w:rsidRDefault="00AD090D"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0D" w:rsidRDefault="00AD090D" w:rsidP="00721DC5">
      <w:r>
        <w:separator/>
      </w:r>
    </w:p>
  </w:footnote>
  <w:footnote w:type="continuationSeparator" w:id="0">
    <w:p w:rsidR="00AD090D" w:rsidRDefault="00AD090D" w:rsidP="00721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EF"/>
    <w:rsid w:val="0026231A"/>
    <w:rsid w:val="003E3455"/>
    <w:rsid w:val="00721DC5"/>
    <w:rsid w:val="007D5DD1"/>
    <w:rsid w:val="00AD090D"/>
    <w:rsid w:val="00C213EF"/>
    <w:rsid w:val="00DF413F"/>
    <w:rsid w:val="00F3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0EF4D"/>
  <w15:chartTrackingRefBased/>
  <w15:docId w15:val="{B5D9E4E3-E10F-453A-9E08-26B4D07C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21DC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721D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D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1DC5"/>
    <w:rPr>
      <w:sz w:val="18"/>
      <w:szCs w:val="18"/>
    </w:rPr>
  </w:style>
  <w:style w:type="paragraph" w:styleId="a5">
    <w:name w:val="footer"/>
    <w:basedOn w:val="a"/>
    <w:link w:val="a6"/>
    <w:uiPriority w:val="99"/>
    <w:unhideWhenUsed/>
    <w:rsid w:val="00721DC5"/>
    <w:pPr>
      <w:tabs>
        <w:tab w:val="center" w:pos="4153"/>
        <w:tab w:val="right" w:pos="8306"/>
      </w:tabs>
      <w:snapToGrid w:val="0"/>
      <w:jc w:val="left"/>
    </w:pPr>
    <w:rPr>
      <w:sz w:val="18"/>
      <w:szCs w:val="18"/>
    </w:rPr>
  </w:style>
  <w:style w:type="character" w:customStyle="1" w:styleId="a6">
    <w:name w:val="页脚 字符"/>
    <w:basedOn w:val="a0"/>
    <w:link w:val="a5"/>
    <w:uiPriority w:val="99"/>
    <w:rsid w:val="00721DC5"/>
    <w:rPr>
      <w:sz w:val="18"/>
      <w:szCs w:val="18"/>
    </w:rPr>
  </w:style>
  <w:style w:type="character" w:customStyle="1" w:styleId="20">
    <w:name w:val="标题 2 字符"/>
    <w:basedOn w:val="a0"/>
    <w:link w:val="2"/>
    <w:uiPriority w:val="9"/>
    <w:rsid w:val="00721DC5"/>
    <w:rPr>
      <w:rFonts w:ascii="宋体" w:eastAsia="宋体" w:hAnsi="宋体" w:cs="宋体"/>
      <w:b/>
      <w:bCs/>
      <w:kern w:val="0"/>
      <w:sz w:val="36"/>
      <w:szCs w:val="36"/>
    </w:rPr>
  </w:style>
  <w:style w:type="character" w:customStyle="1" w:styleId="30">
    <w:name w:val="标题 3 字符"/>
    <w:basedOn w:val="a0"/>
    <w:link w:val="3"/>
    <w:uiPriority w:val="9"/>
    <w:rsid w:val="00721DC5"/>
    <w:rPr>
      <w:rFonts w:ascii="宋体" w:eastAsia="宋体" w:hAnsi="宋体" w:cs="宋体"/>
      <w:b/>
      <w:bCs/>
      <w:kern w:val="0"/>
      <w:sz w:val="27"/>
      <w:szCs w:val="27"/>
    </w:rPr>
  </w:style>
  <w:style w:type="character" w:styleId="a7">
    <w:name w:val="Hyperlink"/>
    <w:basedOn w:val="a0"/>
    <w:uiPriority w:val="99"/>
    <w:semiHidden/>
    <w:unhideWhenUsed/>
    <w:rsid w:val="00721DC5"/>
    <w:rPr>
      <w:color w:val="0000FF"/>
      <w:u w:val="single"/>
    </w:rPr>
  </w:style>
  <w:style w:type="paragraph" w:styleId="a8">
    <w:name w:val="Normal (Web)"/>
    <w:basedOn w:val="a"/>
    <w:uiPriority w:val="99"/>
    <w:semiHidden/>
    <w:unhideWhenUsed/>
    <w:rsid w:val="00721DC5"/>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721DC5"/>
    <w:pPr>
      <w:widowControl/>
      <w:spacing w:before="100" w:beforeAutospacing="1" w:after="100" w:afterAutospacing="1"/>
      <w:jc w:val="left"/>
    </w:pPr>
    <w:rPr>
      <w:rFonts w:ascii="宋体" w:eastAsia="宋体" w:hAnsi="宋体" w:cs="宋体"/>
      <w:kern w:val="0"/>
      <w:sz w:val="24"/>
      <w:szCs w:val="24"/>
    </w:rPr>
  </w:style>
  <w:style w:type="paragraph" w:customStyle="1" w:styleId="xl16">
    <w:name w:val="xl16"/>
    <w:basedOn w:val="a"/>
    <w:rsid w:val="00721D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7">
    <w:name w:val="xl17"/>
    <w:basedOn w:val="a"/>
    <w:rsid w:val="00721D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styleId="a9">
    <w:name w:val="FollowedHyperlink"/>
    <w:basedOn w:val="a0"/>
    <w:uiPriority w:val="99"/>
    <w:semiHidden/>
    <w:unhideWhenUsed/>
    <w:rsid w:val="00721D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735895">
      <w:bodyDiv w:val="1"/>
      <w:marLeft w:val="0"/>
      <w:marRight w:val="0"/>
      <w:marTop w:val="0"/>
      <w:marBottom w:val="0"/>
      <w:divBdr>
        <w:top w:val="none" w:sz="0" w:space="0" w:color="auto"/>
        <w:left w:val="none" w:sz="0" w:space="0" w:color="auto"/>
        <w:bottom w:val="none" w:sz="0" w:space="0" w:color="auto"/>
        <w:right w:val="none" w:sz="0" w:space="0" w:color="auto"/>
      </w:divBdr>
    </w:div>
    <w:div w:id="1335692721">
      <w:bodyDiv w:val="1"/>
      <w:marLeft w:val="0"/>
      <w:marRight w:val="0"/>
      <w:marTop w:val="0"/>
      <w:marBottom w:val="0"/>
      <w:divBdr>
        <w:top w:val="none" w:sz="0" w:space="0" w:color="auto"/>
        <w:left w:val="none" w:sz="0" w:space="0" w:color="auto"/>
        <w:bottom w:val="none" w:sz="0" w:space="0" w:color="auto"/>
        <w:right w:val="none" w:sz="0" w:space="0" w:color="auto"/>
      </w:divBdr>
      <w:divsChild>
        <w:div w:id="2079983635">
          <w:marLeft w:val="0"/>
          <w:marRight w:val="0"/>
          <w:marTop w:val="0"/>
          <w:marBottom w:val="0"/>
          <w:divBdr>
            <w:top w:val="none" w:sz="0" w:space="0" w:color="auto"/>
            <w:left w:val="none" w:sz="0" w:space="0" w:color="auto"/>
            <w:bottom w:val="none" w:sz="0" w:space="0" w:color="auto"/>
            <w:right w:val="none" w:sz="0" w:space="0" w:color="auto"/>
          </w:divBdr>
        </w:div>
      </w:divsChild>
    </w:div>
    <w:div w:id="1746341209">
      <w:bodyDiv w:val="1"/>
      <w:marLeft w:val="0"/>
      <w:marRight w:val="0"/>
      <w:marTop w:val="0"/>
      <w:marBottom w:val="0"/>
      <w:divBdr>
        <w:top w:val="none" w:sz="0" w:space="0" w:color="auto"/>
        <w:left w:val="none" w:sz="0" w:space="0" w:color="auto"/>
        <w:bottom w:val="none" w:sz="0" w:space="0" w:color="auto"/>
        <w:right w:val="none" w:sz="0" w:space="0" w:color="auto"/>
      </w:divBdr>
      <w:divsChild>
        <w:div w:id="1119648262">
          <w:marLeft w:val="0"/>
          <w:marRight w:val="0"/>
          <w:marTop w:val="150"/>
          <w:marBottom w:val="150"/>
          <w:divBdr>
            <w:top w:val="none" w:sz="0" w:space="0" w:color="auto"/>
            <w:left w:val="none" w:sz="0" w:space="0" w:color="auto"/>
            <w:bottom w:val="none" w:sz="0" w:space="0" w:color="auto"/>
            <w:right w:val="none" w:sz="0" w:space="0" w:color="auto"/>
          </w:divBdr>
          <w:divsChild>
            <w:div w:id="846284490">
              <w:marLeft w:val="0"/>
              <w:marRight w:val="0"/>
              <w:marTop w:val="150"/>
              <w:marBottom w:val="150"/>
              <w:divBdr>
                <w:top w:val="none" w:sz="0" w:space="0" w:color="auto"/>
                <w:left w:val="none" w:sz="0" w:space="0" w:color="auto"/>
                <w:bottom w:val="none" w:sz="0" w:space="0" w:color="auto"/>
                <w:right w:val="none" w:sz="0" w:space="0" w:color="auto"/>
              </w:divBdr>
              <w:divsChild>
                <w:div w:id="10033187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nwww.gffunds.com.cn/gfjjnew/jjgg/lsgg/202605/W020260529378930932736.xlsx?filename=%E5%B9%BF%E5%8F%91%E5%9F%BA%E9%87%91%E7%AE%A1%E7%90%86%E6%9C%89%E9%99%90%E5%85%AC%E5%8F%B8%E4%BA%A7%E5%93%81%E9%80%82%E5%BD%93%E6%80%A7%E9%A3%8E%E9%99%A9%E7%AD%89%E7%BA%A7%E5%88%92%E5%88%86%E4%B8%80%E8%A7%88%E8%A1%A8.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ffunds.com.cn/jjgg/lsgg/202605/t20260529_426254.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6100</Words>
  <Characters>34776</Characters>
  <Application>Microsoft Office Word</Application>
  <DocSecurity>0</DocSecurity>
  <Lines>289</Lines>
  <Paragraphs>81</Paragraphs>
  <ScaleCrop>false</ScaleCrop>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朱家慧</dc:creator>
  <cp:keywords/>
  <dc:description/>
  <cp:lastModifiedBy>朱家慧</cp:lastModifiedBy>
  <cp:revision>4</cp:revision>
  <dcterms:created xsi:type="dcterms:W3CDTF">2026-05-29T05:16:00Z</dcterms:created>
  <dcterms:modified xsi:type="dcterms:W3CDTF">2026-05-29T05:26:00Z</dcterms:modified>
</cp:coreProperties>
</file>