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668" w:rsidRPr="00322668" w:rsidRDefault="003C1949" w:rsidP="00322668">
      <w:pPr>
        <w:spacing w:before="100" w:beforeAutospacing="1" w:after="100" w:afterAutospacing="1" w:line="360" w:lineRule="auto"/>
        <w:jc w:val="center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易方达基金管理有限公司</w:t>
      </w:r>
      <w:r w:rsidR="005D6270">
        <w:rPr>
          <w:rFonts w:ascii="宋体" w:eastAsia="宋体" w:hAnsi="宋体" w:cs="Times New Roman" w:hint="eastAsia"/>
          <w:b/>
          <w:sz w:val="28"/>
          <w:szCs w:val="28"/>
        </w:rPr>
        <w:t>关于</w:t>
      </w:r>
      <w:r>
        <w:rPr>
          <w:rFonts w:ascii="宋体" w:eastAsia="宋体" w:hAnsi="宋体" w:cs="Times New Roman" w:hint="eastAsia"/>
          <w:b/>
          <w:sz w:val="28"/>
          <w:szCs w:val="28"/>
        </w:rPr>
        <w:t>旗下部分</w:t>
      </w:r>
      <w:r w:rsidR="00820A1E">
        <w:rPr>
          <w:rFonts w:ascii="宋体" w:eastAsia="宋体" w:hAnsi="宋体" w:cs="Times New Roman" w:hint="eastAsia"/>
          <w:b/>
          <w:sz w:val="28"/>
          <w:szCs w:val="28"/>
        </w:rPr>
        <w:t>货币市场</w:t>
      </w:r>
      <w:r w:rsidR="00CF35FF">
        <w:rPr>
          <w:rFonts w:ascii="宋体" w:eastAsia="宋体" w:hAnsi="宋体" w:cs="Times New Roman" w:hint="eastAsia"/>
          <w:b/>
          <w:sz w:val="28"/>
          <w:szCs w:val="28"/>
        </w:rPr>
        <w:t>基金</w:t>
      </w:r>
      <w:r w:rsidR="00AC7D81">
        <w:rPr>
          <w:rFonts w:ascii="宋体" w:eastAsia="宋体" w:hAnsi="宋体" w:cs="Times New Roman" w:hint="eastAsia"/>
          <w:b/>
          <w:sz w:val="28"/>
          <w:szCs w:val="28"/>
        </w:rPr>
        <w:t>在</w:t>
      </w:r>
      <w:r w:rsidR="004121D6">
        <w:rPr>
          <w:rFonts w:ascii="宋体" w:eastAsia="宋体" w:hAnsi="宋体" w:cs="Times New Roman" w:hint="eastAsia"/>
          <w:b/>
          <w:sz w:val="28"/>
          <w:szCs w:val="28"/>
        </w:rPr>
        <w:t>部分销售机构</w:t>
      </w:r>
      <w:r w:rsidR="00820A1E">
        <w:rPr>
          <w:rFonts w:ascii="宋体" w:eastAsia="宋体" w:hAnsi="宋体" w:cs="Times New Roman" w:hint="eastAsia"/>
          <w:b/>
          <w:sz w:val="28"/>
          <w:szCs w:val="28"/>
        </w:rPr>
        <w:t>暂停申购、定期定额投资业务</w:t>
      </w:r>
      <w:r w:rsidR="00AC7D81" w:rsidRPr="00322668">
        <w:rPr>
          <w:rFonts w:ascii="宋体" w:eastAsia="宋体" w:hAnsi="宋体" w:cs="Times New Roman" w:hint="eastAsia"/>
          <w:b/>
          <w:sz w:val="28"/>
          <w:szCs w:val="28"/>
        </w:rPr>
        <w:t>的公告</w:t>
      </w:r>
    </w:p>
    <w:p w:rsidR="00322668" w:rsidRPr="00E77AF9" w:rsidRDefault="003C1949" w:rsidP="002A42E2">
      <w:pPr>
        <w:spacing w:line="360" w:lineRule="auto"/>
        <w:ind w:firstLineChars="200" w:firstLine="420"/>
        <w:contextualSpacing/>
        <w:rPr>
          <w:rFonts w:ascii="宋体" w:eastAsia="宋体" w:hAnsi="宋体" w:cs="Times New Roman"/>
          <w:szCs w:val="21"/>
        </w:rPr>
      </w:pPr>
      <w:r w:rsidRPr="00556B23">
        <w:rPr>
          <w:rFonts w:ascii="宋体" w:eastAsia="宋体" w:hAnsi="宋体" w:cs="Times New Roman" w:hint="eastAsia"/>
          <w:szCs w:val="21"/>
        </w:rPr>
        <w:t>根据法律法规和基金合同的相关规定，</w:t>
      </w:r>
      <w:r w:rsidR="003832BE" w:rsidRPr="00556B23">
        <w:rPr>
          <w:rFonts w:ascii="宋体" w:eastAsia="宋体" w:hAnsi="宋体" w:cs="Times New Roman" w:hint="eastAsia"/>
          <w:szCs w:val="21"/>
        </w:rPr>
        <w:t>易方达基金管理有限公司（以下简称“本公司”）</w:t>
      </w:r>
      <w:r w:rsidR="003832BE" w:rsidRPr="00E77AF9">
        <w:rPr>
          <w:rFonts w:ascii="宋体" w:eastAsia="宋体" w:hAnsi="宋体" w:cs="Times New Roman" w:hint="eastAsia"/>
          <w:szCs w:val="21"/>
        </w:rPr>
        <w:t>决定自</w:t>
      </w:r>
      <w:r w:rsidR="003832BE" w:rsidRPr="00E77AF9">
        <w:rPr>
          <w:rFonts w:ascii="宋体" w:eastAsia="宋体" w:hAnsi="宋体" w:cs="Times New Roman"/>
          <w:szCs w:val="21"/>
        </w:rPr>
        <w:t>202</w:t>
      </w:r>
      <w:r w:rsidR="00820A1E" w:rsidRPr="00E77AF9">
        <w:rPr>
          <w:rFonts w:ascii="宋体" w:eastAsia="宋体" w:hAnsi="宋体" w:cs="Times New Roman"/>
          <w:szCs w:val="21"/>
        </w:rPr>
        <w:t>6</w:t>
      </w:r>
      <w:r w:rsidRPr="00E77AF9">
        <w:rPr>
          <w:rFonts w:ascii="宋体" w:eastAsia="宋体" w:hAnsi="宋体" w:cs="Times New Roman" w:hint="eastAsia"/>
          <w:szCs w:val="21"/>
        </w:rPr>
        <w:t>年</w:t>
      </w:r>
      <w:r w:rsidR="00820A1E" w:rsidRPr="00E77AF9">
        <w:rPr>
          <w:rFonts w:ascii="宋体" w:eastAsia="宋体" w:hAnsi="宋体" w:cs="Times New Roman"/>
          <w:szCs w:val="21"/>
        </w:rPr>
        <w:t>5</w:t>
      </w:r>
      <w:r w:rsidRPr="00E77AF9">
        <w:rPr>
          <w:rFonts w:ascii="宋体" w:eastAsia="宋体" w:hAnsi="宋体" w:cs="Times New Roman" w:hint="eastAsia"/>
          <w:szCs w:val="21"/>
        </w:rPr>
        <w:t>月</w:t>
      </w:r>
      <w:r w:rsidR="00820A1E" w:rsidRPr="00E77AF9">
        <w:rPr>
          <w:rFonts w:ascii="宋体" w:eastAsia="宋体" w:hAnsi="宋体" w:cs="Times New Roman"/>
          <w:szCs w:val="21"/>
        </w:rPr>
        <w:t>25</w:t>
      </w:r>
      <w:r w:rsidRPr="00E77AF9">
        <w:rPr>
          <w:rFonts w:ascii="宋体" w:eastAsia="宋体" w:hAnsi="宋体" w:cs="Times New Roman" w:hint="eastAsia"/>
          <w:szCs w:val="21"/>
        </w:rPr>
        <w:t>日起</w:t>
      </w:r>
      <w:r w:rsidR="00E77AF9">
        <w:rPr>
          <w:rFonts w:ascii="宋体" w:eastAsia="宋体" w:hAnsi="宋体" w:cs="Times New Roman" w:hint="eastAsia"/>
          <w:szCs w:val="21"/>
        </w:rPr>
        <w:t>，暂停</w:t>
      </w:r>
      <w:r w:rsidRPr="00E77AF9">
        <w:rPr>
          <w:rFonts w:ascii="宋体" w:eastAsia="宋体" w:hAnsi="宋体" w:cs="Times New Roman" w:hint="eastAsia"/>
          <w:szCs w:val="21"/>
        </w:rPr>
        <w:t>旗下部分</w:t>
      </w:r>
      <w:r w:rsidR="00820A1E" w:rsidRPr="00E77AF9">
        <w:rPr>
          <w:rFonts w:ascii="宋体" w:eastAsia="宋体" w:hAnsi="宋体" w:cs="Times New Roman" w:hint="eastAsia"/>
          <w:szCs w:val="21"/>
        </w:rPr>
        <w:t>货币市场</w:t>
      </w:r>
      <w:r w:rsidRPr="00E77AF9">
        <w:rPr>
          <w:rFonts w:ascii="宋体" w:eastAsia="宋体" w:hAnsi="宋体" w:cs="Times New Roman" w:hint="eastAsia"/>
          <w:szCs w:val="21"/>
        </w:rPr>
        <w:t>基金</w:t>
      </w:r>
      <w:r w:rsidR="003832BE" w:rsidRPr="00E77AF9">
        <w:rPr>
          <w:rFonts w:ascii="宋体" w:eastAsia="宋体" w:hAnsi="宋体" w:cs="Times New Roman" w:hint="eastAsia"/>
          <w:szCs w:val="21"/>
        </w:rPr>
        <w:t>在</w:t>
      </w:r>
      <w:r w:rsidR="00820A1E" w:rsidRPr="00E77AF9">
        <w:rPr>
          <w:rFonts w:ascii="宋体" w:eastAsia="宋体" w:hAnsi="宋体" w:cs="Times New Roman" w:hint="eastAsia"/>
          <w:szCs w:val="21"/>
        </w:rPr>
        <w:t>部分</w:t>
      </w:r>
      <w:r w:rsidR="001424A8" w:rsidRPr="00E77AF9">
        <w:rPr>
          <w:rFonts w:ascii="宋体" w:eastAsia="宋体" w:hAnsi="宋体" w:cs="Times New Roman" w:hint="eastAsia"/>
          <w:szCs w:val="21"/>
        </w:rPr>
        <w:t>销售机构</w:t>
      </w:r>
      <w:r w:rsidR="00E77AF9">
        <w:rPr>
          <w:rFonts w:ascii="宋体" w:eastAsia="宋体" w:hAnsi="宋体" w:cs="Times New Roman" w:hint="eastAsia"/>
          <w:szCs w:val="21"/>
        </w:rPr>
        <w:t>的</w:t>
      </w:r>
      <w:r w:rsidR="003832BE" w:rsidRPr="00E77AF9">
        <w:rPr>
          <w:rFonts w:ascii="宋体" w:eastAsia="宋体" w:hAnsi="宋体" w:cs="Times New Roman" w:hint="eastAsia"/>
          <w:szCs w:val="21"/>
        </w:rPr>
        <w:t>申购、定期定额投资业务</w:t>
      </w:r>
      <w:r w:rsidR="00D05A1C">
        <w:rPr>
          <w:rFonts w:ascii="宋体" w:eastAsia="宋体" w:hAnsi="宋体" w:cs="Times New Roman" w:hint="eastAsia"/>
          <w:szCs w:val="21"/>
        </w:rPr>
        <w:t>（</w:t>
      </w:r>
      <w:r w:rsidR="004F64C6">
        <w:rPr>
          <w:rFonts w:ascii="宋体" w:eastAsia="宋体" w:hAnsi="宋体" w:cs="Times New Roman"/>
          <w:szCs w:val="21"/>
        </w:rPr>
        <w:t>涉及销售机构和</w:t>
      </w:r>
      <w:r w:rsidR="00D05A1C" w:rsidRPr="00E77AF9">
        <w:rPr>
          <w:rFonts w:ascii="宋体" w:eastAsia="宋体" w:hAnsi="宋体" w:cs="Times New Roman"/>
          <w:szCs w:val="21"/>
        </w:rPr>
        <w:t>基金信息</w:t>
      </w:r>
      <w:r w:rsidR="00D05A1C">
        <w:rPr>
          <w:rFonts w:ascii="宋体" w:eastAsia="宋体" w:hAnsi="宋体" w:cs="Times New Roman"/>
          <w:szCs w:val="21"/>
        </w:rPr>
        <w:t>详见附件</w:t>
      </w:r>
      <w:r w:rsidR="00D05A1C">
        <w:rPr>
          <w:rFonts w:ascii="宋体" w:eastAsia="宋体" w:hAnsi="宋体" w:cs="Times New Roman" w:hint="eastAsia"/>
          <w:szCs w:val="21"/>
        </w:rPr>
        <w:t>）</w:t>
      </w:r>
      <w:r w:rsidRPr="00E77AF9">
        <w:rPr>
          <w:rFonts w:ascii="宋体" w:eastAsia="宋体" w:hAnsi="宋体" w:cs="Times New Roman" w:hint="eastAsia"/>
          <w:szCs w:val="21"/>
        </w:rPr>
        <w:t>，赎回</w:t>
      </w:r>
      <w:r w:rsidR="00776B57" w:rsidRPr="00E77AF9">
        <w:rPr>
          <w:rFonts w:ascii="宋体" w:eastAsia="宋体" w:hAnsi="宋体" w:cs="Times New Roman" w:hint="eastAsia"/>
          <w:szCs w:val="21"/>
        </w:rPr>
        <w:t>和</w:t>
      </w:r>
      <w:r w:rsidR="00776B57" w:rsidRPr="00E77AF9">
        <w:rPr>
          <w:rFonts w:ascii="宋体" w:eastAsia="宋体" w:hAnsi="宋体" w:cs="Times New Roman"/>
          <w:szCs w:val="21"/>
        </w:rPr>
        <w:t>转换</w:t>
      </w:r>
      <w:r w:rsidR="00776B57" w:rsidRPr="00E77AF9">
        <w:rPr>
          <w:rFonts w:ascii="宋体" w:eastAsia="宋体" w:hAnsi="宋体" w:cs="Times New Roman" w:hint="eastAsia"/>
          <w:szCs w:val="21"/>
        </w:rPr>
        <w:t>等</w:t>
      </w:r>
      <w:r w:rsidRPr="00E77AF9">
        <w:rPr>
          <w:rFonts w:ascii="宋体" w:eastAsia="宋体" w:hAnsi="宋体" w:cs="Times New Roman" w:hint="eastAsia"/>
          <w:szCs w:val="21"/>
        </w:rPr>
        <w:t>业务仍正常办理</w:t>
      </w:r>
      <w:r w:rsidR="00D05A1C">
        <w:rPr>
          <w:rFonts w:ascii="宋体" w:eastAsia="宋体" w:hAnsi="宋体" w:cs="Times New Roman"/>
          <w:szCs w:val="21"/>
        </w:rPr>
        <w:t>。</w:t>
      </w:r>
      <w:r w:rsidR="00E2395B" w:rsidRPr="00E2395B">
        <w:rPr>
          <w:rFonts w:ascii="宋体" w:eastAsia="宋体" w:hAnsi="宋体" w:cs="Times New Roman" w:hint="eastAsia"/>
          <w:szCs w:val="21"/>
        </w:rPr>
        <w:t>如投资者于2026年5月22日15点之后申购、定期定额投资相关货币市场基金,将适用上述安排。</w:t>
      </w:r>
    </w:p>
    <w:p w:rsidR="00556B23" w:rsidRPr="00E77AF9" w:rsidRDefault="003C1949" w:rsidP="00322668">
      <w:pPr>
        <w:spacing w:line="360" w:lineRule="auto"/>
        <w:ind w:firstLineChars="200" w:firstLine="420"/>
        <w:contextualSpacing/>
        <w:jc w:val="left"/>
        <w:rPr>
          <w:rFonts w:ascii="宋体" w:eastAsia="宋体" w:hAnsi="宋体"/>
          <w:szCs w:val="21"/>
        </w:rPr>
      </w:pPr>
      <w:r w:rsidRPr="00E77AF9">
        <w:rPr>
          <w:rFonts w:ascii="宋体" w:eastAsia="宋体" w:hAnsi="宋体"/>
          <w:szCs w:val="21"/>
        </w:rPr>
        <w:t>投资者可通过相关</w:t>
      </w:r>
      <w:r w:rsidR="00E77AF9" w:rsidRPr="00E77AF9">
        <w:rPr>
          <w:rFonts w:ascii="宋体" w:eastAsia="宋体" w:hAnsi="宋体"/>
          <w:szCs w:val="21"/>
        </w:rPr>
        <w:t>基金</w:t>
      </w:r>
      <w:r w:rsidRPr="00E77AF9">
        <w:rPr>
          <w:rFonts w:ascii="宋体" w:eastAsia="宋体" w:hAnsi="宋体"/>
          <w:szCs w:val="21"/>
        </w:rPr>
        <w:t>销售机构及以下途径咨询有关详情：</w:t>
      </w:r>
    </w:p>
    <w:p w:rsidR="00556B23" w:rsidRPr="00E77AF9" w:rsidRDefault="003C1949" w:rsidP="00322668">
      <w:pPr>
        <w:spacing w:line="360" w:lineRule="auto"/>
        <w:ind w:firstLineChars="200" w:firstLine="420"/>
        <w:contextualSpacing/>
        <w:jc w:val="left"/>
        <w:rPr>
          <w:rFonts w:ascii="宋体" w:eastAsia="宋体" w:hAnsi="宋体"/>
          <w:szCs w:val="21"/>
        </w:rPr>
      </w:pPr>
      <w:r w:rsidRPr="00E77AF9">
        <w:rPr>
          <w:rFonts w:ascii="宋体" w:eastAsia="宋体" w:hAnsi="宋体" w:hint="eastAsia"/>
          <w:szCs w:val="21"/>
        </w:rPr>
        <w:t>1</w:t>
      </w:r>
      <w:r w:rsidRPr="00E77AF9">
        <w:rPr>
          <w:rFonts w:ascii="宋体" w:eastAsia="宋体" w:hAnsi="宋体"/>
          <w:szCs w:val="21"/>
        </w:rPr>
        <w:t>.</w:t>
      </w:r>
      <w:r w:rsidRPr="00E77AF9">
        <w:rPr>
          <w:rFonts w:ascii="宋体" w:eastAsia="宋体" w:hAnsi="宋体"/>
          <w:szCs w:val="21"/>
        </w:rPr>
        <w:t>易方达基金管理有限公司网站：</w:t>
      </w:r>
      <w:r w:rsidRPr="00E77AF9">
        <w:rPr>
          <w:rFonts w:ascii="宋体" w:eastAsia="宋体" w:hAnsi="宋体"/>
          <w:szCs w:val="21"/>
        </w:rPr>
        <w:t>www.efunds.com.cn</w:t>
      </w:r>
    </w:p>
    <w:p w:rsidR="00556B23" w:rsidRPr="00556B23" w:rsidRDefault="003C1949" w:rsidP="00322668">
      <w:pPr>
        <w:spacing w:line="360" w:lineRule="auto"/>
        <w:ind w:firstLineChars="200" w:firstLine="420"/>
        <w:contextualSpacing/>
        <w:jc w:val="left"/>
        <w:rPr>
          <w:rFonts w:ascii="宋体" w:eastAsia="宋体" w:hAnsi="宋体" w:cs="Times New Roman"/>
          <w:szCs w:val="21"/>
        </w:rPr>
      </w:pPr>
      <w:r w:rsidRPr="00E77AF9">
        <w:rPr>
          <w:rFonts w:ascii="宋体" w:eastAsia="宋体" w:hAnsi="宋体"/>
          <w:szCs w:val="21"/>
        </w:rPr>
        <w:t>2.</w:t>
      </w:r>
      <w:r w:rsidRPr="00E77AF9">
        <w:rPr>
          <w:rFonts w:ascii="宋体" w:eastAsia="宋体" w:hAnsi="宋体"/>
          <w:szCs w:val="21"/>
        </w:rPr>
        <w:t>易方达基金管理有限公司客户服务热线：</w:t>
      </w:r>
      <w:r w:rsidRPr="00E77AF9">
        <w:rPr>
          <w:rFonts w:ascii="宋体" w:eastAsia="宋体" w:hAnsi="宋体"/>
          <w:szCs w:val="21"/>
        </w:rPr>
        <w:t>4008818088</w:t>
      </w:r>
    </w:p>
    <w:p w:rsidR="00322668" w:rsidRPr="00E77AF9" w:rsidRDefault="003C1949" w:rsidP="002A42E2">
      <w:pPr>
        <w:spacing w:line="360" w:lineRule="auto"/>
        <w:ind w:firstLineChars="200" w:firstLine="420"/>
        <w:contextualSpacing/>
        <w:rPr>
          <w:rFonts w:ascii="宋体" w:eastAsia="宋体" w:hAnsi="宋体" w:cs="Times New Roman"/>
          <w:szCs w:val="21"/>
        </w:rPr>
      </w:pPr>
      <w:r w:rsidRPr="00E77AF9">
        <w:rPr>
          <w:rFonts w:ascii="宋体" w:eastAsia="宋体" w:hAnsi="宋体" w:cs="Times New Roman" w:hint="eastAsia"/>
          <w:szCs w:val="21"/>
        </w:rPr>
        <w:t>风险提示：</w:t>
      </w:r>
      <w:r w:rsidR="00E77AF9" w:rsidRPr="005E5467">
        <w:rPr>
          <w:rFonts w:ascii="宋体" w:eastAsia="宋体" w:hAnsi="宋体" w:cs="Times New Roman" w:hint="eastAsia"/>
          <w:szCs w:val="21"/>
        </w:rPr>
        <w:t>基金管理人承诺以诚实信用、勤勉尽责的原则管理和运用基金资产，但不保证基金一定盈利，也不保证最低收益。</w:t>
      </w:r>
      <w:r w:rsidR="008A70FA" w:rsidRPr="009B015C">
        <w:rPr>
          <w:rFonts w:ascii="宋体" w:eastAsia="宋体" w:hAnsi="宋体" w:cs="Times New Roman" w:hint="eastAsia"/>
          <w:szCs w:val="21"/>
        </w:rPr>
        <w:t>投资者购买货币市场基金并不等于将资金作为存</w:t>
      </w:r>
      <w:r w:rsidR="008A70FA">
        <w:rPr>
          <w:rFonts w:ascii="宋体" w:eastAsia="宋体" w:hAnsi="宋体" w:cs="Times New Roman" w:hint="eastAsia"/>
          <w:szCs w:val="21"/>
        </w:rPr>
        <w:t>款存</w:t>
      </w:r>
      <w:r w:rsidR="008A70FA" w:rsidRPr="009B015C">
        <w:rPr>
          <w:rFonts w:ascii="宋体" w:eastAsia="宋体" w:hAnsi="宋体" w:cs="Times New Roman" w:hint="eastAsia"/>
          <w:szCs w:val="21"/>
        </w:rPr>
        <w:t>放在银行或者存款类金融机构。</w:t>
      </w:r>
    </w:p>
    <w:p w:rsidR="00322668" w:rsidRPr="00E77AF9" w:rsidRDefault="003C1949" w:rsidP="002A42E2">
      <w:pPr>
        <w:spacing w:line="360" w:lineRule="auto"/>
        <w:ind w:firstLineChars="200" w:firstLine="420"/>
        <w:contextualSpacing/>
        <w:rPr>
          <w:rFonts w:ascii="宋体" w:eastAsia="宋体" w:hAnsi="宋体" w:cs="Times New Roman"/>
          <w:szCs w:val="21"/>
        </w:rPr>
      </w:pPr>
      <w:r w:rsidRPr="00E77AF9">
        <w:rPr>
          <w:rFonts w:ascii="宋体" w:eastAsia="宋体" w:hAnsi="宋体" w:cs="Times New Roman" w:hint="eastAsia"/>
          <w:szCs w:val="21"/>
        </w:rPr>
        <w:t>特此公告。</w:t>
      </w:r>
    </w:p>
    <w:p w:rsidR="00322668" w:rsidRPr="00E77AF9" w:rsidRDefault="003C1949" w:rsidP="00322668">
      <w:pPr>
        <w:spacing w:line="360" w:lineRule="auto"/>
        <w:ind w:leftChars="200" w:left="420" w:firstLineChars="200" w:firstLine="420"/>
        <w:contextualSpacing/>
        <w:jc w:val="right"/>
        <w:rPr>
          <w:rStyle w:val="HTML"/>
          <w:rFonts w:cs="Arial Unicode MS"/>
          <w:sz w:val="21"/>
          <w:szCs w:val="21"/>
        </w:rPr>
      </w:pPr>
      <w:r w:rsidRPr="00E77AF9">
        <w:rPr>
          <w:rStyle w:val="HTML"/>
          <w:rFonts w:cs="Arial Unicode MS" w:hint="eastAsia"/>
          <w:sz w:val="21"/>
          <w:szCs w:val="21"/>
        </w:rPr>
        <w:t>易方达基金管理有限公司</w:t>
      </w:r>
    </w:p>
    <w:p w:rsidR="00806AAE" w:rsidRDefault="003C1949" w:rsidP="00322668">
      <w:pPr>
        <w:spacing w:line="360" w:lineRule="auto"/>
        <w:ind w:leftChars="200" w:left="420" w:firstLineChars="200" w:firstLine="420"/>
        <w:contextualSpacing/>
        <w:jc w:val="right"/>
        <w:rPr>
          <w:rStyle w:val="HTML"/>
          <w:rFonts w:cs="Arial Unicode MS"/>
          <w:sz w:val="21"/>
          <w:szCs w:val="21"/>
        </w:rPr>
      </w:pPr>
      <w:r w:rsidRPr="00E77AF9">
        <w:rPr>
          <w:rStyle w:val="HTML"/>
          <w:rFonts w:cs="Arial Unicode MS"/>
          <w:sz w:val="21"/>
          <w:szCs w:val="21"/>
        </w:rPr>
        <w:t>202</w:t>
      </w:r>
      <w:r w:rsidR="00556B23" w:rsidRPr="00E77AF9">
        <w:rPr>
          <w:rStyle w:val="HTML"/>
          <w:rFonts w:cs="Arial Unicode MS"/>
          <w:sz w:val="21"/>
          <w:szCs w:val="21"/>
        </w:rPr>
        <w:t>6</w:t>
      </w:r>
      <w:r w:rsidR="00322668" w:rsidRPr="00E77AF9">
        <w:rPr>
          <w:rStyle w:val="HTML"/>
          <w:rFonts w:cs="Arial Unicode MS" w:hint="eastAsia"/>
          <w:sz w:val="21"/>
          <w:szCs w:val="21"/>
        </w:rPr>
        <w:t>年</w:t>
      </w:r>
      <w:r w:rsidR="00556B23" w:rsidRPr="00E77AF9">
        <w:rPr>
          <w:rStyle w:val="HTML"/>
          <w:rFonts w:cs="Arial Unicode MS"/>
          <w:sz w:val="21"/>
          <w:szCs w:val="21"/>
        </w:rPr>
        <w:t>5</w:t>
      </w:r>
      <w:r w:rsidR="00322668" w:rsidRPr="00E77AF9">
        <w:rPr>
          <w:rStyle w:val="HTML"/>
          <w:rFonts w:cs="Arial Unicode MS" w:hint="eastAsia"/>
          <w:sz w:val="21"/>
          <w:szCs w:val="21"/>
        </w:rPr>
        <w:t>月</w:t>
      </w:r>
      <w:r w:rsidR="00CD4E54">
        <w:rPr>
          <w:rStyle w:val="HTML"/>
          <w:rFonts w:cs="Arial Unicode MS"/>
          <w:sz w:val="21"/>
          <w:szCs w:val="21"/>
        </w:rPr>
        <w:t>22</w:t>
      </w:r>
      <w:r w:rsidR="00322668" w:rsidRPr="00E77AF9">
        <w:rPr>
          <w:rStyle w:val="HTML"/>
          <w:rFonts w:cs="Arial Unicode MS" w:hint="eastAsia"/>
          <w:sz w:val="21"/>
          <w:szCs w:val="21"/>
        </w:rPr>
        <w:t>日</w:t>
      </w:r>
    </w:p>
    <w:p w:rsidR="00D87249" w:rsidRDefault="00D87249" w:rsidP="00E853E0">
      <w:pPr>
        <w:spacing w:line="360" w:lineRule="auto"/>
        <w:contextualSpacing/>
        <w:jc w:val="left"/>
        <w:rPr>
          <w:rStyle w:val="HTML"/>
          <w:rFonts w:cs="Arial Unicode MS"/>
          <w:sz w:val="21"/>
          <w:szCs w:val="21"/>
        </w:rPr>
      </w:pPr>
    </w:p>
    <w:p w:rsidR="00D87249" w:rsidRDefault="00D87249" w:rsidP="00E853E0">
      <w:pPr>
        <w:spacing w:line="360" w:lineRule="auto"/>
        <w:contextualSpacing/>
        <w:jc w:val="left"/>
        <w:rPr>
          <w:rStyle w:val="HTML"/>
          <w:rFonts w:cs="Arial Unicode MS"/>
          <w:sz w:val="21"/>
          <w:szCs w:val="21"/>
        </w:rPr>
      </w:pPr>
    </w:p>
    <w:p w:rsidR="00D87249" w:rsidRDefault="00D87249" w:rsidP="00E853E0">
      <w:pPr>
        <w:spacing w:line="360" w:lineRule="auto"/>
        <w:contextualSpacing/>
        <w:jc w:val="left"/>
        <w:rPr>
          <w:rStyle w:val="HTML"/>
          <w:rFonts w:cs="Arial Unicode MS"/>
          <w:sz w:val="21"/>
          <w:szCs w:val="21"/>
        </w:rPr>
      </w:pPr>
    </w:p>
    <w:p w:rsidR="00D87249" w:rsidRDefault="00D87249" w:rsidP="00E853E0">
      <w:pPr>
        <w:spacing w:line="360" w:lineRule="auto"/>
        <w:contextualSpacing/>
        <w:jc w:val="left"/>
        <w:rPr>
          <w:rStyle w:val="HTML"/>
          <w:rFonts w:cs="Arial Unicode MS"/>
          <w:sz w:val="21"/>
          <w:szCs w:val="21"/>
        </w:rPr>
      </w:pPr>
    </w:p>
    <w:p w:rsidR="00D87249" w:rsidRDefault="00D87249" w:rsidP="00E853E0">
      <w:pPr>
        <w:spacing w:line="360" w:lineRule="auto"/>
        <w:contextualSpacing/>
        <w:jc w:val="left"/>
        <w:rPr>
          <w:rStyle w:val="HTML"/>
          <w:rFonts w:cs="Arial Unicode MS"/>
          <w:sz w:val="21"/>
          <w:szCs w:val="21"/>
        </w:rPr>
      </w:pPr>
    </w:p>
    <w:p w:rsidR="00D87249" w:rsidRDefault="00D87249" w:rsidP="00E853E0">
      <w:pPr>
        <w:spacing w:line="360" w:lineRule="auto"/>
        <w:contextualSpacing/>
        <w:jc w:val="left"/>
        <w:rPr>
          <w:rStyle w:val="HTML"/>
          <w:rFonts w:cs="Arial Unicode MS"/>
          <w:sz w:val="21"/>
          <w:szCs w:val="21"/>
        </w:rPr>
      </w:pPr>
    </w:p>
    <w:p w:rsidR="00D87249" w:rsidRDefault="00D87249" w:rsidP="00E853E0">
      <w:pPr>
        <w:spacing w:line="360" w:lineRule="auto"/>
        <w:contextualSpacing/>
        <w:jc w:val="left"/>
        <w:rPr>
          <w:rStyle w:val="HTML"/>
          <w:rFonts w:cs="Arial Unicode MS"/>
          <w:sz w:val="21"/>
          <w:szCs w:val="21"/>
        </w:rPr>
      </w:pPr>
    </w:p>
    <w:p w:rsidR="00D87249" w:rsidRDefault="00D87249" w:rsidP="00E853E0">
      <w:pPr>
        <w:spacing w:line="360" w:lineRule="auto"/>
        <w:contextualSpacing/>
        <w:jc w:val="left"/>
        <w:rPr>
          <w:rStyle w:val="HTML"/>
          <w:rFonts w:cs="Arial Unicode MS"/>
          <w:sz w:val="21"/>
          <w:szCs w:val="21"/>
        </w:rPr>
      </w:pPr>
    </w:p>
    <w:p w:rsidR="00D87249" w:rsidRDefault="00D87249" w:rsidP="00E853E0">
      <w:pPr>
        <w:spacing w:line="360" w:lineRule="auto"/>
        <w:contextualSpacing/>
        <w:jc w:val="left"/>
        <w:rPr>
          <w:rStyle w:val="HTML"/>
          <w:rFonts w:cs="Arial Unicode MS"/>
          <w:sz w:val="21"/>
          <w:szCs w:val="21"/>
        </w:rPr>
      </w:pPr>
    </w:p>
    <w:p w:rsidR="00D87249" w:rsidRDefault="00D87249" w:rsidP="00E853E0">
      <w:pPr>
        <w:spacing w:line="360" w:lineRule="auto"/>
        <w:contextualSpacing/>
        <w:jc w:val="left"/>
        <w:rPr>
          <w:rStyle w:val="HTML"/>
          <w:rFonts w:cs="Arial Unicode MS"/>
          <w:sz w:val="21"/>
          <w:szCs w:val="21"/>
        </w:rPr>
      </w:pPr>
    </w:p>
    <w:p w:rsidR="00D87249" w:rsidRDefault="00D87249" w:rsidP="00E853E0">
      <w:pPr>
        <w:spacing w:line="360" w:lineRule="auto"/>
        <w:contextualSpacing/>
        <w:jc w:val="left"/>
        <w:rPr>
          <w:rStyle w:val="HTML"/>
          <w:rFonts w:cs="Arial Unicode MS"/>
          <w:sz w:val="21"/>
          <w:szCs w:val="21"/>
        </w:rPr>
      </w:pPr>
    </w:p>
    <w:p w:rsidR="00D87249" w:rsidRDefault="00D87249" w:rsidP="00E853E0">
      <w:pPr>
        <w:spacing w:line="360" w:lineRule="auto"/>
        <w:contextualSpacing/>
        <w:jc w:val="left"/>
        <w:rPr>
          <w:rStyle w:val="HTML"/>
          <w:rFonts w:cs="Arial Unicode MS"/>
          <w:sz w:val="21"/>
          <w:szCs w:val="21"/>
        </w:rPr>
      </w:pPr>
      <w:bookmarkStart w:id="0" w:name="_GoBack"/>
      <w:bookmarkEnd w:id="0"/>
    </w:p>
    <w:p w:rsidR="00D05A1C" w:rsidRDefault="00D05A1C" w:rsidP="00E853E0">
      <w:pPr>
        <w:spacing w:line="360" w:lineRule="auto"/>
        <w:contextualSpacing/>
        <w:jc w:val="left"/>
        <w:rPr>
          <w:rStyle w:val="HTML"/>
          <w:rFonts w:cs="Arial Unicode MS"/>
          <w:sz w:val="21"/>
          <w:szCs w:val="21"/>
        </w:rPr>
      </w:pPr>
    </w:p>
    <w:p w:rsidR="00D05A1C" w:rsidRDefault="00D05A1C" w:rsidP="00E853E0">
      <w:pPr>
        <w:spacing w:line="360" w:lineRule="auto"/>
        <w:contextualSpacing/>
        <w:jc w:val="left"/>
        <w:rPr>
          <w:rStyle w:val="HTML"/>
          <w:rFonts w:cs="Arial Unicode MS"/>
          <w:sz w:val="21"/>
          <w:szCs w:val="21"/>
        </w:rPr>
      </w:pPr>
    </w:p>
    <w:p w:rsidR="00D87249" w:rsidRDefault="003C1949" w:rsidP="00E853E0">
      <w:pPr>
        <w:spacing w:line="360" w:lineRule="auto"/>
        <w:contextualSpacing/>
        <w:jc w:val="left"/>
        <w:rPr>
          <w:rStyle w:val="HTML"/>
          <w:rFonts w:cs="Arial Unicode MS"/>
          <w:sz w:val="21"/>
          <w:szCs w:val="21"/>
        </w:rPr>
      </w:pPr>
      <w:r>
        <w:rPr>
          <w:rStyle w:val="HTML"/>
          <w:rFonts w:cs="Arial Unicode MS"/>
          <w:sz w:val="21"/>
          <w:szCs w:val="21"/>
        </w:rPr>
        <w:lastRenderedPageBreak/>
        <w:t>附件：</w:t>
      </w:r>
    </w:p>
    <w:tbl>
      <w:tblPr>
        <w:tblW w:w="82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9"/>
        <w:gridCol w:w="1134"/>
        <w:gridCol w:w="3119"/>
      </w:tblGrid>
      <w:tr w:rsidR="008F00C6" w:rsidTr="00E853E0">
        <w:trPr>
          <w:trHeight w:val="288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销售机构名称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基金代码</w:t>
            </w: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基金名称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 w:val="restart"/>
            <w:shd w:val="clear" w:color="auto" w:fill="auto"/>
            <w:noWrap/>
            <w:vAlign w:val="center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长春农村商业银行股份有限公司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000009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易方达天天理财货币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110006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110016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长沙银行股份有限公司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000009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易方达天天理财货币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 w:val="restart"/>
            <w:shd w:val="clear" w:color="auto" w:fill="auto"/>
            <w:noWrap/>
            <w:vAlign w:val="center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成都农村商业银行股份有限公司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000009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易方达天天理财货币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000010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易方达天天理财货币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000647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易方达财富快线货币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000648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易方达财富快线货币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110006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110016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成都银行股份有限公司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000647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易方达财富快线货币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 w:val="restart"/>
            <w:shd w:val="clear" w:color="auto" w:fill="auto"/>
            <w:noWrap/>
            <w:vAlign w:val="center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大连银行股份有限公司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000009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易方达天天理财货币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000010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易方达天天理财货币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000647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易方达财富快线货币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000648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易方达财富快线货币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000704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易方达天天增利货币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000705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易方达天天增利货币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000789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易方达龙宝货币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000790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易方达龙宝货币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110006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110016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 w:val="restart"/>
            <w:shd w:val="clear" w:color="auto" w:fill="auto"/>
            <w:noWrap/>
            <w:vAlign w:val="center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佛山农村商业银行股份有限公司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000009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易方达天天理财货币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000010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易方达天天理财货币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000647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易方达财富快线货币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000648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易方达财富快线货币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000704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易方达天天增利货币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000705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易方达天天增利货币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000789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易方达龙宝货币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000790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易方达龙宝货币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 w:val="restart"/>
            <w:shd w:val="clear" w:color="auto" w:fill="auto"/>
            <w:noWrap/>
            <w:vAlign w:val="center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福建海峡银行股份有限公司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000009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易方达天天理财货币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000010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易方达天天理财货币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000647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易方达财富快线货币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000648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易方达财富快线货币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 w:val="restart"/>
            <w:shd w:val="clear" w:color="auto" w:fill="auto"/>
            <w:noWrap/>
            <w:vAlign w:val="center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广东华润银行股份有限公司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000009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易方达天天理财货币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000010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易方达天天理财货币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000647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易方达财富快线货币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000648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易方达财富快线货币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110006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110016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广东华兴银行股份有限公司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000009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易方达天天理财货币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 w:val="restart"/>
            <w:shd w:val="clear" w:color="auto" w:fill="auto"/>
            <w:noWrap/>
            <w:vAlign w:val="center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广东南粤银行股份有限公司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000009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易方达天天理财货币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000010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易方达天天理财货币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110006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110016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 w:val="restart"/>
            <w:shd w:val="clear" w:color="auto" w:fill="auto"/>
            <w:noWrap/>
            <w:vAlign w:val="center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广东顺德农村商业银行股份有限公司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000009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易方达天天理财货币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000010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易方达天天理财货币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000647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易方达财富快线货币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000648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易方达财富快线货币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000704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易方达天天增利货币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110006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110016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 w:val="restart"/>
            <w:shd w:val="clear" w:color="auto" w:fill="auto"/>
            <w:noWrap/>
            <w:vAlign w:val="center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广州农村商业银行股份有限公司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000009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易方达天天理财货币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000010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易方达天天理财货币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000647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易方达财富快线货币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000648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易方达财富快线货币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000789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易方达龙宝货币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000790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易方达龙宝货币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110006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110016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 w:val="restart"/>
            <w:shd w:val="clear" w:color="auto" w:fill="auto"/>
            <w:noWrap/>
            <w:vAlign w:val="center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广州银行股份有限公司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000705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易方达天天增利货币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110006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110016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 w:val="restart"/>
            <w:shd w:val="clear" w:color="auto" w:fill="auto"/>
            <w:noWrap/>
            <w:vAlign w:val="center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贵阳银行股份有限公司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000009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易方达天天理财货币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000010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易方达天天理财货币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000647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易方达财富快线货币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000648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易方达财富快线货币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000789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易方达龙宝货币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000790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易方达龙宝货币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110006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110016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 w:val="restart"/>
            <w:shd w:val="clear" w:color="auto" w:fill="auto"/>
            <w:noWrap/>
            <w:vAlign w:val="center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河北银行股份有限公司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000009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易方达天天理财货币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000010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易方达天天理财货币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000647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易方达财富快线货币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000648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易方达财富快线货币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000704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易方达天天增利货币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000705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易方达天天增利货币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000789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易方达龙宝货币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000790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易方达龙宝货币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110006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110016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 w:val="restart"/>
            <w:shd w:val="clear" w:color="auto" w:fill="auto"/>
            <w:noWrap/>
            <w:vAlign w:val="center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嘉兴银行股份有限公司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000009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易方达天天理财货币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000010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易方达天天理财货币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000647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易方达财富快线货币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000648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易方达财富快线货币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000704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易方达天天增利货币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000705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易方达天天增利货币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000789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易方达龙宝货币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000790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易方达龙宝货币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110006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110016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 w:val="restart"/>
            <w:shd w:val="clear" w:color="auto" w:fill="auto"/>
            <w:noWrap/>
            <w:vAlign w:val="center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江苏江南农村商业银行股份有限公司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000009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易方达天天理财货币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000010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易方达天天理财货币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000647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易方达财富快线货币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000648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易方达财富快线货币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000704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易方达天天增利货币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000705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易方达天天增利货币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000789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易方达龙宝货币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000790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易方达龙宝货币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110006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110016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江苏江阴农村商业银行股份有限公司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000009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易方达天天理财货币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000789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易方达龙宝货币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 w:val="restart"/>
            <w:shd w:val="clear" w:color="auto" w:fill="auto"/>
            <w:noWrap/>
            <w:vAlign w:val="center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江苏紫金农村商业银行股份有限公司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000647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易方达财富快线货币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000648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易方达财富快线货币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000704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易方达天天增利货币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000705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易方达天天增利货币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 w:val="restart"/>
            <w:shd w:val="clear" w:color="auto" w:fill="auto"/>
            <w:noWrap/>
            <w:vAlign w:val="center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江西银行股份有限公司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000009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易方达天天理财货币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000010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易方达天天理财货币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000647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易方达财富快线货币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000648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易方达财富快线货币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000704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易方达天天增利货币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000705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易方达天天增利货币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000789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易方达龙宝货币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000790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易方达龙宝货币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110006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110016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 w:val="restart"/>
            <w:shd w:val="clear" w:color="auto" w:fill="auto"/>
            <w:noWrap/>
            <w:vAlign w:val="center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金华银行股份有限公司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000009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易方达天天理财货币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000010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易方达天天理财货币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000647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易方达财富快线货币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000648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易方达财富快线货币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110006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110016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 w:val="restart"/>
            <w:shd w:val="clear" w:color="auto" w:fill="auto"/>
            <w:noWrap/>
            <w:vAlign w:val="center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晋商银行股份有限公司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000009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易方达天天理财货币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000010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易方达天天理财货币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000704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易方达天天增利货币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000789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易方达龙宝货币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000790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易方达龙宝货币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110006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110016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 w:val="restart"/>
            <w:shd w:val="clear" w:color="auto" w:fill="auto"/>
            <w:noWrap/>
            <w:vAlign w:val="center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龙江银行股份有限公司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000009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易方达天天理财货币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000010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易方达天天理财货币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000647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易方达财富快线货币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000648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易方达财富快线货币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000704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易方达天天增利货币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000705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易方达天天增利货币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000789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易方达龙宝货币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000790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易方达龙宝货币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110006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110016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 w:val="restart"/>
            <w:shd w:val="clear" w:color="auto" w:fill="auto"/>
            <w:noWrap/>
            <w:vAlign w:val="center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宁夏银行股份有限公司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000009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易方达天天理财货币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000010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易方达天天理财货币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110006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110016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 w:val="restart"/>
            <w:shd w:val="clear" w:color="auto" w:fill="auto"/>
            <w:noWrap/>
            <w:vAlign w:val="center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青岛农村商业银行股份有限公司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000009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易方达天天理财货币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000010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易方达天天理财货币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 w:val="restart"/>
            <w:shd w:val="clear" w:color="auto" w:fill="auto"/>
            <w:noWrap/>
            <w:vAlign w:val="center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唐山银行股份有限公司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000009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易方达天天理财货币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000010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易方达天天理财货币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 w:val="restart"/>
            <w:shd w:val="clear" w:color="auto" w:fill="auto"/>
            <w:noWrap/>
            <w:vAlign w:val="center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天津农村商业银行股份有限公司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000009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易方达天天理财货币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000704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易方达天天增利货币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 w:val="restart"/>
            <w:shd w:val="clear" w:color="auto" w:fill="auto"/>
            <w:noWrap/>
            <w:vAlign w:val="center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武汉农村商业银行股份有限公司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000009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易方达天天理财货币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000010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易方达天天理财货币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110006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110016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 w:val="restart"/>
            <w:shd w:val="clear" w:color="auto" w:fill="auto"/>
            <w:noWrap/>
            <w:vAlign w:val="center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营口银行股份有限公司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000647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易方达财富快线货币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000648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易方达财富快线货币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000704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易方达天天增利货币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000705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易方达天天增利货币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000789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易方达龙宝货币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000790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易方达龙宝货币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110006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110016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 w:val="restart"/>
            <w:shd w:val="clear" w:color="auto" w:fill="auto"/>
            <w:noWrap/>
            <w:vAlign w:val="center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郑州银行股份有限公司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000009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易方达天天理财货币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110006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110016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 w:val="restart"/>
            <w:shd w:val="clear" w:color="auto" w:fill="auto"/>
            <w:noWrap/>
            <w:vAlign w:val="center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重庆银行股份有限公司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000009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易方达天天理财货币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000010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易方达天天理财货币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000647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易方达财富快线货币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000648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易方达财富快线货币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000704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易方达天天增利货币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000705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易方达天天增利货币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110006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110016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 w:val="restart"/>
            <w:shd w:val="clear" w:color="auto" w:fill="auto"/>
            <w:noWrap/>
            <w:vAlign w:val="center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川财证券有限责任公司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000009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易方达天天理财货币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000647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易方达财富快线货币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000704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易方达天天增利货币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000789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易方达龙宝货币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110006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 w:val="restart"/>
            <w:shd w:val="clear" w:color="auto" w:fill="auto"/>
            <w:noWrap/>
            <w:vAlign w:val="center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北京虹点基金销售有限公司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000009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易方达天天理财货币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000010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易方达天天理财货币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000647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易方达财富快线货币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000648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易方达财富快线货币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000704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易方达天天增利货币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000705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易方达天天增利货币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000789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易方达龙宝货币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000790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易方达龙宝货币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110006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110016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 w:val="restart"/>
            <w:shd w:val="clear" w:color="auto" w:fill="auto"/>
            <w:noWrap/>
            <w:vAlign w:val="center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北京展恒基金销售股份有限公司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000009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易方达天天理财货币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000010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易方达天天理财货币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000647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易方达财富快线货币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000648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易方达财富快线货币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000704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易方达天天增利货币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000705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易方达天天增利货币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110006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110016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 w:val="restart"/>
            <w:shd w:val="clear" w:color="auto" w:fill="auto"/>
            <w:noWrap/>
            <w:vAlign w:val="center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江苏金百临投资咨询股份有限公司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000009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易方达天天理财货币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000010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易方达天天理财货币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000647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易方达财富快线货币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000648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易方达财富快线货币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000704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易方达天天增利货币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000705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易方达天天增利货币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000789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易方达龙宝货币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000790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易方达龙宝货币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110006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110016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 w:val="restart"/>
            <w:shd w:val="clear" w:color="auto" w:fill="auto"/>
            <w:noWrap/>
            <w:vAlign w:val="center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浦领基金销售有限公司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000009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易方达天天理财货币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000010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易方达天天理财货币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000647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易方达财富快线货币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000648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易方达财富快线货币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000789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易方达龙宝货币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000790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易方达龙宝货币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110006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110016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 w:val="restart"/>
            <w:shd w:val="clear" w:color="auto" w:fill="auto"/>
            <w:noWrap/>
            <w:vAlign w:val="center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深圳市金海九州基金销售有限公司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000009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易方达天天理财货币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000010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易方达天天理财货币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000647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易方达财富快线货币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000648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易方达财富快线货币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000704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易方达天天增利货币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000705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易方达天天增利货币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000789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易方达龙宝货币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000790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易方达龙宝货币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110006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A</w:t>
            </w:r>
          </w:p>
        </w:tc>
      </w:tr>
      <w:tr w:rsidR="008F00C6" w:rsidTr="00E853E0">
        <w:trPr>
          <w:trHeight w:val="288"/>
        </w:trPr>
        <w:tc>
          <w:tcPr>
            <w:tcW w:w="3969" w:type="dxa"/>
            <w:vMerge/>
            <w:vAlign w:val="center"/>
            <w:hideMark/>
          </w:tcPr>
          <w:p w:rsidR="00E853E0" w:rsidRPr="00E853E0" w:rsidRDefault="00E853E0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110016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853E0" w:rsidRPr="00E853E0" w:rsidRDefault="003C1949" w:rsidP="00E853E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易方达货币</w:t>
            </w:r>
            <w:r w:rsidRPr="00E853E0">
              <w:rPr>
                <w:rFonts w:ascii="宋体" w:eastAsia="宋体" w:hAnsi="宋体" w:cs="Arial" w:hint="eastAsia"/>
                <w:kern w:val="0"/>
                <w:sz w:val="22"/>
              </w:rPr>
              <w:t>B</w:t>
            </w:r>
          </w:p>
        </w:tc>
      </w:tr>
    </w:tbl>
    <w:p w:rsidR="00D87249" w:rsidRPr="001424A8" w:rsidRDefault="00D87249" w:rsidP="00E853E0">
      <w:pPr>
        <w:spacing w:line="360" w:lineRule="auto"/>
        <w:contextualSpacing/>
        <w:jc w:val="left"/>
        <w:rPr>
          <w:rStyle w:val="HTML"/>
          <w:rFonts w:cs="Arial Unicode MS"/>
          <w:sz w:val="21"/>
          <w:szCs w:val="21"/>
        </w:rPr>
      </w:pPr>
    </w:p>
    <w:sectPr w:rsidR="00D87249" w:rsidRPr="001424A8" w:rsidSect="00F62D13">
      <w:footerReference w:type="default" r:id="rId6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0C6" w:rsidRDefault="008F00C6" w:rsidP="008F00C6">
      <w:r>
        <w:separator/>
      </w:r>
    </w:p>
  </w:endnote>
  <w:endnote w:type="continuationSeparator" w:id="0">
    <w:p w:rsidR="008F00C6" w:rsidRDefault="008F00C6" w:rsidP="008F0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8298976"/>
      <w:docPartObj>
        <w:docPartGallery w:val="Page Numbers (Bottom of Page)"/>
        <w:docPartUnique/>
      </w:docPartObj>
    </w:sdtPr>
    <w:sdtContent>
      <w:p w:rsidR="000E295C" w:rsidRDefault="008F00C6">
        <w:pPr>
          <w:pStyle w:val="a4"/>
          <w:jc w:val="center"/>
        </w:pPr>
        <w:r>
          <w:fldChar w:fldCharType="begin"/>
        </w:r>
        <w:r w:rsidR="003C1949">
          <w:instrText>PAGE   \* MERGEFORMAT</w:instrText>
        </w:r>
        <w:r>
          <w:fldChar w:fldCharType="separate"/>
        </w:r>
        <w:r w:rsidR="003C1949" w:rsidRPr="003C1949">
          <w:rPr>
            <w:noProof/>
            <w:lang w:val="zh-CN"/>
          </w:rPr>
          <w:t>1</w:t>
        </w:r>
        <w:r>
          <w:fldChar w:fldCharType="end"/>
        </w:r>
      </w:p>
    </w:sdtContent>
  </w:sdt>
  <w:p w:rsidR="000E295C" w:rsidRDefault="000E295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0C6" w:rsidRDefault="008F00C6" w:rsidP="008F00C6">
      <w:r>
        <w:separator/>
      </w:r>
    </w:p>
  </w:footnote>
  <w:footnote w:type="continuationSeparator" w:id="0">
    <w:p w:rsidR="008F00C6" w:rsidRDefault="008F00C6" w:rsidP="008F00C6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卢春玲">
    <w15:presenceInfo w15:providerId="None" w15:userId="卢春玲"/>
  </w15:person>
  <w15:person w15:author="王洋洋">
    <w15:presenceInfo w15:providerId="None" w15:userId="王洋洋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4311"/>
    <w:rsid w:val="000E295C"/>
    <w:rsid w:val="000E62EA"/>
    <w:rsid w:val="001424A8"/>
    <w:rsid w:val="002078A3"/>
    <w:rsid w:val="00223B8C"/>
    <w:rsid w:val="00234CDB"/>
    <w:rsid w:val="002A42E2"/>
    <w:rsid w:val="00322668"/>
    <w:rsid w:val="00371CD3"/>
    <w:rsid w:val="003832BE"/>
    <w:rsid w:val="0038599E"/>
    <w:rsid w:val="003C1949"/>
    <w:rsid w:val="00400993"/>
    <w:rsid w:val="00401D00"/>
    <w:rsid w:val="004121D6"/>
    <w:rsid w:val="00442AF2"/>
    <w:rsid w:val="00474311"/>
    <w:rsid w:val="00485A9E"/>
    <w:rsid w:val="004F64C6"/>
    <w:rsid w:val="00516742"/>
    <w:rsid w:val="00556B23"/>
    <w:rsid w:val="005D5771"/>
    <w:rsid w:val="005D6270"/>
    <w:rsid w:val="005D7C4D"/>
    <w:rsid w:val="005E407D"/>
    <w:rsid w:val="005E5467"/>
    <w:rsid w:val="00632FC4"/>
    <w:rsid w:val="00676B07"/>
    <w:rsid w:val="00723A1D"/>
    <w:rsid w:val="0072433D"/>
    <w:rsid w:val="00764EC7"/>
    <w:rsid w:val="00776B57"/>
    <w:rsid w:val="007A499E"/>
    <w:rsid w:val="007B1314"/>
    <w:rsid w:val="007D36CF"/>
    <w:rsid w:val="00806AAE"/>
    <w:rsid w:val="00820A1E"/>
    <w:rsid w:val="00836E92"/>
    <w:rsid w:val="00840381"/>
    <w:rsid w:val="008A70FA"/>
    <w:rsid w:val="008B2866"/>
    <w:rsid w:val="008F00C6"/>
    <w:rsid w:val="00902A0A"/>
    <w:rsid w:val="009129FF"/>
    <w:rsid w:val="009B015C"/>
    <w:rsid w:val="009D2142"/>
    <w:rsid w:val="00A72FC3"/>
    <w:rsid w:val="00AA0A6E"/>
    <w:rsid w:val="00AC7D81"/>
    <w:rsid w:val="00B37223"/>
    <w:rsid w:val="00B41471"/>
    <w:rsid w:val="00CD4E54"/>
    <w:rsid w:val="00CF35FF"/>
    <w:rsid w:val="00D05A1C"/>
    <w:rsid w:val="00D54DD5"/>
    <w:rsid w:val="00D87249"/>
    <w:rsid w:val="00E018B6"/>
    <w:rsid w:val="00E2395B"/>
    <w:rsid w:val="00E51823"/>
    <w:rsid w:val="00E75C64"/>
    <w:rsid w:val="00E77AF9"/>
    <w:rsid w:val="00E812E0"/>
    <w:rsid w:val="00E853E0"/>
    <w:rsid w:val="00EA1CAD"/>
    <w:rsid w:val="00EC0C8E"/>
    <w:rsid w:val="00F36F2B"/>
    <w:rsid w:val="00F62D13"/>
    <w:rsid w:val="00FB0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ypewriter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0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26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26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26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2668"/>
    <w:rPr>
      <w:sz w:val="18"/>
      <w:szCs w:val="18"/>
    </w:rPr>
  </w:style>
  <w:style w:type="character" w:styleId="HTML">
    <w:name w:val="HTML Typewriter"/>
    <w:uiPriority w:val="99"/>
    <w:qFormat/>
    <w:rsid w:val="00322668"/>
    <w:rPr>
      <w:rFonts w:ascii="宋体" w:eastAsia="宋体" w:hAnsi="宋体" w:cs="宋体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776B5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76B57"/>
    <w:rPr>
      <w:sz w:val="18"/>
      <w:szCs w:val="18"/>
    </w:rPr>
  </w:style>
  <w:style w:type="paragraph" w:styleId="a6">
    <w:name w:val="List Paragraph"/>
    <w:basedOn w:val="a"/>
    <w:uiPriority w:val="34"/>
    <w:qFormat/>
    <w:rsid w:val="005D5771"/>
    <w:pPr>
      <w:ind w:firstLineChars="200" w:firstLine="420"/>
    </w:pPr>
  </w:style>
  <w:style w:type="table" w:styleId="a7">
    <w:name w:val="Table Grid"/>
    <w:basedOn w:val="a1"/>
    <w:uiPriority w:val="39"/>
    <w:rsid w:val="00E812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820A1E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820A1E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820A1E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820A1E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820A1E"/>
    <w:rPr>
      <w:b/>
      <w:bCs/>
    </w:rPr>
  </w:style>
  <w:style w:type="character" w:styleId="ab">
    <w:name w:val="Hyperlink"/>
    <w:basedOn w:val="a0"/>
    <w:uiPriority w:val="99"/>
    <w:unhideWhenUsed/>
    <w:rsid w:val="00556B23"/>
    <w:rPr>
      <w:color w:val="0563C1" w:themeColor="hyperlink"/>
      <w:u w:val="single"/>
    </w:rPr>
  </w:style>
  <w:style w:type="paragraph" w:styleId="ac">
    <w:name w:val="Revision"/>
    <w:hidden/>
    <w:uiPriority w:val="99"/>
    <w:semiHidden/>
    <w:rsid w:val="00D872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760</Words>
  <Characters>4332</Characters>
  <Application>Microsoft Office Word</Application>
  <DocSecurity>4</DocSecurity>
  <Lines>36</Lines>
  <Paragraphs>10</Paragraphs>
  <ScaleCrop>false</ScaleCrop>
  <Company/>
  <LinksUpToDate>false</LinksUpToDate>
  <CharactersWithSpaces>5082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2026-05-21T16:02:00Z</dcterms:created>
  <dcterms:modified xsi:type="dcterms:W3CDTF">2026-05-21T16:02:00Z</dcterms:modified>
</cp:coreProperties>
</file>