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FB" w:rsidRPr="001453BF" w:rsidRDefault="008046FB" w:rsidP="008046FB">
      <w:pPr>
        <w:tabs>
          <w:tab w:val="num" w:pos="720"/>
        </w:tabs>
        <w:spacing w:after="0" w:line="360" w:lineRule="auto"/>
        <w:jc w:val="center"/>
        <w:rPr>
          <w:rFonts w:ascii="等线" w:eastAsia="等线" w:hAnsi="等线" w:cs="Times New Roman"/>
          <w:b/>
          <w:sz w:val="26"/>
          <w:szCs w:val="26"/>
        </w:rPr>
      </w:pPr>
      <w:bookmarkStart w:id="0" w:name="_GoBack"/>
      <w:r w:rsidRPr="001453BF">
        <w:rPr>
          <w:rFonts w:ascii="等线" w:eastAsia="等线" w:hAnsi="等线" w:cs="Times New Roman" w:hint="eastAsia"/>
          <w:b/>
          <w:sz w:val="26"/>
          <w:szCs w:val="26"/>
        </w:rPr>
        <w:t>路博迈基金管理（中国）有限公司关于拟承接施罗德基金管理（中国）有限公司旗下部分公开募集证券投资基金的提示性公告</w:t>
      </w:r>
    </w:p>
    <w:bookmarkEnd w:id="0"/>
    <w:p w:rsidR="008046FB" w:rsidRPr="001453BF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 w:val="26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  <w:r w:rsidRPr="008046FB">
        <w:rPr>
          <w:rFonts w:ascii="等线" w:eastAsia="等线" w:hAnsi="等线" w:cs="Times New Roman" w:hint="eastAsia"/>
          <w:szCs w:val="26"/>
        </w:rPr>
        <w:t>结合公司实际情况，为更好地满足投资者需求，保护基金份额持有人的利益，路博迈基金管理（中国）有限公司（以下简称“本公司”）拟将施罗德基金管理（中国）有限公司旗下“施罗德恒享债券型证券投资基金”、“施罗德中国动力股票型证券投资基金”、“施罗德添源纯债债券型证券投资基金”的基金管理人变更为本公司。基金管理人变更的议案如经基金份额持有人大会审议通过，本公司拟同步承接相关变更基金的部分核心投资人员。</w:t>
      </w: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  <w:r w:rsidRPr="008046FB">
        <w:rPr>
          <w:rFonts w:ascii="等线" w:eastAsia="等线" w:hAnsi="等线" w:cs="Times New Roman" w:hint="eastAsia"/>
          <w:szCs w:val="26"/>
        </w:rPr>
        <w:t>此次相关基金管理业务的承接，基于路博迈集团对中国资本市场长期发展前景的持续看好，是路博迈集团深化中国业务布局的战略举措。</w:t>
      </w: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  <w:r w:rsidRPr="008046FB">
        <w:rPr>
          <w:rFonts w:ascii="等线" w:eastAsia="等线" w:hAnsi="等线" w:cs="Times New Roman" w:hint="eastAsia"/>
          <w:szCs w:val="26"/>
        </w:rPr>
        <w:t>本公司将与相关方密切配合，平稳完成后续工作，全力保障基金投资运作的连续性与稳定性，切实维护基金份额持有人的合法权益。</w:t>
      </w: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  <w:r w:rsidRPr="008046FB">
        <w:rPr>
          <w:rFonts w:ascii="等线" w:eastAsia="等线" w:hAnsi="等线" w:cs="Times New Roman" w:hint="eastAsia"/>
          <w:szCs w:val="26"/>
        </w:rPr>
        <w:t>本次变更将以完成基金变更注册、基金份额持有人大会审议通过为前提，后续本公司将按照法律法规、基金合同等进行公告，敬请投资者关注本公司网站和相关信息披露媒介。</w:t>
      </w: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rPr>
          <w:rFonts w:ascii="等线" w:eastAsia="等线" w:hAnsi="等线" w:cs="Times New Roman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  <w:r w:rsidRPr="008046FB">
        <w:rPr>
          <w:rFonts w:ascii="等线" w:eastAsia="等线" w:hAnsi="等线" w:cs="Times New Roman" w:hint="eastAsia"/>
          <w:szCs w:val="26"/>
        </w:rPr>
        <w:t>基金管理人承诺以诚实信用、勤勉尽责的原则管理和运用基金资产，但不保证基金一定盈利，也不保证最低收益。请充分了解基金的风险收益特征，审慎做出投资决定。</w:t>
      </w: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Cs w:val="26"/>
        </w:rPr>
      </w:pPr>
      <w:r w:rsidRPr="008046FB">
        <w:rPr>
          <w:rFonts w:ascii="等线" w:eastAsia="等线" w:hAnsi="等线" w:cs="Times New Roman" w:hint="eastAsia"/>
          <w:szCs w:val="26"/>
        </w:rPr>
        <w:t>特此公告。</w:t>
      </w: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rPr>
          <w:rFonts w:ascii="等线" w:eastAsia="等线" w:hAnsi="等线" w:cs="Times New Roman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right"/>
        <w:rPr>
          <w:rFonts w:ascii="等线" w:eastAsia="等线" w:hAnsi="等线" w:cs="Times New Roman"/>
          <w:szCs w:val="26"/>
        </w:rPr>
      </w:pPr>
    </w:p>
    <w:p w:rsidR="008046FB" w:rsidRPr="008046FB" w:rsidRDefault="008046FB" w:rsidP="008046FB">
      <w:pPr>
        <w:tabs>
          <w:tab w:val="num" w:pos="720"/>
        </w:tabs>
        <w:spacing w:after="0" w:line="360" w:lineRule="auto"/>
        <w:ind w:firstLine="450"/>
        <w:jc w:val="right"/>
        <w:rPr>
          <w:rFonts w:ascii="等线" w:eastAsia="等线" w:hAnsi="等线" w:cs="Times New Roman"/>
          <w:szCs w:val="26"/>
        </w:rPr>
      </w:pPr>
      <w:r w:rsidRPr="008046FB">
        <w:rPr>
          <w:rFonts w:ascii="等线" w:eastAsia="等线" w:hAnsi="等线" w:cs="Times New Roman" w:hint="eastAsia"/>
          <w:szCs w:val="26"/>
        </w:rPr>
        <w:t>路博迈基金管理（中国）有限公司</w:t>
      </w:r>
    </w:p>
    <w:p w:rsidR="00962011" w:rsidRPr="008046FB" w:rsidRDefault="006F60B1" w:rsidP="008046FB">
      <w:pPr>
        <w:tabs>
          <w:tab w:val="num" w:pos="720"/>
        </w:tabs>
        <w:spacing w:after="0" w:line="360" w:lineRule="auto"/>
        <w:ind w:firstLine="450"/>
        <w:jc w:val="right"/>
        <w:rPr>
          <w:rFonts w:ascii="等线" w:eastAsia="等线" w:hAnsi="等线" w:cs="Times New Roman"/>
          <w:szCs w:val="26"/>
        </w:rPr>
      </w:pPr>
      <w:r>
        <w:rPr>
          <w:rFonts w:ascii="等线" w:eastAsia="等线" w:hAnsi="等线" w:cs="Times New Roman" w:hint="eastAsia"/>
          <w:szCs w:val="26"/>
        </w:rPr>
        <w:t>2</w:t>
      </w:r>
      <w:r>
        <w:rPr>
          <w:rFonts w:ascii="等线" w:eastAsia="等线" w:hAnsi="等线" w:cs="Times New Roman"/>
          <w:szCs w:val="26"/>
        </w:rPr>
        <w:t>026</w:t>
      </w:r>
      <w:r w:rsidR="008046FB" w:rsidRPr="008046FB">
        <w:rPr>
          <w:rFonts w:ascii="等线" w:eastAsia="等线" w:hAnsi="等线" w:cs="Times New Roman" w:hint="eastAsia"/>
          <w:szCs w:val="26"/>
        </w:rPr>
        <w:t>年</w:t>
      </w:r>
      <w:r>
        <w:rPr>
          <w:rFonts w:ascii="等线" w:eastAsia="等线" w:hAnsi="等线" w:cs="Times New Roman"/>
          <w:szCs w:val="26"/>
        </w:rPr>
        <w:t>5</w:t>
      </w:r>
      <w:r w:rsidR="008046FB" w:rsidRPr="008046FB">
        <w:rPr>
          <w:rFonts w:ascii="等线" w:eastAsia="等线" w:hAnsi="等线" w:cs="Times New Roman" w:hint="eastAsia"/>
          <w:szCs w:val="26"/>
        </w:rPr>
        <w:t>月</w:t>
      </w:r>
      <w:r>
        <w:rPr>
          <w:rFonts w:ascii="等线" w:eastAsia="等线" w:hAnsi="等线" w:cs="Times New Roman"/>
          <w:szCs w:val="26"/>
        </w:rPr>
        <w:t>20</w:t>
      </w:r>
      <w:r w:rsidR="008046FB" w:rsidRPr="008046FB">
        <w:rPr>
          <w:rFonts w:ascii="等线" w:eastAsia="等线" w:hAnsi="等线" w:cs="Times New Roman" w:hint="eastAsia"/>
          <w:szCs w:val="26"/>
        </w:rPr>
        <w:t>日</w:t>
      </w:r>
    </w:p>
    <w:sectPr w:rsidR="00962011" w:rsidRPr="008046FB" w:rsidSect="00EF0A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F6" w:rsidRDefault="00D25BF6" w:rsidP="003A1BCB">
      <w:pPr>
        <w:spacing w:after="0" w:line="240" w:lineRule="auto"/>
      </w:pPr>
      <w:r>
        <w:separator/>
      </w:r>
    </w:p>
  </w:endnote>
  <w:endnote w:type="continuationSeparator" w:id="0">
    <w:p w:rsidR="00D25BF6" w:rsidRDefault="00D25BF6" w:rsidP="003A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F6" w:rsidRDefault="00D25BF6" w:rsidP="003A1BCB">
      <w:pPr>
        <w:spacing w:after="0" w:line="240" w:lineRule="auto"/>
      </w:pPr>
      <w:r>
        <w:separator/>
      </w:r>
    </w:p>
  </w:footnote>
  <w:footnote w:type="continuationSeparator" w:id="0">
    <w:p w:rsidR="00D25BF6" w:rsidRDefault="00D25BF6" w:rsidP="003A1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46FB"/>
    <w:rsid w:val="003A1BCB"/>
    <w:rsid w:val="00497924"/>
    <w:rsid w:val="006F60B1"/>
    <w:rsid w:val="008046FB"/>
    <w:rsid w:val="00962011"/>
    <w:rsid w:val="00C3744C"/>
    <w:rsid w:val="00D25BF6"/>
    <w:rsid w:val="00EF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B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薛佳妮（Xue, Canny）</dc:creator>
  <cp:keywords/>
  <dc:description/>
  <cp:lastModifiedBy>ZHONGM</cp:lastModifiedBy>
  <cp:revision>2</cp:revision>
  <cp:lastPrinted>2026-05-19T14:13:00Z</cp:lastPrinted>
  <dcterms:created xsi:type="dcterms:W3CDTF">2026-05-20T16:02:00Z</dcterms:created>
  <dcterms:modified xsi:type="dcterms:W3CDTF">2026-05-20T16:02:00Z</dcterms:modified>
</cp:coreProperties>
</file>