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83" w:rsidRPr="00C134F1" w:rsidRDefault="00063C90" w:rsidP="006F4ED5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A408B0">
        <w:rPr>
          <w:rFonts w:ascii="Times New Roman" w:eastAsia="宋体" w:hAnsi="Times New Roman" w:cs="Times New Roman"/>
          <w:b/>
          <w:sz w:val="24"/>
          <w:szCs w:val="24"/>
        </w:rPr>
        <w:t>华夏基金管理有限公司</w:t>
      </w:r>
      <w:r w:rsidR="0032780B" w:rsidRPr="00C134F1">
        <w:rPr>
          <w:rFonts w:ascii="Times New Roman" w:eastAsia="宋体" w:hAnsi="Times New Roman" w:cs="Times New Roman"/>
          <w:b/>
          <w:sz w:val="24"/>
          <w:szCs w:val="24"/>
        </w:rPr>
        <w:t>关于</w:t>
      </w:r>
      <w:r w:rsidR="00634E13" w:rsidRPr="00C134F1">
        <w:rPr>
          <w:rFonts w:ascii="Times New Roman" w:eastAsia="宋体" w:hAnsi="Times New Roman" w:cs="Times New Roman"/>
          <w:b/>
          <w:sz w:val="24"/>
          <w:szCs w:val="24"/>
        </w:rPr>
        <w:t>旗下</w:t>
      </w:r>
      <w:r w:rsidR="00D513BB" w:rsidRPr="00C134F1">
        <w:rPr>
          <w:rFonts w:ascii="Times New Roman" w:eastAsia="宋体" w:hAnsi="Times New Roman" w:cs="Times New Roman"/>
          <w:b/>
          <w:sz w:val="24"/>
          <w:szCs w:val="24"/>
        </w:rPr>
        <w:t>部分</w:t>
      </w:r>
      <w:r w:rsidR="00634E13" w:rsidRPr="00C134F1">
        <w:rPr>
          <w:rFonts w:ascii="Times New Roman" w:eastAsia="宋体" w:hAnsi="Times New Roman" w:cs="Times New Roman"/>
          <w:b/>
          <w:sz w:val="24"/>
          <w:szCs w:val="24"/>
        </w:rPr>
        <w:t>货币市场基金</w:t>
      </w:r>
      <w:r w:rsidR="00D513BB" w:rsidRPr="00C134F1">
        <w:rPr>
          <w:rFonts w:ascii="Times New Roman" w:eastAsia="宋体" w:hAnsi="Times New Roman" w:cs="Times New Roman"/>
          <w:b/>
          <w:sz w:val="24"/>
          <w:szCs w:val="24"/>
        </w:rPr>
        <w:t>场外</w:t>
      </w:r>
      <w:r w:rsidR="00634E13" w:rsidRPr="00C134F1">
        <w:rPr>
          <w:rFonts w:ascii="Times New Roman" w:eastAsia="宋体" w:hAnsi="Times New Roman" w:cs="Times New Roman"/>
          <w:b/>
          <w:sz w:val="24"/>
          <w:szCs w:val="24"/>
        </w:rPr>
        <w:t>基金份额在部分</w:t>
      </w:r>
      <w:r w:rsidR="00434A8B" w:rsidRPr="00C134F1">
        <w:rPr>
          <w:rFonts w:ascii="Times New Roman" w:eastAsia="宋体" w:hAnsi="Times New Roman" w:cs="Times New Roman"/>
          <w:b/>
          <w:sz w:val="24"/>
          <w:szCs w:val="24"/>
        </w:rPr>
        <w:t>代销机构</w:t>
      </w:r>
      <w:r w:rsidR="00634E13" w:rsidRPr="00C134F1">
        <w:rPr>
          <w:rFonts w:ascii="Times New Roman" w:eastAsia="宋体" w:hAnsi="Times New Roman" w:cs="Times New Roman"/>
          <w:b/>
          <w:sz w:val="24"/>
          <w:szCs w:val="24"/>
        </w:rPr>
        <w:t>暂停</w:t>
      </w:r>
      <w:r w:rsidR="00434A8B" w:rsidRPr="00C134F1">
        <w:rPr>
          <w:rFonts w:ascii="Times New Roman" w:eastAsia="宋体" w:hAnsi="Times New Roman" w:cs="Times New Roman"/>
          <w:b/>
          <w:sz w:val="24"/>
          <w:szCs w:val="24"/>
        </w:rPr>
        <w:t>办理申购</w:t>
      </w:r>
      <w:r w:rsidR="003653E1" w:rsidRPr="00C134F1">
        <w:rPr>
          <w:rFonts w:ascii="Times New Roman" w:eastAsia="宋体" w:hAnsi="Times New Roman" w:cs="Times New Roman"/>
          <w:b/>
          <w:sz w:val="24"/>
          <w:szCs w:val="24"/>
        </w:rPr>
        <w:t>（含定期定额申购）</w:t>
      </w:r>
      <w:r w:rsidR="00434A8B" w:rsidRPr="00C134F1">
        <w:rPr>
          <w:rFonts w:ascii="Times New Roman" w:eastAsia="宋体" w:hAnsi="Times New Roman" w:cs="Times New Roman"/>
          <w:b/>
          <w:sz w:val="24"/>
          <w:szCs w:val="24"/>
        </w:rPr>
        <w:t>业务</w:t>
      </w:r>
      <w:r w:rsidR="006F4ED5" w:rsidRPr="00C134F1">
        <w:rPr>
          <w:rFonts w:ascii="Times New Roman" w:eastAsia="宋体" w:hAnsi="Times New Roman" w:cs="Times New Roman"/>
          <w:b/>
          <w:sz w:val="24"/>
          <w:szCs w:val="24"/>
        </w:rPr>
        <w:t>的公告</w:t>
      </w:r>
    </w:p>
    <w:p w:rsidR="008B09E5" w:rsidRPr="00C134F1" w:rsidRDefault="008B09E5" w:rsidP="006F4ED5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</w:rPr>
      </w:pPr>
    </w:p>
    <w:p w:rsidR="006F4ED5" w:rsidRPr="00C134F1" w:rsidRDefault="00657402" w:rsidP="006F4ED5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</w:rPr>
      </w:pPr>
      <w:r w:rsidRPr="00C134F1">
        <w:rPr>
          <w:rFonts w:ascii="Times New Roman" w:eastAsia="宋体" w:hAnsi="Times New Roman" w:cs="Times New Roman"/>
        </w:rPr>
        <w:t>为维护投资者利益，</w:t>
      </w:r>
      <w:r w:rsidR="00CB0AFB" w:rsidRPr="00C134F1">
        <w:rPr>
          <w:rFonts w:ascii="Times New Roman" w:eastAsia="宋体" w:hAnsi="Times New Roman" w:cs="Times New Roman"/>
        </w:rPr>
        <w:t>经与有关代销机构</w:t>
      </w:r>
      <w:r w:rsidR="00C134F1">
        <w:rPr>
          <w:rFonts w:ascii="Times New Roman" w:eastAsia="宋体" w:hAnsi="Times New Roman" w:cs="Times New Roman" w:hint="eastAsia"/>
        </w:rPr>
        <w:t>沟通</w:t>
      </w:r>
      <w:r w:rsidR="00CB0AFB" w:rsidRPr="00C134F1">
        <w:rPr>
          <w:rFonts w:ascii="Times New Roman" w:eastAsia="宋体" w:hAnsi="Times New Roman" w:cs="Times New Roman"/>
        </w:rPr>
        <w:t>一致，</w:t>
      </w:r>
      <w:r w:rsidR="006F4ED5" w:rsidRPr="00C134F1">
        <w:rPr>
          <w:rFonts w:ascii="Times New Roman" w:eastAsia="宋体" w:hAnsi="Times New Roman" w:cs="Times New Roman"/>
        </w:rPr>
        <w:t>华夏基金管理有限公司（以下简称</w:t>
      </w:r>
      <w:r w:rsidR="006F4ED5" w:rsidRPr="00C134F1">
        <w:rPr>
          <w:rFonts w:ascii="Times New Roman" w:eastAsia="宋体" w:hAnsi="Times New Roman" w:cs="Times New Roman"/>
        </w:rPr>
        <w:t>“</w:t>
      </w:r>
      <w:r w:rsidR="006F4ED5" w:rsidRPr="00C134F1">
        <w:rPr>
          <w:rFonts w:ascii="Times New Roman" w:eastAsia="宋体" w:hAnsi="Times New Roman" w:cs="Times New Roman"/>
        </w:rPr>
        <w:t>本公司</w:t>
      </w:r>
      <w:r w:rsidR="006F4ED5" w:rsidRPr="00C134F1">
        <w:rPr>
          <w:rFonts w:ascii="Times New Roman" w:eastAsia="宋体" w:hAnsi="Times New Roman" w:cs="Times New Roman"/>
        </w:rPr>
        <w:t>”</w:t>
      </w:r>
      <w:r w:rsidR="006F4ED5" w:rsidRPr="00C134F1">
        <w:rPr>
          <w:rFonts w:ascii="Times New Roman" w:eastAsia="宋体" w:hAnsi="Times New Roman" w:cs="Times New Roman"/>
        </w:rPr>
        <w:t>）</w:t>
      </w:r>
      <w:r w:rsidR="009753EB" w:rsidRPr="00C134F1">
        <w:rPr>
          <w:rFonts w:ascii="Times New Roman" w:eastAsia="宋体" w:hAnsi="Times New Roman" w:cs="Times New Roman"/>
        </w:rPr>
        <w:t>旗下部分货币市场基金</w:t>
      </w:r>
      <w:r w:rsidR="00D513BB" w:rsidRPr="00C134F1">
        <w:rPr>
          <w:rFonts w:ascii="Times New Roman" w:eastAsia="宋体" w:hAnsi="Times New Roman" w:cs="Times New Roman"/>
        </w:rPr>
        <w:t>场外</w:t>
      </w:r>
      <w:r w:rsidR="009753EB" w:rsidRPr="00C134F1">
        <w:rPr>
          <w:rFonts w:ascii="Times New Roman" w:eastAsia="宋体" w:hAnsi="Times New Roman" w:cs="Times New Roman"/>
        </w:rPr>
        <w:t>基金份额</w:t>
      </w:r>
      <w:r w:rsidR="006F4ED5" w:rsidRPr="00C134F1">
        <w:rPr>
          <w:rFonts w:ascii="Times New Roman" w:eastAsia="宋体" w:hAnsi="Times New Roman" w:cs="Times New Roman"/>
        </w:rPr>
        <w:t>自</w:t>
      </w:r>
      <w:r w:rsidR="00A111DC" w:rsidRPr="00C134F1">
        <w:rPr>
          <w:rFonts w:ascii="Times New Roman" w:eastAsia="宋体" w:hAnsi="Times New Roman" w:cs="Times New Roman"/>
        </w:rPr>
        <w:t>2026</w:t>
      </w:r>
      <w:r w:rsidR="00A111DC" w:rsidRPr="00C134F1">
        <w:rPr>
          <w:rFonts w:ascii="Times New Roman" w:eastAsia="宋体" w:hAnsi="Times New Roman" w:cs="Times New Roman"/>
        </w:rPr>
        <w:t>年</w:t>
      </w:r>
      <w:r w:rsidR="00A111DC" w:rsidRPr="00C134F1">
        <w:rPr>
          <w:rFonts w:ascii="Times New Roman" w:eastAsia="宋体" w:hAnsi="Times New Roman" w:cs="Times New Roman"/>
        </w:rPr>
        <w:t>5</w:t>
      </w:r>
      <w:r w:rsidR="00A111DC" w:rsidRPr="00C134F1">
        <w:rPr>
          <w:rFonts w:ascii="Times New Roman" w:eastAsia="宋体" w:hAnsi="Times New Roman" w:cs="Times New Roman"/>
        </w:rPr>
        <w:t>月</w:t>
      </w:r>
      <w:r w:rsidRPr="00C134F1">
        <w:rPr>
          <w:rFonts w:ascii="Times New Roman" w:eastAsia="宋体" w:hAnsi="Times New Roman" w:cs="Times New Roman"/>
        </w:rPr>
        <w:t>2</w:t>
      </w:r>
      <w:r w:rsidR="00CB0AFB" w:rsidRPr="00C134F1">
        <w:rPr>
          <w:rFonts w:ascii="Times New Roman" w:eastAsia="宋体" w:hAnsi="Times New Roman" w:cs="Times New Roman"/>
        </w:rPr>
        <w:t>2</w:t>
      </w:r>
      <w:r w:rsidR="00A111DC" w:rsidRPr="00C134F1">
        <w:rPr>
          <w:rFonts w:ascii="Times New Roman" w:eastAsia="宋体" w:hAnsi="Times New Roman" w:cs="Times New Roman"/>
        </w:rPr>
        <w:t>日</w:t>
      </w:r>
      <w:r w:rsidR="005427FE" w:rsidRPr="00C134F1">
        <w:rPr>
          <w:rFonts w:ascii="Times New Roman" w:eastAsia="宋体" w:hAnsi="Times New Roman" w:cs="Times New Roman"/>
        </w:rPr>
        <w:t>起</w:t>
      </w:r>
      <w:r w:rsidR="00CB0AFB" w:rsidRPr="00C134F1">
        <w:rPr>
          <w:rFonts w:ascii="Times New Roman" w:eastAsia="宋体" w:hAnsi="Times New Roman" w:cs="Times New Roman"/>
        </w:rPr>
        <w:t>在</w:t>
      </w:r>
      <w:r w:rsidRPr="00C134F1">
        <w:rPr>
          <w:rFonts w:ascii="Times New Roman" w:eastAsia="宋体" w:hAnsi="Times New Roman" w:cs="Times New Roman"/>
        </w:rPr>
        <w:t>部分代销机构</w:t>
      </w:r>
      <w:r w:rsidR="009753EB" w:rsidRPr="00C134F1">
        <w:rPr>
          <w:rFonts w:ascii="Times New Roman" w:eastAsia="宋体" w:hAnsi="Times New Roman" w:cs="Times New Roman"/>
        </w:rPr>
        <w:t>暂停办理</w:t>
      </w:r>
      <w:r w:rsidRPr="00C134F1">
        <w:rPr>
          <w:rFonts w:ascii="Times New Roman" w:eastAsia="宋体" w:hAnsi="Times New Roman" w:cs="Times New Roman"/>
        </w:rPr>
        <w:t>申购</w:t>
      </w:r>
      <w:r w:rsidR="00CB0AFB" w:rsidRPr="00C134F1">
        <w:rPr>
          <w:rFonts w:ascii="Times New Roman" w:eastAsia="宋体" w:hAnsi="Times New Roman" w:cs="Times New Roman"/>
        </w:rPr>
        <w:t>（含</w:t>
      </w:r>
      <w:r w:rsidRPr="00C134F1">
        <w:rPr>
          <w:rFonts w:ascii="Times New Roman" w:eastAsia="宋体" w:hAnsi="Times New Roman" w:cs="Times New Roman"/>
        </w:rPr>
        <w:t>定期定额申购</w:t>
      </w:r>
      <w:r w:rsidR="00CB0AFB" w:rsidRPr="00C134F1">
        <w:rPr>
          <w:rFonts w:ascii="Times New Roman" w:eastAsia="宋体" w:hAnsi="Times New Roman" w:cs="Times New Roman"/>
        </w:rPr>
        <w:t>）</w:t>
      </w:r>
      <w:r w:rsidRPr="00C134F1">
        <w:rPr>
          <w:rFonts w:ascii="Times New Roman" w:eastAsia="宋体" w:hAnsi="Times New Roman" w:cs="Times New Roman"/>
        </w:rPr>
        <w:t>业务</w:t>
      </w:r>
      <w:r w:rsidR="00000AAF" w:rsidRPr="00C134F1">
        <w:rPr>
          <w:rFonts w:ascii="Times New Roman" w:eastAsia="宋体" w:hAnsi="Times New Roman" w:cs="Times New Roman"/>
        </w:rPr>
        <w:t>，</w:t>
      </w:r>
      <w:r w:rsidRPr="00C134F1">
        <w:rPr>
          <w:rFonts w:ascii="Times New Roman" w:eastAsia="宋体" w:hAnsi="Times New Roman" w:cs="Times New Roman"/>
        </w:rPr>
        <w:t>后续恢复将另行公告。</w:t>
      </w:r>
      <w:r w:rsidR="006F4ED5" w:rsidRPr="00C134F1">
        <w:rPr>
          <w:rFonts w:ascii="Times New Roman" w:eastAsia="宋体" w:hAnsi="Times New Roman" w:cs="Times New Roman"/>
        </w:rPr>
        <w:t>现将相关事项公告如下：</w:t>
      </w:r>
    </w:p>
    <w:p w:rsidR="00657402" w:rsidRPr="00C134F1" w:rsidRDefault="00657402" w:rsidP="00657402">
      <w:pPr>
        <w:pStyle w:val="ab"/>
        <w:numPr>
          <w:ilvl w:val="0"/>
          <w:numId w:val="3"/>
        </w:numPr>
        <w:spacing w:line="360" w:lineRule="auto"/>
        <w:ind w:firstLineChars="0"/>
        <w:jc w:val="left"/>
        <w:outlineLvl w:val="0"/>
        <w:rPr>
          <w:rStyle w:val="c1"/>
          <w:rFonts w:ascii="Times New Roman" w:eastAsia="宋体" w:hAnsi="Times New Roman" w:cs="Times New Roman"/>
          <w:kern w:val="0"/>
          <w:sz w:val="24"/>
          <w:szCs w:val="24"/>
        </w:rPr>
      </w:pPr>
      <w:r w:rsidRPr="00C134F1">
        <w:rPr>
          <w:rStyle w:val="c1"/>
          <w:rFonts w:ascii="Times New Roman" w:eastAsia="宋体" w:hAnsi="Times New Roman" w:cs="Times New Roman"/>
          <w:kern w:val="0"/>
          <w:sz w:val="24"/>
          <w:szCs w:val="24"/>
        </w:rPr>
        <w:t>涉及代销机构及货币市场基金</w:t>
      </w:r>
      <w:r w:rsidR="00C134F1">
        <w:rPr>
          <w:rStyle w:val="c1"/>
          <w:rFonts w:ascii="Times New Roman" w:eastAsia="宋体" w:hAnsi="Times New Roman" w:cs="Times New Roman" w:hint="eastAsia"/>
          <w:kern w:val="0"/>
          <w:sz w:val="24"/>
          <w:szCs w:val="24"/>
        </w:rPr>
        <w:t>场外</w:t>
      </w:r>
      <w:r w:rsidR="0077068F" w:rsidRPr="00C134F1">
        <w:rPr>
          <w:rStyle w:val="c1"/>
          <w:rFonts w:ascii="Times New Roman" w:eastAsia="宋体" w:hAnsi="Times New Roman" w:cs="Times New Roman"/>
          <w:kern w:val="0"/>
          <w:sz w:val="24"/>
          <w:szCs w:val="24"/>
        </w:rPr>
        <w:t>基金份额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8"/>
        <w:gridCol w:w="3794"/>
        <w:gridCol w:w="2793"/>
        <w:gridCol w:w="2271"/>
      </w:tblGrid>
      <w:tr w:rsidR="00E420AE" w:rsidRPr="00E420AE" w:rsidTr="0017056A">
        <w:trPr>
          <w:trHeight w:val="290"/>
        </w:trPr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420A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销售机构名称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420A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420AE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客户服务电话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大连银行股份有限公司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www.bankofdl.com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956169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重庆银行股份有限公司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7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www.cqcbank.com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956023</w:t>
            </w:r>
          </w:p>
        </w:tc>
      </w:tr>
      <w:tr w:rsidR="00E420AE" w:rsidRPr="00E420AE" w:rsidTr="00E360EA">
        <w:trPr>
          <w:trHeight w:val="55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江苏江南农村商业银行股份有限公司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8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www.jnbank.com.cn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0519-96005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郑州银行股份有限公司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9" w:tooltip="http://www.zzbank.cn/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http://www.zzbank.cn/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95097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广州农村商业银行股份有限公司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0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www.grcbank.com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95313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北京展恒基金销售有限公司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1" w:tooltip="www.myfund.com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www.myfund.com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400-818-8000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北京虹点基金销售有限公司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2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www.hongdianfund.com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3" w:tgtFrame="_blank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400-618-0707</w:t>
              </w:r>
            </w:hyperlink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联储证券股份有限公司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4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http://www.lczq.com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956006</w:t>
            </w:r>
          </w:p>
        </w:tc>
      </w:tr>
      <w:tr w:rsidR="00E420AE" w:rsidRPr="00E420AE" w:rsidTr="00E360EA">
        <w:trPr>
          <w:trHeight w:val="29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青岛农村商业银行股份有限公司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8E335B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hyperlink r:id="rId15" w:history="1">
              <w:r w:rsidR="00E420AE" w:rsidRPr="00E420AE">
                <w:rPr>
                  <w:rFonts w:ascii="Times New Roman" w:eastAsia="宋体" w:hAnsi="Times New Roman" w:cs="Times New Roman"/>
                  <w:kern w:val="0"/>
                  <w:szCs w:val="21"/>
                </w:rPr>
                <w:t>www.qrcb.com.cn</w:t>
              </w:r>
            </w:hyperlink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96668</w:t>
            </w:r>
          </w:p>
        </w:tc>
      </w:tr>
      <w:tr w:rsidR="00E420AE" w:rsidRPr="00E420AE" w:rsidTr="00E360EA">
        <w:trPr>
          <w:trHeight w:val="550"/>
        </w:trPr>
        <w:tc>
          <w:tcPr>
            <w:tcW w:w="2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江苏紫金农村商业银行股份有限公司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www.zjrcbank.com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20AE" w:rsidRPr="00E420AE" w:rsidRDefault="00E420AE" w:rsidP="00E420A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20AE">
              <w:rPr>
                <w:rFonts w:ascii="Times New Roman" w:eastAsia="宋体" w:hAnsi="Times New Roman" w:cs="Times New Roman"/>
                <w:kern w:val="0"/>
                <w:szCs w:val="21"/>
              </w:rPr>
              <w:t>96008</w:t>
            </w:r>
          </w:p>
        </w:tc>
      </w:tr>
    </w:tbl>
    <w:p w:rsidR="00657402" w:rsidRPr="00C134F1" w:rsidRDefault="00657402" w:rsidP="00012321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  <w:kern w:val="2"/>
        </w:rPr>
      </w:pPr>
      <w:r w:rsidRPr="00C134F1">
        <w:rPr>
          <w:rFonts w:ascii="Times New Roman" w:eastAsia="宋体" w:hAnsi="Times New Roman" w:cs="Times New Roman"/>
          <w:kern w:val="2"/>
        </w:rPr>
        <w:t>自</w:t>
      </w:r>
      <w:r w:rsidRPr="00C134F1">
        <w:rPr>
          <w:rFonts w:ascii="Times New Roman" w:eastAsia="宋体" w:hAnsi="Times New Roman" w:cs="Times New Roman"/>
          <w:kern w:val="2"/>
        </w:rPr>
        <w:t>2026</w:t>
      </w:r>
      <w:r w:rsidRPr="00C134F1">
        <w:rPr>
          <w:rFonts w:ascii="Times New Roman" w:eastAsia="宋体" w:hAnsi="Times New Roman" w:cs="Times New Roman"/>
          <w:kern w:val="2"/>
        </w:rPr>
        <w:t>年</w:t>
      </w:r>
      <w:r w:rsidRPr="00C134F1">
        <w:rPr>
          <w:rFonts w:ascii="Times New Roman" w:eastAsia="宋体" w:hAnsi="Times New Roman" w:cs="Times New Roman"/>
          <w:kern w:val="2"/>
        </w:rPr>
        <w:t>5</w:t>
      </w:r>
      <w:r w:rsidRPr="00C134F1">
        <w:rPr>
          <w:rFonts w:ascii="Times New Roman" w:eastAsia="宋体" w:hAnsi="Times New Roman" w:cs="Times New Roman"/>
          <w:kern w:val="2"/>
        </w:rPr>
        <w:t>月</w:t>
      </w:r>
      <w:r w:rsidRPr="00C134F1">
        <w:rPr>
          <w:rFonts w:ascii="Times New Roman" w:eastAsia="宋体" w:hAnsi="Times New Roman" w:cs="Times New Roman"/>
          <w:kern w:val="2"/>
        </w:rPr>
        <w:t>2</w:t>
      </w:r>
      <w:r w:rsidR="00F92FB3" w:rsidRPr="00C134F1">
        <w:rPr>
          <w:rFonts w:ascii="Times New Roman" w:eastAsia="宋体" w:hAnsi="Times New Roman" w:cs="Times New Roman"/>
          <w:kern w:val="2"/>
        </w:rPr>
        <w:t>2</w:t>
      </w:r>
      <w:r w:rsidRPr="00C134F1">
        <w:rPr>
          <w:rFonts w:ascii="Times New Roman" w:eastAsia="宋体" w:hAnsi="Times New Roman" w:cs="Times New Roman"/>
          <w:kern w:val="2"/>
        </w:rPr>
        <w:t>日起，</w:t>
      </w:r>
      <w:r w:rsidR="0002620C" w:rsidRPr="00C134F1">
        <w:rPr>
          <w:rFonts w:ascii="Times New Roman" w:eastAsia="宋体" w:hAnsi="Times New Roman" w:cs="Times New Roman"/>
          <w:kern w:val="2"/>
        </w:rPr>
        <w:t>下表所列</w:t>
      </w:r>
      <w:r w:rsidR="00F92FB3" w:rsidRPr="00C134F1">
        <w:rPr>
          <w:rFonts w:ascii="Times New Roman" w:eastAsia="宋体" w:hAnsi="Times New Roman" w:cs="Times New Roman"/>
          <w:kern w:val="2"/>
        </w:rPr>
        <w:t>本公司旗下</w:t>
      </w:r>
      <w:r w:rsidR="00255E42" w:rsidRPr="00C134F1">
        <w:rPr>
          <w:rFonts w:ascii="Times New Roman" w:eastAsia="宋体" w:hAnsi="Times New Roman" w:cs="Times New Roman"/>
          <w:kern w:val="2"/>
        </w:rPr>
        <w:t>货币市场基金</w:t>
      </w:r>
      <w:r w:rsidR="00D513BB" w:rsidRPr="00C134F1">
        <w:rPr>
          <w:rFonts w:ascii="Times New Roman" w:eastAsia="宋体" w:hAnsi="Times New Roman" w:cs="Times New Roman"/>
          <w:kern w:val="2"/>
        </w:rPr>
        <w:t>场外</w:t>
      </w:r>
      <w:r w:rsidR="00255E42" w:rsidRPr="00C134F1">
        <w:rPr>
          <w:rFonts w:ascii="Times New Roman" w:eastAsia="宋体" w:hAnsi="Times New Roman" w:cs="Times New Roman"/>
          <w:kern w:val="2"/>
        </w:rPr>
        <w:t>基金份额</w:t>
      </w:r>
      <w:r w:rsidR="003C3877" w:rsidRPr="00C134F1">
        <w:rPr>
          <w:rFonts w:ascii="Times New Roman" w:eastAsia="宋体" w:hAnsi="Times New Roman" w:cs="Times New Roman"/>
          <w:kern w:val="2"/>
        </w:rPr>
        <w:t>在</w:t>
      </w:r>
      <w:r w:rsidRPr="00C134F1">
        <w:rPr>
          <w:rFonts w:ascii="Times New Roman" w:eastAsia="宋体" w:hAnsi="Times New Roman" w:cs="Times New Roman"/>
          <w:kern w:val="2"/>
        </w:rPr>
        <w:t>上述代销机构暂停办理</w:t>
      </w:r>
      <w:r w:rsidR="00000AAF" w:rsidRPr="00C134F1">
        <w:rPr>
          <w:rFonts w:ascii="Times New Roman" w:eastAsia="宋体" w:hAnsi="Times New Roman" w:cs="Times New Roman"/>
        </w:rPr>
        <w:t>申购（含定期定额申购）</w:t>
      </w:r>
      <w:r w:rsidRPr="00C134F1">
        <w:rPr>
          <w:rFonts w:ascii="Times New Roman" w:eastAsia="宋体" w:hAnsi="Times New Roman" w:cs="Times New Roman"/>
          <w:kern w:val="2"/>
        </w:rPr>
        <w:t>业务，赎回、转换</w:t>
      </w:r>
      <w:r w:rsidR="00D513BB" w:rsidRPr="00C134F1">
        <w:rPr>
          <w:rFonts w:ascii="Times New Roman" w:eastAsia="宋体" w:hAnsi="Times New Roman" w:cs="Times New Roman"/>
          <w:kern w:val="2"/>
        </w:rPr>
        <w:t>等</w:t>
      </w:r>
      <w:r w:rsidRPr="00C134F1">
        <w:rPr>
          <w:rFonts w:ascii="Times New Roman" w:eastAsia="宋体" w:hAnsi="Times New Roman" w:cs="Times New Roman"/>
          <w:kern w:val="2"/>
        </w:rPr>
        <w:t>业务</w:t>
      </w:r>
      <w:r w:rsidR="00595842" w:rsidRPr="00C134F1">
        <w:rPr>
          <w:rFonts w:ascii="Times New Roman" w:eastAsia="宋体" w:hAnsi="Times New Roman" w:cs="Times New Roman"/>
          <w:kern w:val="2"/>
        </w:rPr>
        <w:t>按照各基金招募说明书及其更新的</w:t>
      </w:r>
      <w:r w:rsidRPr="00C134F1">
        <w:rPr>
          <w:rFonts w:ascii="Times New Roman" w:eastAsia="宋体" w:hAnsi="Times New Roman" w:cs="Times New Roman"/>
          <w:kern w:val="2"/>
        </w:rPr>
        <w:t>规定正常办理。</w:t>
      </w:r>
      <w:r w:rsidR="00EC5363" w:rsidRPr="00C134F1">
        <w:rPr>
          <w:rFonts w:ascii="Times New Roman" w:eastAsia="宋体" w:hAnsi="Times New Roman" w:cs="Times New Roman"/>
          <w:kern w:val="2"/>
        </w:rPr>
        <w:t>各</w:t>
      </w:r>
      <w:r w:rsidR="00580FE2" w:rsidRPr="00C134F1">
        <w:rPr>
          <w:rFonts w:ascii="Times New Roman" w:eastAsia="宋体" w:hAnsi="Times New Roman" w:cs="Times New Roman"/>
          <w:kern w:val="2"/>
        </w:rPr>
        <w:t>代销机构</w:t>
      </w:r>
      <w:r w:rsidR="00580FE2" w:rsidRPr="00C134F1">
        <w:rPr>
          <w:rFonts w:ascii="Times New Roman" w:eastAsia="宋体" w:hAnsi="Times New Roman" w:cs="Times New Roman"/>
        </w:rPr>
        <w:t>销售的</w:t>
      </w:r>
      <w:r w:rsidR="0004115F" w:rsidRPr="00C134F1">
        <w:rPr>
          <w:rFonts w:ascii="Times New Roman" w:eastAsia="宋体" w:hAnsi="Times New Roman" w:cs="Times New Roman"/>
        </w:rPr>
        <w:t>具体</w:t>
      </w:r>
      <w:r w:rsidR="00580FE2" w:rsidRPr="00C134F1">
        <w:rPr>
          <w:rFonts w:ascii="Times New Roman" w:eastAsia="宋体" w:hAnsi="Times New Roman" w:cs="Times New Roman"/>
        </w:rPr>
        <w:t>基金份额类别、</w:t>
      </w:r>
      <w:r w:rsidR="00580FE2" w:rsidRPr="00C134F1">
        <w:rPr>
          <w:rFonts w:ascii="Times New Roman" w:eastAsia="宋体" w:hAnsi="Times New Roman" w:cs="Times New Roman"/>
          <w:kern w:val="2"/>
        </w:rPr>
        <w:t>开通办理的业务类型、业务开办状态</w:t>
      </w:r>
      <w:r w:rsidR="0022447A" w:rsidRPr="00C134F1">
        <w:rPr>
          <w:rFonts w:ascii="Times New Roman" w:eastAsia="宋体" w:hAnsi="Times New Roman" w:cs="Times New Roman"/>
          <w:kern w:val="2"/>
        </w:rPr>
        <w:t>及</w:t>
      </w:r>
      <w:r w:rsidR="00D07EFF" w:rsidRPr="00C134F1">
        <w:rPr>
          <w:rFonts w:ascii="Times New Roman" w:eastAsia="宋体" w:hAnsi="Times New Roman" w:cs="Times New Roman"/>
          <w:kern w:val="2"/>
        </w:rPr>
        <w:t>办理</w:t>
      </w:r>
      <w:r w:rsidR="0022447A" w:rsidRPr="00C134F1">
        <w:rPr>
          <w:rFonts w:ascii="Times New Roman" w:eastAsia="宋体" w:hAnsi="Times New Roman" w:cs="Times New Roman"/>
          <w:kern w:val="2"/>
        </w:rPr>
        <w:t>程序</w:t>
      </w:r>
      <w:r w:rsidR="00580FE2" w:rsidRPr="00C134F1">
        <w:rPr>
          <w:rFonts w:ascii="Times New Roman" w:eastAsia="宋体" w:hAnsi="Times New Roman" w:cs="Times New Roman"/>
          <w:kern w:val="2"/>
        </w:rPr>
        <w:t>等</w:t>
      </w:r>
      <w:r w:rsidR="00580FE2" w:rsidRPr="00C134F1">
        <w:rPr>
          <w:rFonts w:ascii="Times New Roman" w:eastAsia="宋体" w:hAnsi="Times New Roman" w:cs="Times New Roman"/>
        </w:rPr>
        <w:t>以其各自规定为准。</w:t>
      </w:r>
    </w:p>
    <w:tbl>
      <w:tblPr>
        <w:tblW w:w="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1940"/>
      </w:tblGrid>
      <w:tr w:rsidR="00657402" w:rsidRPr="00C134F1" w:rsidTr="00E41289">
        <w:trPr>
          <w:trHeight w:val="285"/>
          <w:jc w:val="center"/>
        </w:trPr>
        <w:tc>
          <w:tcPr>
            <w:tcW w:w="3060" w:type="dxa"/>
            <w:shd w:val="clear" w:color="auto" w:fill="auto"/>
            <w:noWrap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基金份额简称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基金份额代码</w:t>
            </w:r>
          </w:p>
        </w:tc>
      </w:tr>
      <w:tr w:rsidR="00BA61E3" w:rsidRPr="00C134F1" w:rsidTr="00E41289">
        <w:trPr>
          <w:trHeight w:val="285"/>
          <w:jc w:val="center"/>
        </w:trPr>
        <w:tc>
          <w:tcPr>
            <w:tcW w:w="3060" w:type="dxa"/>
            <w:shd w:val="clear" w:color="auto" w:fill="auto"/>
            <w:noWrap/>
            <w:vAlign w:val="center"/>
          </w:tcPr>
          <w:p w:rsidR="00BA61E3" w:rsidRPr="00C134F1" w:rsidRDefault="00BA61E3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华夏现金增利货币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A/E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BA61E3" w:rsidRPr="00C134F1" w:rsidRDefault="00BA61E3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003003</w:t>
            </w:r>
          </w:p>
        </w:tc>
      </w:tr>
      <w:tr w:rsidR="00BA61E3" w:rsidRPr="00C134F1" w:rsidTr="00E41289">
        <w:trPr>
          <w:trHeight w:val="285"/>
          <w:jc w:val="center"/>
        </w:trPr>
        <w:tc>
          <w:tcPr>
            <w:tcW w:w="3060" w:type="dxa"/>
            <w:shd w:val="clear" w:color="auto" w:fill="auto"/>
            <w:noWrap/>
            <w:vAlign w:val="center"/>
          </w:tcPr>
          <w:p w:rsidR="00BA61E3" w:rsidRPr="00C134F1" w:rsidRDefault="00BA61E3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华夏现金增利货币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BA61E3" w:rsidRPr="00C134F1" w:rsidRDefault="00BA61E3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001374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华夏惠利货币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004056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华夏惠利货币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004251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华夏惠利货币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011547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华夏惠利货币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D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020081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华夏沃利货币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002936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华夏沃利货币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002937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华夏沃利货币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019995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华夏沃利货币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D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021406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华夏快线货币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016429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华夏快线货币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016430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华夏现金宝货币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001077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华夏现金宝货币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001078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华夏现金宝货币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018033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华夏天利货币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002894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华夏天利货币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002895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华夏天利货币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C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019637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华夏收益宝货币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001929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华夏收益宝货币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001930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华夏薪金宝货币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000645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华夏财富宝货币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000343</w:t>
            </w:r>
          </w:p>
        </w:tc>
      </w:tr>
      <w:tr w:rsidR="00657402" w:rsidRPr="00C134F1" w:rsidTr="00E41289">
        <w:trPr>
          <w:trHeight w:val="450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华夏财富宝货币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004201</w:t>
            </w:r>
          </w:p>
        </w:tc>
      </w:tr>
      <w:tr w:rsidR="00657402" w:rsidRPr="00C134F1" w:rsidTr="00E41289">
        <w:trPr>
          <w:trHeight w:val="285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288101</w:t>
            </w:r>
          </w:p>
        </w:tc>
      </w:tr>
      <w:tr w:rsidR="00657402" w:rsidRPr="00C134F1" w:rsidTr="00E41289">
        <w:trPr>
          <w:trHeight w:val="285"/>
          <w:jc w:val="center"/>
        </w:trPr>
        <w:tc>
          <w:tcPr>
            <w:tcW w:w="306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华夏货币</w:t>
            </w: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B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657402" w:rsidRPr="00C134F1" w:rsidRDefault="00657402" w:rsidP="0065740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134F1">
              <w:rPr>
                <w:rFonts w:ascii="Times New Roman" w:eastAsia="宋体" w:hAnsi="Times New Roman" w:cs="Times New Roman"/>
                <w:kern w:val="0"/>
                <w:szCs w:val="21"/>
              </w:rPr>
              <w:t>288201</w:t>
            </w:r>
          </w:p>
        </w:tc>
      </w:tr>
    </w:tbl>
    <w:p w:rsidR="00FB30AD" w:rsidRPr="00C134F1" w:rsidRDefault="00FB30AD" w:rsidP="00144B43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  <w:kern w:val="2"/>
        </w:rPr>
      </w:pPr>
      <w:r w:rsidRPr="00C134F1">
        <w:rPr>
          <w:rFonts w:ascii="Times New Roman" w:eastAsia="宋体" w:hAnsi="Times New Roman" w:cs="Times New Roman"/>
          <w:kern w:val="2"/>
        </w:rPr>
        <w:t>二、其他需要说明的事项</w:t>
      </w:r>
    </w:p>
    <w:p w:rsidR="00C60F01" w:rsidRPr="00C134F1" w:rsidRDefault="00A83A12" w:rsidP="00144B43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  <w:kern w:val="2"/>
        </w:rPr>
      </w:pPr>
      <w:r w:rsidRPr="00C134F1">
        <w:rPr>
          <w:rFonts w:ascii="Times New Roman" w:eastAsia="宋体" w:hAnsi="Times New Roman" w:cs="Times New Roman"/>
          <w:kern w:val="2"/>
        </w:rPr>
        <w:t>（一）</w:t>
      </w:r>
      <w:r w:rsidR="00930B86" w:rsidRPr="00C134F1">
        <w:rPr>
          <w:rFonts w:ascii="Times New Roman" w:eastAsia="宋体" w:hAnsi="Times New Roman" w:cs="Times New Roman"/>
          <w:kern w:val="2"/>
        </w:rPr>
        <w:t>本公司旗下</w:t>
      </w:r>
      <w:r w:rsidR="008A74D7" w:rsidRPr="00C134F1">
        <w:rPr>
          <w:rFonts w:ascii="Times New Roman" w:eastAsia="宋体" w:hAnsi="Times New Roman" w:cs="Times New Roman"/>
          <w:kern w:val="2"/>
        </w:rPr>
        <w:t>部分</w:t>
      </w:r>
      <w:r w:rsidR="00930B86" w:rsidRPr="00C134F1">
        <w:rPr>
          <w:rFonts w:ascii="Times New Roman" w:eastAsia="宋体" w:hAnsi="Times New Roman" w:cs="Times New Roman"/>
          <w:kern w:val="2"/>
        </w:rPr>
        <w:t>货币市场基金</w:t>
      </w:r>
      <w:r w:rsidR="00D513BB" w:rsidRPr="00C134F1">
        <w:rPr>
          <w:rFonts w:ascii="Times New Roman" w:eastAsia="宋体" w:hAnsi="Times New Roman" w:cs="Times New Roman"/>
          <w:kern w:val="2"/>
        </w:rPr>
        <w:t>场外</w:t>
      </w:r>
      <w:r w:rsidR="00930B86" w:rsidRPr="00C134F1">
        <w:rPr>
          <w:rFonts w:ascii="Times New Roman" w:eastAsia="宋体" w:hAnsi="Times New Roman" w:cs="Times New Roman"/>
          <w:kern w:val="2"/>
        </w:rPr>
        <w:t>基金份额在上述代销机构暂停办理申购</w:t>
      </w:r>
      <w:r w:rsidR="008A74D7" w:rsidRPr="00C134F1">
        <w:rPr>
          <w:rFonts w:ascii="Times New Roman" w:eastAsia="宋体" w:hAnsi="Times New Roman" w:cs="Times New Roman"/>
          <w:kern w:val="2"/>
        </w:rPr>
        <w:t>（含</w:t>
      </w:r>
      <w:r w:rsidR="00930B86" w:rsidRPr="00C134F1">
        <w:rPr>
          <w:rFonts w:ascii="Times New Roman" w:eastAsia="宋体" w:hAnsi="Times New Roman" w:cs="Times New Roman"/>
          <w:kern w:val="2"/>
        </w:rPr>
        <w:t>定期定额申购</w:t>
      </w:r>
      <w:r w:rsidR="008A74D7" w:rsidRPr="00C134F1">
        <w:rPr>
          <w:rFonts w:ascii="Times New Roman" w:eastAsia="宋体" w:hAnsi="Times New Roman" w:cs="Times New Roman"/>
          <w:kern w:val="2"/>
        </w:rPr>
        <w:t>）</w:t>
      </w:r>
      <w:r w:rsidR="00930B86" w:rsidRPr="00C134F1">
        <w:rPr>
          <w:rFonts w:ascii="Times New Roman" w:eastAsia="宋体" w:hAnsi="Times New Roman" w:cs="Times New Roman"/>
          <w:kern w:val="2"/>
        </w:rPr>
        <w:t>业务期间，赎回、</w:t>
      </w:r>
      <w:r w:rsidR="00D513BB" w:rsidRPr="00C134F1">
        <w:rPr>
          <w:rFonts w:ascii="Times New Roman" w:eastAsia="宋体" w:hAnsi="Times New Roman" w:cs="Times New Roman"/>
          <w:kern w:val="2"/>
        </w:rPr>
        <w:t>转换等</w:t>
      </w:r>
      <w:r w:rsidR="00930B86" w:rsidRPr="00C134F1">
        <w:rPr>
          <w:rFonts w:ascii="Times New Roman" w:eastAsia="宋体" w:hAnsi="Times New Roman" w:cs="Times New Roman"/>
          <w:kern w:val="2"/>
        </w:rPr>
        <w:t>业务按照各基金招募说明书及其更新的规定正常办理。</w:t>
      </w:r>
      <w:r w:rsidR="005138CB">
        <w:rPr>
          <w:rFonts w:ascii="Times New Roman" w:eastAsia="宋体" w:hAnsi="Times New Roman" w:cs="Times New Roman" w:hint="eastAsia"/>
          <w:kern w:val="2"/>
        </w:rPr>
        <w:t>各</w:t>
      </w:r>
      <w:r w:rsidR="0091183D" w:rsidRPr="00C134F1">
        <w:rPr>
          <w:rFonts w:ascii="Times New Roman" w:eastAsia="宋体" w:hAnsi="Times New Roman" w:cs="Times New Roman"/>
          <w:kern w:val="2"/>
        </w:rPr>
        <w:t>代销机构</w:t>
      </w:r>
      <w:r w:rsidR="0091183D" w:rsidRPr="00C134F1">
        <w:rPr>
          <w:rFonts w:ascii="Times New Roman" w:eastAsia="宋体" w:hAnsi="Times New Roman" w:cs="Times New Roman"/>
        </w:rPr>
        <w:t>销售的具体基金份额类别、</w:t>
      </w:r>
      <w:r w:rsidR="0091183D" w:rsidRPr="00C134F1">
        <w:rPr>
          <w:rFonts w:ascii="Times New Roman" w:eastAsia="宋体" w:hAnsi="Times New Roman" w:cs="Times New Roman"/>
          <w:kern w:val="2"/>
        </w:rPr>
        <w:t>开通办理的业务类型、业务开办状态</w:t>
      </w:r>
      <w:r w:rsidR="00F4778D" w:rsidRPr="00C134F1">
        <w:rPr>
          <w:rFonts w:ascii="Times New Roman" w:eastAsia="宋体" w:hAnsi="Times New Roman" w:cs="Times New Roman"/>
          <w:kern w:val="2"/>
        </w:rPr>
        <w:t>及</w:t>
      </w:r>
      <w:r w:rsidR="008A74D7" w:rsidRPr="00C134F1">
        <w:rPr>
          <w:rFonts w:ascii="Times New Roman" w:eastAsia="宋体" w:hAnsi="Times New Roman" w:cs="Times New Roman"/>
          <w:kern w:val="2"/>
        </w:rPr>
        <w:t>办理</w:t>
      </w:r>
      <w:r w:rsidR="00F4778D" w:rsidRPr="00C134F1">
        <w:rPr>
          <w:rFonts w:ascii="Times New Roman" w:eastAsia="宋体" w:hAnsi="Times New Roman" w:cs="Times New Roman"/>
          <w:kern w:val="2"/>
        </w:rPr>
        <w:t>程序</w:t>
      </w:r>
      <w:r w:rsidR="0091183D" w:rsidRPr="00C134F1">
        <w:rPr>
          <w:rFonts w:ascii="Times New Roman" w:eastAsia="宋体" w:hAnsi="Times New Roman" w:cs="Times New Roman"/>
          <w:kern w:val="2"/>
        </w:rPr>
        <w:t>等</w:t>
      </w:r>
      <w:r w:rsidR="0091183D" w:rsidRPr="00C134F1">
        <w:rPr>
          <w:rFonts w:ascii="Times New Roman" w:eastAsia="宋体" w:hAnsi="Times New Roman" w:cs="Times New Roman"/>
        </w:rPr>
        <w:t>以其各自规定为准。</w:t>
      </w:r>
      <w:r w:rsidR="00C60F01" w:rsidRPr="00C134F1">
        <w:rPr>
          <w:rFonts w:ascii="Times New Roman" w:eastAsia="宋体" w:hAnsi="Times New Roman" w:cs="Times New Roman"/>
          <w:kern w:val="2"/>
        </w:rPr>
        <w:t>投资者欲了解各基金的详细情况，</w:t>
      </w:r>
      <w:r w:rsidR="002A2370" w:rsidRPr="00C134F1">
        <w:rPr>
          <w:rFonts w:ascii="Times New Roman" w:eastAsia="宋体" w:hAnsi="Times New Roman" w:cs="Times New Roman"/>
        </w:rPr>
        <w:t>请登录本公司网站</w:t>
      </w:r>
      <w:r w:rsidR="00E01B15" w:rsidRPr="00C134F1">
        <w:rPr>
          <w:rFonts w:ascii="Times New Roman" w:eastAsia="宋体" w:hAnsi="Times New Roman" w:cs="Times New Roman"/>
        </w:rPr>
        <w:t>（</w:t>
      </w:r>
      <w:r w:rsidR="00E01B15" w:rsidRPr="00C134F1">
        <w:rPr>
          <w:rFonts w:ascii="Times New Roman" w:eastAsia="宋体" w:hAnsi="Times New Roman" w:cs="Times New Roman"/>
        </w:rPr>
        <w:t>www.ChinaAMC.com</w:t>
      </w:r>
      <w:r w:rsidR="00E01B15" w:rsidRPr="00C134F1">
        <w:rPr>
          <w:rFonts w:ascii="Times New Roman" w:eastAsia="宋体" w:hAnsi="Times New Roman" w:cs="Times New Roman"/>
        </w:rPr>
        <w:t>）</w:t>
      </w:r>
      <w:r w:rsidR="002A2370" w:rsidRPr="00C134F1">
        <w:rPr>
          <w:rFonts w:ascii="Times New Roman" w:eastAsia="宋体" w:hAnsi="Times New Roman" w:cs="Times New Roman"/>
        </w:rPr>
        <w:t>查询</w:t>
      </w:r>
      <w:r w:rsidR="00BF3413" w:rsidRPr="00C134F1">
        <w:rPr>
          <w:rFonts w:ascii="Times New Roman" w:eastAsia="宋体" w:hAnsi="Times New Roman" w:cs="Times New Roman"/>
        </w:rPr>
        <w:t>各</w:t>
      </w:r>
      <w:r w:rsidR="002A2370" w:rsidRPr="00C134F1">
        <w:rPr>
          <w:rFonts w:ascii="Times New Roman" w:eastAsia="宋体" w:hAnsi="Times New Roman" w:cs="Times New Roman"/>
        </w:rPr>
        <w:t>基金基金合同、招募说明书及其更新。</w:t>
      </w:r>
      <w:r w:rsidR="00C60F01" w:rsidRPr="00C134F1">
        <w:rPr>
          <w:rFonts w:ascii="Times New Roman" w:eastAsia="宋体" w:hAnsi="Times New Roman" w:cs="Times New Roman"/>
          <w:kern w:val="2"/>
        </w:rPr>
        <w:t xml:space="preserve"> </w:t>
      </w:r>
    </w:p>
    <w:p w:rsidR="00DF2107" w:rsidRPr="00C134F1" w:rsidRDefault="00A83A12">
      <w:pPr>
        <w:pStyle w:val="Default"/>
        <w:spacing w:line="360" w:lineRule="auto"/>
        <w:ind w:firstLine="420"/>
        <w:rPr>
          <w:rFonts w:ascii="Times New Roman" w:eastAsia="宋体" w:hAnsi="Times New Roman" w:cs="Times New Roman"/>
          <w:kern w:val="2"/>
        </w:rPr>
      </w:pPr>
      <w:r w:rsidRPr="00C134F1">
        <w:rPr>
          <w:rFonts w:ascii="Times New Roman" w:eastAsia="宋体" w:hAnsi="Times New Roman" w:cs="Times New Roman"/>
          <w:kern w:val="2"/>
        </w:rPr>
        <w:t>（二）</w:t>
      </w:r>
      <w:r w:rsidR="00DF2107" w:rsidRPr="00C134F1">
        <w:rPr>
          <w:rFonts w:ascii="Times New Roman" w:eastAsia="宋体" w:hAnsi="Times New Roman" w:cs="Times New Roman"/>
          <w:kern w:val="2"/>
        </w:rPr>
        <w:t>投资者</w:t>
      </w:r>
      <w:r w:rsidR="001810BF" w:rsidRPr="00C134F1">
        <w:rPr>
          <w:rFonts w:ascii="Times New Roman" w:eastAsia="宋体" w:hAnsi="Times New Roman" w:cs="Times New Roman"/>
          <w:kern w:val="2"/>
        </w:rPr>
        <w:t>可</w:t>
      </w:r>
      <w:r w:rsidR="0006588C" w:rsidRPr="00C134F1">
        <w:rPr>
          <w:rFonts w:ascii="Times New Roman" w:eastAsia="宋体" w:hAnsi="Times New Roman" w:cs="Times New Roman"/>
          <w:kern w:val="2"/>
        </w:rPr>
        <w:t>通过上述</w:t>
      </w:r>
      <w:r w:rsidR="001810BF" w:rsidRPr="00C134F1">
        <w:rPr>
          <w:rFonts w:ascii="Times New Roman" w:eastAsia="宋体" w:hAnsi="Times New Roman" w:cs="Times New Roman"/>
          <w:kern w:val="2"/>
        </w:rPr>
        <w:t>代销机构</w:t>
      </w:r>
      <w:r w:rsidR="003D7389" w:rsidRPr="00C134F1">
        <w:rPr>
          <w:rFonts w:ascii="Times New Roman" w:eastAsia="宋体" w:hAnsi="Times New Roman" w:cs="Times New Roman"/>
          <w:kern w:val="2"/>
        </w:rPr>
        <w:t>，或</w:t>
      </w:r>
      <w:r w:rsidR="00DF2107" w:rsidRPr="00C134F1">
        <w:rPr>
          <w:rFonts w:ascii="Times New Roman" w:eastAsia="宋体" w:hAnsi="Times New Roman" w:cs="Times New Roman"/>
          <w:kern w:val="2"/>
        </w:rPr>
        <w:t>登录本公司网站</w:t>
      </w:r>
      <w:r w:rsidR="00A60A52" w:rsidRPr="00C134F1">
        <w:rPr>
          <w:rFonts w:ascii="Times New Roman" w:eastAsia="宋体" w:hAnsi="Times New Roman" w:cs="Times New Roman"/>
          <w:kern w:val="2"/>
        </w:rPr>
        <w:t>及</w:t>
      </w:r>
      <w:r w:rsidR="00DF2107" w:rsidRPr="00C134F1">
        <w:rPr>
          <w:rFonts w:ascii="Times New Roman" w:eastAsia="宋体" w:hAnsi="Times New Roman" w:cs="Times New Roman"/>
          <w:kern w:val="2"/>
        </w:rPr>
        <w:t>拨打本公司客户服务电话（</w:t>
      </w:r>
      <w:r w:rsidR="00DF2107" w:rsidRPr="00C134F1">
        <w:rPr>
          <w:rFonts w:ascii="Times New Roman" w:eastAsia="宋体" w:hAnsi="Times New Roman" w:cs="Times New Roman"/>
          <w:kern w:val="2"/>
        </w:rPr>
        <w:t>400-818-6666</w:t>
      </w:r>
      <w:r w:rsidR="00DF2107" w:rsidRPr="00C134F1">
        <w:rPr>
          <w:rFonts w:ascii="Times New Roman" w:eastAsia="宋体" w:hAnsi="Times New Roman" w:cs="Times New Roman"/>
          <w:kern w:val="2"/>
        </w:rPr>
        <w:t>）</w:t>
      </w:r>
      <w:r w:rsidR="00B02B68" w:rsidRPr="00C134F1">
        <w:rPr>
          <w:rFonts w:ascii="Times New Roman" w:eastAsia="宋体" w:hAnsi="Times New Roman" w:cs="Times New Roman"/>
          <w:kern w:val="2"/>
        </w:rPr>
        <w:t>了解、咨询</w:t>
      </w:r>
      <w:r w:rsidR="00DF2107" w:rsidRPr="00C134F1">
        <w:rPr>
          <w:rFonts w:ascii="Times New Roman" w:eastAsia="宋体" w:hAnsi="Times New Roman" w:cs="Times New Roman"/>
          <w:kern w:val="2"/>
        </w:rPr>
        <w:t>相关信息。</w:t>
      </w:r>
    </w:p>
    <w:p w:rsidR="00C60F01" w:rsidRPr="00C134F1" w:rsidRDefault="00C60F01" w:rsidP="00C60F0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风险提示：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基金管理人依照恪尽职守、诚实信用、谨慎勤勉的原则管理和</w:t>
      </w:r>
      <w:r w:rsidR="0030408C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运用基金财产，但不保证基金一定盈利，也不保证最低收益。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基金的过往业绩及其净值高低并不预示其未来业绩表现。基金管理人提醒投资人基金投资的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 “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买者自负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”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原则，在做出投资决策后，基金运营状况与基金净值变化引致的投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 xml:space="preserve"> </w:t>
      </w:r>
      <w:r w:rsidR="00E411CC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资风险，由投资人自行负担。投资有风险，投资者在投资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基金之前，请仔细</w:t>
      </w:r>
      <w:r w:rsidR="0061318A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阅读</w:t>
      </w:r>
      <w:r w:rsidR="00256AC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各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基金的基金合同、招募说明书和基金产品资料概要等法律文件，全面认</w:t>
      </w:r>
      <w:r w:rsidR="009C3917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识各</w:t>
      </w:r>
      <w:r w:rsidR="00BF2916"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基金的风险收益特征和产品特性，充分考虑自身的风险承受能力，在了解产品情况、听取销售机构适当性匹配意见的基础上，理性判断市场，谨慎做出投资决策。</w:t>
      </w:r>
      <w:r w:rsidRPr="00C134F1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基金具体风险评级结果以销售机构提供的评级结果为准。</w:t>
      </w:r>
    </w:p>
    <w:p w:rsidR="00C60F01" w:rsidRPr="00C134F1" w:rsidRDefault="00C60F01" w:rsidP="00C60F01">
      <w:pPr>
        <w:widowControl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C134F1">
        <w:rPr>
          <w:rFonts w:ascii="Times New Roman" w:eastAsia="宋体" w:hAnsi="Times New Roman" w:cs="Times New Roman"/>
          <w:sz w:val="24"/>
          <w:szCs w:val="24"/>
        </w:rPr>
        <w:t>特此公告</w:t>
      </w:r>
    </w:p>
    <w:p w:rsidR="00C60F01" w:rsidRPr="00C134F1" w:rsidRDefault="00C60F01" w:rsidP="00C60F01">
      <w:pPr>
        <w:widowControl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C60F01" w:rsidRPr="00C134F1" w:rsidRDefault="00C60F01" w:rsidP="00C60F01">
      <w:pPr>
        <w:widowControl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</w:p>
    <w:p w:rsidR="00C60F01" w:rsidRPr="00C134F1" w:rsidRDefault="00C60F01" w:rsidP="00C60F01">
      <w:pPr>
        <w:widowControl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C134F1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C60F01" w:rsidRPr="00C134F1" w:rsidRDefault="00C60F01" w:rsidP="00C60F01">
      <w:pPr>
        <w:pStyle w:val="1"/>
        <w:widowControl/>
        <w:spacing w:line="360" w:lineRule="auto"/>
        <w:ind w:firstLine="480"/>
        <w:jc w:val="right"/>
        <w:rPr>
          <w:sz w:val="24"/>
        </w:rPr>
      </w:pPr>
      <w:r w:rsidRPr="00C134F1">
        <w:rPr>
          <w:sz w:val="24"/>
        </w:rPr>
        <w:t>二〇二</w:t>
      </w:r>
      <w:r w:rsidR="008A3487" w:rsidRPr="00C134F1">
        <w:rPr>
          <w:sz w:val="24"/>
        </w:rPr>
        <w:t>六</w:t>
      </w:r>
      <w:r w:rsidRPr="00C134F1">
        <w:rPr>
          <w:sz w:val="24"/>
        </w:rPr>
        <w:t>年</w:t>
      </w:r>
      <w:r w:rsidR="00A111DC" w:rsidRPr="00C134F1">
        <w:rPr>
          <w:sz w:val="24"/>
        </w:rPr>
        <w:t>五</w:t>
      </w:r>
      <w:r w:rsidRPr="00C134F1">
        <w:rPr>
          <w:sz w:val="24"/>
        </w:rPr>
        <w:t>月</w:t>
      </w:r>
      <w:r w:rsidR="00A111DC" w:rsidRPr="00C134F1">
        <w:rPr>
          <w:sz w:val="24"/>
        </w:rPr>
        <w:t>二十</w:t>
      </w:r>
      <w:r w:rsidR="00542306" w:rsidRPr="00C134F1">
        <w:rPr>
          <w:sz w:val="24"/>
        </w:rPr>
        <w:t>一</w:t>
      </w:r>
      <w:r w:rsidRPr="00C134F1">
        <w:rPr>
          <w:sz w:val="24"/>
        </w:rPr>
        <w:t>日</w:t>
      </w:r>
    </w:p>
    <w:p w:rsidR="00CE138E" w:rsidRPr="00C134F1" w:rsidRDefault="00CE138E" w:rsidP="003B0FC7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</w:p>
    <w:sectPr w:rsidR="00CE138E" w:rsidRPr="00C134F1" w:rsidSect="00031807">
      <w:headerReference w:type="default" r:id="rId1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18" w:rsidRDefault="006F3218" w:rsidP="00DB7331">
      <w:r>
        <w:separator/>
      </w:r>
    </w:p>
  </w:endnote>
  <w:endnote w:type="continuationSeparator" w:id="0">
    <w:p w:rsidR="006F3218" w:rsidRDefault="006F3218" w:rsidP="00DB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18" w:rsidRDefault="006F3218" w:rsidP="00DB7331">
      <w:r>
        <w:separator/>
      </w:r>
    </w:p>
  </w:footnote>
  <w:footnote w:type="continuationSeparator" w:id="0">
    <w:p w:rsidR="006F3218" w:rsidRDefault="006F3218" w:rsidP="00DB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31" w:rsidRDefault="00DB7331" w:rsidP="00DB733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4195"/>
    <w:multiLevelType w:val="hybridMultilevel"/>
    <w:tmpl w:val="728E49B8"/>
    <w:lvl w:ilvl="0" w:tplc="9DDA2F6C">
      <w:start w:val="4"/>
      <w:numFmt w:val="ideographDigital"/>
      <w:lvlText w:val="%1、"/>
      <w:lvlJc w:val="left"/>
      <w:pPr>
        <w:ind w:left="99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627CA">
      <w:start w:val="1"/>
      <w:numFmt w:val="lowerLetter"/>
      <w:lvlText w:val="%2"/>
      <w:lvlJc w:val="left"/>
      <w:pPr>
        <w:ind w:left="156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01EFC">
      <w:start w:val="1"/>
      <w:numFmt w:val="lowerRoman"/>
      <w:lvlText w:val="%3"/>
      <w:lvlJc w:val="left"/>
      <w:pPr>
        <w:ind w:left="228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042DE">
      <w:start w:val="1"/>
      <w:numFmt w:val="decimal"/>
      <w:lvlText w:val="%4"/>
      <w:lvlJc w:val="left"/>
      <w:pPr>
        <w:ind w:left="30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6E3C2">
      <w:start w:val="1"/>
      <w:numFmt w:val="lowerLetter"/>
      <w:lvlText w:val="%5"/>
      <w:lvlJc w:val="left"/>
      <w:pPr>
        <w:ind w:left="372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C8CDC">
      <w:start w:val="1"/>
      <w:numFmt w:val="lowerRoman"/>
      <w:lvlText w:val="%6"/>
      <w:lvlJc w:val="left"/>
      <w:pPr>
        <w:ind w:left="444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C6C1A">
      <w:start w:val="1"/>
      <w:numFmt w:val="decimal"/>
      <w:lvlText w:val="%7"/>
      <w:lvlJc w:val="left"/>
      <w:pPr>
        <w:ind w:left="516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8AB7A">
      <w:start w:val="1"/>
      <w:numFmt w:val="lowerLetter"/>
      <w:lvlText w:val="%8"/>
      <w:lvlJc w:val="left"/>
      <w:pPr>
        <w:ind w:left="588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266B0">
      <w:start w:val="1"/>
      <w:numFmt w:val="lowerRoman"/>
      <w:lvlText w:val="%9"/>
      <w:lvlJc w:val="left"/>
      <w:pPr>
        <w:ind w:left="66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D64581"/>
    <w:multiLevelType w:val="hybridMultilevel"/>
    <w:tmpl w:val="02C81AFE"/>
    <w:lvl w:ilvl="0" w:tplc="89F047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5F0161AF"/>
    <w:multiLevelType w:val="hybridMultilevel"/>
    <w:tmpl w:val="C256D852"/>
    <w:lvl w:ilvl="0" w:tplc="6C14B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8E"/>
    <w:rsid w:val="00000AAF"/>
    <w:rsid w:val="000031D6"/>
    <w:rsid w:val="00012321"/>
    <w:rsid w:val="000128A5"/>
    <w:rsid w:val="000155F7"/>
    <w:rsid w:val="00020765"/>
    <w:rsid w:val="00022271"/>
    <w:rsid w:val="0002620C"/>
    <w:rsid w:val="00026FF0"/>
    <w:rsid w:val="00031807"/>
    <w:rsid w:val="00034521"/>
    <w:rsid w:val="0004115F"/>
    <w:rsid w:val="00052981"/>
    <w:rsid w:val="00053CD6"/>
    <w:rsid w:val="00061427"/>
    <w:rsid w:val="00062E0A"/>
    <w:rsid w:val="00063C90"/>
    <w:rsid w:val="0006458F"/>
    <w:rsid w:val="0006588C"/>
    <w:rsid w:val="000712E0"/>
    <w:rsid w:val="00072782"/>
    <w:rsid w:val="00090CE7"/>
    <w:rsid w:val="0009764B"/>
    <w:rsid w:val="000B2F55"/>
    <w:rsid w:val="000E3C75"/>
    <w:rsid w:val="000F207A"/>
    <w:rsid w:val="000F63E8"/>
    <w:rsid w:val="000F6CB9"/>
    <w:rsid w:val="00120605"/>
    <w:rsid w:val="001252E5"/>
    <w:rsid w:val="00132EAF"/>
    <w:rsid w:val="00144B43"/>
    <w:rsid w:val="00145162"/>
    <w:rsid w:val="001546A0"/>
    <w:rsid w:val="001577D8"/>
    <w:rsid w:val="0017056A"/>
    <w:rsid w:val="001718B1"/>
    <w:rsid w:val="001810BF"/>
    <w:rsid w:val="00191F06"/>
    <w:rsid w:val="001956BB"/>
    <w:rsid w:val="001A0CA4"/>
    <w:rsid w:val="001A51A4"/>
    <w:rsid w:val="001B21A8"/>
    <w:rsid w:val="001C0C74"/>
    <w:rsid w:val="001C285C"/>
    <w:rsid w:val="001D3521"/>
    <w:rsid w:val="001D70E7"/>
    <w:rsid w:val="001E41E8"/>
    <w:rsid w:val="001E727C"/>
    <w:rsid w:val="001F27C4"/>
    <w:rsid w:val="001F622E"/>
    <w:rsid w:val="001F63F8"/>
    <w:rsid w:val="00216858"/>
    <w:rsid w:val="0022447A"/>
    <w:rsid w:val="00225480"/>
    <w:rsid w:val="002331E7"/>
    <w:rsid w:val="002449E1"/>
    <w:rsid w:val="002547E2"/>
    <w:rsid w:val="00255E42"/>
    <w:rsid w:val="00256516"/>
    <w:rsid w:val="00256AC6"/>
    <w:rsid w:val="00257DAA"/>
    <w:rsid w:val="0026613D"/>
    <w:rsid w:val="00274299"/>
    <w:rsid w:val="00287404"/>
    <w:rsid w:val="002919B0"/>
    <w:rsid w:val="002920EB"/>
    <w:rsid w:val="00297489"/>
    <w:rsid w:val="002A2370"/>
    <w:rsid w:val="002B120E"/>
    <w:rsid w:val="002C4EF9"/>
    <w:rsid w:val="002C5153"/>
    <w:rsid w:val="002D40F0"/>
    <w:rsid w:val="002D58C8"/>
    <w:rsid w:val="002D757C"/>
    <w:rsid w:val="002E3CF1"/>
    <w:rsid w:val="002F62CD"/>
    <w:rsid w:val="003025AA"/>
    <w:rsid w:val="0030408C"/>
    <w:rsid w:val="00316F6E"/>
    <w:rsid w:val="0032780B"/>
    <w:rsid w:val="003374BC"/>
    <w:rsid w:val="00337D73"/>
    <w:rsid w:val="00343E6E"/>
    <w:rsid w:val="00344A0F"/>
    <w:rsid w:val="00346AD3"/>
    <w:rsid w:val="00352CEB"/>
    <w:rsid w:val="003653E1"/>
    <w:rsid w:val="00383B17"/>
    <w:rsid w:val="00390837"/>
    <w:rsid w:val="00391BFC"/>
    <w:rsid w:val="003A283E"/>
    <w:rsid w:val="003B07E7"/>
    <w:rsid w:val="003B0FC7"/>
    <w:rsid w:val="003B3C6A"/>
    <w:rsid w:val="003C3877"/>
    <w:rsid w:val="003C4A4C"/>
    <w:rsid w:val="003D7389"/>
    <w:rsid w:val="003E678C"/>
    <w:rsid w:val="003F3D13"/>
    <w:rsid w:val="004003C3"/>
    <w:rsid w:val="00417BBB"/>
    <w:rsid w:val="0042604D"/>
    <w:rsid w:val="0043260B"/>
    <w:rsid w:val="00432CFD"/>
    <w:rsid w:val="00434A8B"/>
    <w:rsid w:val="00443CF4"/>
    <w:rsid w:val="00450848"/>
    <w:rsid w:val="00453DF4"/>
    <w:rsid w:val="00454276"/>
    <w:rsid w:val="004545F8"/>
    <w:rsid w:val="00456AF9"/>
    <w:rsid w:val="00456C14"/>
    <w:rsid w:val="00465586"/>
    <w:rsid w:val="004664DA"/>
    <w:rsid w:val="004933D5"/>
    <w:rsid w:val="00494668"/>
    <w:rsid w:val="004A0F0C"/>
    <w:rsid w:val="004B1453"/>
    <w:rsid w:val="004B3F37"/>
    <w:rsid w:val="004B3F42"/>
    <w:rsid w:val="004B6546"/>
    <w:rsid w:val="004C17E9"/>
    <w:rsid w:val="004C641D"/>
    <w:rsid w:val="004C6D68"/>
    <w:rsid w:val="004D331E"/>
    <w:rsid w:val="004D3B86"/>
    <w:rsid w:val="004F0E56"/>
    <w:rsid w:val="004F2EAA"/>
    <w:rsid w:val="004F3A9C"/>
    <w:rsid w:val="004F5A01"/>
    <w:rsid w:val="00506BA0"/>
    <w:rsid w:val="00513492"/>
    <w:rsid w:val="005138CB"/>
    <w:rsid w:val="005148C0"/>
    <w:rsid w:val="00524125"/>
    <w:rsid w:val="005251CE"/>
    <w:rsid w:val="005268B3"/>
    <w:rsid w:val="00542306"/>
    <w:rsid w:val="005427FE"/>
    <w:rsid w:val="00544AA3"/>
    <w:rsid w:val="00556130"/>
    <w:rsid w:val="00562B2E"/>
    <w:rsid w:val="00567562"/>
    <w:rsid w:val="005739F5"/>
    <w:rsid w:val="00574E13"/>
    <w:rsid w:val="00580FE2"/>
    <w:rsid w:val="00582BAE"/>
    <w:rsid w:val="00583B2A"/>
    <w:rsid w:val="0058607F"/>
    <w:rsid w:val="00590D3A"/>
    <w:rsid w:val="00595842"/>
    <w:rsid w:val="005958F2"/>
    <w:rsid w:val="005979B1"/>
    <w:rsid w:val="005A6322"/>
    <w:rsid w:val="005B4CB9"/>
    <w:rsid w:val="005B516D"/>
    <w:rsid w:val="005C40FE"/>
    <w:rsid w:val="005C5445"/>
    <w:rsid w:val="005C7B0A"/>
    <w:rsid w:val="005D564E"/>
    <w:rsid w:val="005D5CAC"/>
    <w:rsid w:val="005D69F1"/>
    <w:rsid w:val="005D6ECF"/>
    <w:rsid w:val="005D7A8E"/>
    <w:rsid w:val="005E0939"/>
    <w:rsid w:val="005E32DD"/>
    <w:rsid w:val="005E3642"/>
    <w:rsid w:val="005E38A9"/>
    <w:rsid w:val="005E51F1"/>
    <w:rsid w:val="005F026D"/>
    <w:rsid w:val="00605CF1"/>
    <w:rsid w:val="00611A90"/>
    <w:rsid w:val="00611E8F"/>
    <w:rsid w:val="00612F20"/>
    <w:rsid w:val="0061318A"/>
    <w:rsid w:val="00613558"/>
    <w:rsid w:val="00613E7D"/>
    <w:rsid w:val="006216F0"/>
    <w:rsid w:val="00634E13"/>
    <w:rsid w:val="00635F28"/>
    <w:rsid w:val="006455C7"/>
    <w:rsid w:val="00656C8B"/>
    <w:rsid w:val="00657402"/>
    <w:rsid w:val="00657504"/>
    <w:rsid w:val="00671483"/>
    <w:rsid w:val="00675ED0"/>
    <w:rsid w:val="0068168E"/>
    <w:rsid w:val="006864D9"/>
    <w:rsid w:val="006953C2"/>
    <w:rsid w:val="006964C0"/>
    <w:rsid w:val="00696A87"/>
    <w:rsid w:val="00697779"/>
    <w:rsid w:val="006B1AF3"/>
    <w:rsid w:val="006B2203"/>
    <w:rsid w:val="006B3350"/>
    <w:rsid w:val="006B41FE"/>
    <w:rsid w:val="006C006C"/>
    <w:rsid w:val="006C5D18"/>
    <w:rsid w:val="006D034B"/>
    <w:rsid w:val="006D6E03"/>
    <w:rsid w:val="006E0506"/>
    <w:rsid w:val="006E226F"/>
    <w:rsid w:val="006E6C86"/>
    <w:rsid w:val="006F3218"/>
    <w:rsid w:val="006F3D5F"/>
    <w:rsid w:val="006F4ED5"/>
    <w:rsid w:val="006F6CB9"/>
    <w:rsid w:val="00702B3F"/>
    <w:rsid w:val="00706EB4"/>
    <w:rsid w:val="007071DA"/>
    <w:rsid w:val="007126DD"/>
    <w:rsid w:val="00712789"/>
    <w:rsid w:val="0071764E"/>
    <w:rsid w:val="007216ED"/>
    <w:rsid w:val="00722030"/>
    <w:rsid w:val="0073213A"/>
    <w:rsid w:val="0073795C"/>
    <w:rsid w:val="007444A4"/>
    <w:rsid w:val="007459F0"/>
    <w:rsid w:val="00745F2A"/>
    <w:rsid w:val="0074620B"/>
    <w:rsid w:val="007502B3"/>
    <w:rsid w:val="007528A0"/>
    <w:rsid w:val="00754305"/>
    <w:rsid w:val="0075484C"/>
    <w:rsid w:val="007606E4"/>
    <w:rsid w:val="0077068F"/>
    <w:rsid w:val="00773A05"/>
    <w:rsid w:val="00776108"/>
    <w:rsid w:val="00784345"/>
    <w:rsid w:val="007A7BEE"/>
    <w:rsid w:val="007B2238"/>
    <w:rsid w:val="007B3164"/>
    <w:rsid w:val="007B4306"/>
    <w:rsid w:val="007B6E21"/>
    <w:rsid w:val="007B7A37"/>
    <w:rsid w:val="007C4DC9"/>
    <w:rsid w:val="007C7FE2"/>
    <w:rsid w:val="007F0FCB"/>
    <w:rsid w:val="00802792"/>
    <w:rsid w:val="00810FC0"/>
    <w:rsid w:val="00811DC4"/>
    <w:rsid w:val="008129BD"/>
    <w:rsid w:val="00830122"/>
    <w:rsid w:val="008403BC"/>
    <w:rsid w:val="0084457D"/>
    <w:rsid w:val="00855F87"/>
    <w:rsid w:val="00874A57"/>
    <w:rsid w:val="00882698"/>
    <w:rsid w:val="008936B7"/>
    <w:rsid w:val="008962F7"/>
    <w:rsid w:val="00896CD0"/>
    <w:rsid w:val="008A1897"/>
    <w:rsid w:val="008A1F30"/>
    <w:rsid w:val="008A3051"/>
    <w:rsid w:val="008A3487"/>
    <w:rsid w:val="008A493A"/>
    <w:rsid w:val="008A74D7"/>
    <w:rsid w:val="008B09E5"/>
    <w:rsid w:val="008B69EC"/>
    <w:rsid w:val="008D3669"/>
    <w:rsid w:val="008D6A16"/>
    <w:rsid w:val="008E335B"/>
    <w:rsid w:val="008E510E"/>
    <w:rsid w:val="008F168E"/>
    <w:rsid w:val="008F3C60"/>
    <w:rsid w:val="009010A2"/>
    <w:rsid w:val="00910E83"/>
    <w:rsid w:val="00911746"/>
    <w:rsid w:val="0091183D"/>
    <w:rsid w:val="0091272A"/>
    <w:rsid w:val="00930B86"/>
    <w:rsid w:val="00933D0B"/>
    <w:rsid w:val="00940118"/>
    <w:rsid w:val="0094770F"/>
    <w:rsid w:val="00963C34"/>
    <w:rsid w:val="00971EA5"/>
    <w:rsid w:val="0097357C"/>
    <w:rsid w:val="009753EB"/>
    <w:rsid w:val="009837E1"/>
    <w:rsid w:val="009857E9"/>
    <w:rsid w:val="00987E67"/>
    <w:rsid w:val="009A2EB4"/>
    <w:rsid w:val="009B2F18"/>
    <w:rsid w:val="009B54ED"/>
    <w:rsid w:val="009C1308"/>
    <w:rsid w:val="009C3917"/>
    <w:rsid w:val="009D168E"/>
    <w:rsid w:val="009D2D6F"/>
    <w:rsid w:val="009D4842"/>
    <w:rsid w:val="009D4B1D"/>
    <w:rsid w:val="009D65AD"/>
    <w:rsid w:val="009F48AC"/>
    <w:rsid w:val="00A111DC"/>
    <w:rsid w:val="00A1617B"/>
    <w:rsid w:val="00A23D69"/>
    <w:rsid w:val="00A2523A"/>
    <w:rsid w:val="00A25EDC"/>
    <w:rsid w:val="00A408B0"/>
    <w:rsid w:val="00A4345B"/>
    <w:rsid w:val="00A55540"/>
    <w:rsid w:val="00A60A52"/>
    <w:rsid w:val="00A63EBA"/>
    <w:rsid w:val="00A70695"/>
    <w:rsid w:val="00A75AE3"/>
    <w:rsid w:val="00A83A12"/>
    <w:rsid w:val="00A86AB0"/>
    <w:rsid w:val="00A908CE"/>
    <w:rsid w:val="00AB5E6F"/>
    <w:rsid w:val="00AC4783"/>
    <w:rsid w:val="00AE1AA5"/>
    <w:rsid w:val="00AE46DB"/>
    <w:rsid w:val="00AE79D1"/>
    <w:rsid w:val="00AF0661"/>
    <w:rsid w:val="00AF2376"/>
    <w:rsid w:val="00AF414B"/>
    <w:rsid w:val="00AF5A46"/>
    <w:rsid w:val="00AF7CB5"/>
    <w:rsid w:val="00B02B68"/>
    <w:rsid w:val="00B046CD"/>
    <w:rsid w:val="00B1490D"/>
    <w:rsid w:val="00B14E23"/>
    <w:rsid w:val="00B167DE"/>
    <w:rsid w:val="00B3266A"/>
    <w:rsid w:val="00B41269"/>
    <w:rsid w:val="00B45192"/>
    <w:rsid w:val="00B45350"/>
    <w:rsid w:val="00B54AE2"/>
    <w:rsid w:val="00B666C0"/>
    <w:rsid w:val="00B759EC"/>
    <w:rsid w:val="00B90FD7"/>
    <w:rsid w:val="00B92BBA"/>
    <w:rsid w:val="00B933D9"/>
    <w:rsid w:val="00BA61E3"/>
    <w:rsid w:val="00BC2367"/>
    <w:rsid w:val="00BC2E93"/>
    <w:rsid w:val="00BC4A83"/>
    <w:rsid w:val="00BC4F5D"/>
    <w:rsid w:val="00BD4237"/>
    <w:rsid w:val="00BD598E"/>
    <w:rsid w:val="00BD7AC4"/>
    <w:rsid w:val="00BE1DB8"/>
    <w:rsid w:val="00BF07A2"/>
    <w:rsid w:val="00BF17FE"/>
    <w:rsid w:val="00BF2916"/>
    <w:rsid w:val="00BF3413"/>
    <w:rsid w:val="00BF4875"/>
    <w:rsid w:val="00C07D3C"/>
    <w:rsid w:val="00C1087A"/>
    <w:rsid w:val="00C134F1"/>
    <w:rsid w:val="00C1424A"/>
    <w:rsid w:val="00C20346"/>
    <w:rsid w:val="00C210A9"/>
    <w:rsid w:val="00C26541"/>
    <w:rsid w:val="00C26760"/>
    <w:rsid w:val="00C30B9D"/>
    <w:rsid w:val="00C32601"/>
    <w:rsid w:val="00C32EF2"/>
    <w:rsid w:val="00C367BC"/>
    <w:rsid w:val="00C46F59"/>
    <w:rsid w:val="00C47BCE"/>
    <w:rsid w:val="00C6019B"/>
    <w:rsid w:val="00C60F01"/>
    <w:rsid w:val="00C650EE"/>
    <w:rsid w:val="00C67DC8"/>
    <w:rsid w:val="00C84EAD"/>
    <w:rsid w:val="00C857FD"/>
    <w:rsid w:val="00C85E4C"/>
    <w:rsid w:val="00C928EE"/>
    <w:rsid w:val="00CA1902"/>
    <w:rsid w:val="00CB011C"/>
    <w:rsid w:val="00CB0A55"/>
    <w:rsid w:val="00CB0AFB"/>
    <w:rsid w:val="00CC0644"/>
    <w:rsid w:val="00CC3387"/>
    <w:rsid w:val="00CD2048"/>
    <w:rsid w:val="00CD74A2"/>
    <w:rsid w:val="00CE0A09"/>
    <w:rsid w:val="00CE138E"/>
    <w:rsid w:val="00CE59B4"/>
    <w:rsid w:val="00CE5C5A"/>
    <w:rsid w:val="00CF3717"/>
    <w:rsid w:val="00CF40C1"/>
    <w:rsid w:val="00CF76AC"/>
    <w:rsid w:val="00D06996"/>
    <w:rsid w:val="00D07EFF"/>
    <w:rsid w:val="00D113BE"/>
    <w:rsid w:val="00D13DFD"/>
    <w:rsid w:val="00D242D6"/>
    <w:rsid w:val="00D25CCE"/>
    <w:rsid w:val="00D27A78"/>
    <w:rsid w:val="00D513BB"/>
    <w:rsid w:val="00D601C8"/>
    <w:rsid w:val="00D61C5F"/>
    <w:rsid w:val="00D713A6"/>
    <w:rsid w:val="00D742C8"/>
    <w:rsid w:val="00D91664"/>
    <w:rsid w:val="00D9274B"/>
    <w:rsid w:val="00DA74B6"/>
    <w:rsid w:val="00DB0089"/>
    <w:rsid w:val="00DB1FAC"/>
    <w:rsid w:val="00DB7331"/>
    <w:rsid w:val="00DE412C"/>
    <w:rsid w:val="00DE61C4"/>
    <w:rsid w:val="00DF2107"/>
    <w:rsid w:val="00DF7013"/>
    <w:rsid w:val="00E01B15"/>
    <w:rsid w:val="00E032E6"/>
    <w:rsid w:val="00E1786A"/>
    <w:rsid w:val="00E21F14"/>
    <w:rsid w:val="00E337D3"/>
    <w:rsid w:val="00E351E3"/>
    <w:rsid w:val="00E360EA"/>
    <w:rsid w:val="00E37B75"/>
    <w:rsid w:val="00E411CC"/>
    <w:rsid w:val="00E41289"/>
    <w:rsid w:val="00E420AE"/>
    <w:rsid w:val="00E43A33"/>
    <w:rsid w:val="00E524E9"/>
    <w:rsid w:val="00E533DC"/>
    <w:rsid w:val="00E54554"/>
    <w:rsid w:val="00E70F27"/>
    <w:rsid w:val="00E71020"/>
    <w:rsid w:val="00E71FDB"/>
    <w:rsid w:val="00E85139"/>
    <w:rsid w:val="00E92CB4"/>
    <w:rsid w:val="00E92E5D"/>
    <w:rsid w:val="00E9381C"/>
    <w:rsid w:val="00EC4D57"/>
    <w:rsid w:val="00EC4E37"/>
    <w:rsid w:val="00EC5363"/>
    <w:rsid w:val="00ED0E0F"/>
    <w:rsid w:val="00ED5554"/>
    <w:rsid w:val="00ED5E34"/>
    <w:rsid w:val="00EE38EE"/>
    <w:rsid w:val="00EE4286"/>
    <w:rsid w:val="00EF6305"/>
    <w:rsid w:val="00EF6975"/>
    <w:rsid w:val="00F00A57"/>
    <w:rsid w:val="00F01867"/>
    <w:rsid w:val="00F01B05"/>
    <w:rsid w:val="00F01F7F"/>
    <w:rsid w:val="00F05EB1"/>
    <w:rsid w:val="00F071FB"/>
    <w:rsid w:val="00F26312"/>
    <w:rsid w:val="00F30FFA"/>
    <w:rsid w:val="00F320F4"/>
    <w:rsid w:val="00F32549"/>
    <w:rsid w:val="00F37850"/>
    <w:rsid w:val="00F40E9D"/>
    <w:rsid w:val="00F42787"/>
    <w:rsid w:val="00F44BF0"/>
    <w:rsid w:val="00F4778D"/>
    <w:rsid w:val="00F51526"/>
    <w:rsid w:val="00F53AEB"/>
    <w:rsid w:val="00F57BF6"/>
    <w:rsid w:val="00F6366E"/>
    <w:rsid w:val="00F86E91"/>
    <w:rsid w:val="00F91C9B"/>
    <w:rsid w:val="00F92FB3"/>
    <w:rsid w:val="00F9395B"/>
    <w:rsid w:val="00FB30AD"/>
    <w:rsid w:val="00FB4922"/>
    <w:rsid w:val="00FD0DE1"/>
    <w:rsid w:val="00FD4650"/>
    <w:rsid w:val="00FD6335"/>
    <w:rsid w:val="00F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38E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B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3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B326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3266A"/>
    <w:rPr>
      <w:sz w:val="18"/>
      <w:szCs w:val="18"/>
    </w:rPr>
  </w:style>
  <w:style w:type="paragraph" w:styleId="a6">
    <w:name w:val="Revision"/>
    <w:hidden/>
    <w:uiPriority w:val="99"/>
    <w:semiHidden/>
    <w:rsid w:val="006E226F"/>
  </w:style>
  <w:style w:type="character" w:styleId="a7">
    <w:name w:val="annotation reference"/>
    <w:basedOn w:val="a0"/>
    <w:uiPriority w:val="99"/>
    <w:semiHidden/>
    <w:unhideWhenUsed/>
    <w:rsid w:val="006E226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E226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E226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E226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E226F"/>
    <w:rPr>
      <w:b/>
      <w:bCs/>
    </w:rPr>
  </w:style>
  <w:style w:type="paragraph" w:customStyle="1" w:styleId="c">
    <w:name w:val="c"/>
    <w:basedOn w:val="a"/>
    <w:rsid w:val="006F4ED5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6F4ED5"/>
    <w:rPr>
      <w:color w:val="000000"/>
      <w:sz w:val="18"/>
      <w:szCs w:val="18"/>
    </w:rPr>
  </w:style>
  <w:style w:type="table" w:styleId="aa">
    <w:name w:val="Table Grid"/>
    <w:basedOn w:val="a1"/>
    <w:uiPriority w:val="59"/>
    <w:rsid w:val="006F4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_1"/>
    <w:qFormat/>
    <w:rsid w:val="00C60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A1617B"/>
    <w:pPr>
      <w:ind w:firstLineChars="200" w:firstLine="420"/>
    </w:pPr>
  </w:style>
  <w:style w:type="paragraph" w:customStyle="1" w:styleId="afff2">
    <w:name w:val="afff2"/>
    <w:rsid w:val="00F05EB1"/>
    <w:pPr>
      <w:widowControl w:val="0"/>
      <w:jc w:val="both"/>
    </w:pPr>
    <w:rPr>
      <w:rFonts w:ascii="Times New Roman" w:eastAsia="宋体" w:hAnsi="Times New Roman" w:cs="Times New Roman"/>
      <w:szCs w:val="21"/>
      <w:lang w:bidi="th-TH"/>
    </w:rPr>
  </w:style>
  <w:style w:type="table" w:customStyle="1" w:styleId="afff8">
    <w:name w:val="afff8"/>
    <w:uiPriority w:val="99"/>
    <w:semiHidden/>
    <w:unhideWhenUsed/>
    <w:rsid w:val="00F05EB1"/>
    <w:pPr>
      <w:jc w:val="both"/>
    </w:pPr>
    <w:rPr>
      <w:rFonts w:ascii="Times New Roman" w:eastAsia="宋体" w:hAnsi="Times New Roman" w:cs="Times New Roman"/>
      <w:szCs w:val="21"/>
      <w:lang w:bidi="th-TH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nbank.com.cn/" TargetMode="External"/><Relationship Id="rId13" Type="http://schemas.openxmlformats.org/officeDocument/2006/relationships/hyperlink" Target="tel:400618070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qcbank.com/" TargetMode="External"/><Relationship Id="rId12" Type="http://schemas.openxmlformats.org/officeDocument/2006/relationships/hyperlink" Target="http://www.hongdianfund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fund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qrcb.com.cn/" TargetMode="External"/><Relationship Id="rId10" Type="http://schemas.openxmlformats.org/officeDocument/2006/relationships/hyperlink" Target="http://www.grcban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zbank.cn/" TargetMode="External"/><Relationship Id="rId14" Type="http://schemas.openxmlformats.org/officeDocument/2006/relationships/hyperlink" Target="http://www.lczq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4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合规部-邱曦</dc:creator>
  <cp:lastModifiedBy>ZHONGM</cp:lastModifiedBy>
  <cp:revision>2</cp:revision>
  <cp:lastPrinted>2025-08-20T08:44:00Z</cp:lastPrinted>
  <dcterms:created xsi:type="dcterms:W3CDTF">2026-05-20T16:03:00Z</dcterms:created>
  <dcterms:modified xsi:type="dcterms:W3CDTF">2026-05-20T16:03:00Z</dcterms:modified>
</cp:coreProperties>
</file>