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B9" w:rsidRDefault="00AC410D">
      <w:pPr>
        <w:pStyle w:val="a4"/>
        <w:ind w:left="0"/>
        <w:jc w:val="center"/>
        <w:rPr>
          <w:sz w:val="30"/>
          <w:lang w:val="en-US"/>
        </w:rPr>
      </w:pPr>
      <w:r>
        <w:rPr>
          <w:rFonts w:hint="eastAsia"/>
          <w:sz w:val="30"/>
        </w:rPr>
        <w:t>关于增加福克斯（北京）基金销售有限公司为</w:t>
      </w:r>
      <w:r>
        <w:rPr>
          <w:rFonts w:hint="eastAsia"/>
          <w:sz w:val="30"/>
          <w:lang w:val="en-US"/>
        </w:rPr>
        <w:t>公司旗下</w:t>
      </w:r>
    </w:p>
    <w:p w:rsidR="008857B9" w:rsidRDefault="00AC410D">
      <w:pPr>
        <w:pStyle w:val="a4"/>
        <w:ind w:left="0"/>
        <w:jc w:val="center"/>
        <w:rPr>
          <w:sz w:val="30"/>
        </w:rPr>
      </w:pPr>
      <w:r>
        <w:rPr>
          <w:rFonts w:hint="eastAsia"/>
          <w:sz w:val="30"/>
          <w:lang w:val="en-US"/>
        </w:rPr>
        <w:t>部分</w:t>
      </w:r>
      <w:r>
        <w:rPr>
          <w:rFonts w:hint="eastAsia"/>
          <w:sz w:val="30"/>
        </w:rPr>
        <w:t>基金销售机构的公告</w:t>
      </w:r>
    </w:p>
    <w:p w:rsidR="008857B9" w:rsidRDefault="008857B9">
      <w:pPr>
        <w:pStyle w:val="a4"/>
        <w:ind w:left="0"/>
        <w:jc w:val="center"/>
        <w:rPr>
          <w:sz w:val="30"/>
        </w:rPr>
      </w:pPr>
    </w:p>
    <w:p w:rsidR="008857B9" w:rsidRDefault="00AC410D">
      <w:pPr>
        <w:pStyle w:val="a4"/>
        <w:spacing w:before="161" w:line="364" w:lineRule="auto"/>
        <w:ind w:right="239" w:firstLine="480"/>
        <w:jc w:val="both"/>
      </w:pPr>
      <w:r>
        <w:t>东方基金管理股份有限公司（以下简称</w:t>
      </w:r>
      <w:r>
        <w:t>“</w:t>
      </w:r>
      <w:r>
        <w:t>本公司</w:t>
      </w:r>
      <w:r>
        <w:t>”</w:t>
      </w:r>
      <w:r>
        <w:t>）与</w:t>
      </w:r>
      <w:r>
        <w:rPr>
          <w:rFonts w:hint="eastAsia"/>
        </w:rPr>
        <w:t>福克斯（北京）基金销售有限公司（</w:t>
      </w:r>
      <w:r>
        <w:rPr>
          <w:rFonts w:hint="eastAsia"/>
          <w:lang w:val="en-US"/>
        </w:rPr>
        <w:t>以下简称“</w:t>
      </w:r>
      <w:r>
        <w:rPr>
          <w:rFonts w:hint="eastAsia"/>
          <w:lang w:val="en-US"/>
        </w:rPr>
        <w:t>福克斯基金</w:t>
      </w:r>
      <w:r>
        <w:rPr>
          <w:rFonts w:hint="eastAsia"/>
          <w:lang w:val="en-US"/>
        </w:rPr>
        <w:t>”</w:t>
      </w:r>
      <w:r>
        <w:rPr>
          <w:rFonts w:hint="eastAsia"/>
        </w:rPr>
        <w:t>）</w:t>
      </w:r>
      <w:r>
        <w:t>协商一致，自</w:t>
      </w:r>
      <w:r>
        <w:t>202</w:t>
      </w:r>
      <w:r>
        <w:rPr>
          <w:rFonts w:hint="eastAsia"/>
          <w:lang w:val="en-US"/>
        </w:rPr>
        <w:t>6</w:t>
      </w:r>
      <w:r>
        <w:t>年</w:t>
      </w:r>
      <w:r>
        <w:rPr>
          <w:rFonts w:hint="eastAsia"/>
          <w:lang w:val="en-US"/>
        </w:rPr>
        <w:t>5</w:t>
      </w:r>
      <w:r>
        <w:t>月</w:t>
      </w:r>
      <w:r>
        <w:rPr>
          <w:rFonts w:hint="eastAsia"/>
          <w:lang w:val="en-US"/>
        </w:rPr>
        <w:t>2</w:t>
      </w:r>
      <w:r>
        <w:rPr>
          <w:rFonts w:hint="eastAsia"/>
          <w:lang w:val="en-US"/>
        </w:rPr>
        <w:t>2</w:t>
      </w:r>
      <w:r>
        <w:t>日起，新增</w:t>
      </w:r>
      <w:r>
        <w:rPr>
          <w:rFonts w:hint="eastAsia"/>
          <w:lang w:val="en-US"/>
        </w:rPr>
        <w:t>福克斯基金</w:t>
      </w:r>
      <w:r>
        <w:t>办理本公司</w:t>
      </w:r>
      <w:r>
        <w:rPr>
          <w:rFonts w:hint="eastAsia"/>
        </w:rPr>
        <w:t>旗下</w:t>
      </w:r>
      <w:r>
        <w:rPr>
          <w:rFonts w:hint="eastAsia"/>
          <w:lang w:val="en-US"/>
        </w:rPr>
        <w:t>部分基金</w:t>
      </w:r>
      <w:r>
        <w:t>的销售</w:t>
      </w:r>
      <w:bookmarkStart w:id="0" w:name="_GoBack"/>
      <w:bookmarkEnd w:id="0"/>
      <w:r>
        <w:t>业务</w:t>
      </w:r>
      <w:r>
        <w:t>(</w:t>
      </w:r>
      <w:r>
        <w:t>仅限前端模式</w:t>
      </w:r>
      <w:r>
        <w:t>)</w:t>
      </w:r>
      <w:r>
        <w:t>。现将有关事项公告如下：</w:t>
      </w:r>
    </w:p>
    <w:p w:rsidR="008857B9" w:rsidRDefault="00AC410D">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42"/>
        <w:gridCol w:w="3953"/>
        <w:gridCol w:w="1880"/>
        <w:gridCol w:w="2910"/>
      </w:tblGrid>
      <w:tr w:rsidR="008857B9">
        <w:trPr>
          <w:trHeight w:val="414"/>
        </w:trPr>
        <w:tc>
          <w:tcPr>
            <w:tcW w:w="642" w:type="dxa"/>
            <w:tcBorders>
              <w:left w:val="single" w:sz="4" w:space="0" w:color="auto"/>
              <w:bottom w:val="single" w:sz="4" w:space="0" w:color="auto"/>
              <w:right w:val="single" w:sz="4" w:space="0" w:color="auto"/>
            </w:tcBorders>
          </w:tcPr>
          <w:p w:rsidR="008857B9" w:rsidRDefault="00AC410D">
            <w:pPr>
              <w:jc w:val="center"/>
              <w:rPr>
                <w:sz w:val="24"/>
                <w:szCs w:val="24"/>
                <w:lang w:val="en-US"/>
              </w:rPr>
            </w:pPr>
            <w:r>
              <w:rPr>
                <w:rFonts w:hint="eastAsia"/>
                <w:sz w:val="24"/>
                <w:szCs w:val="24"/>
                <w:lang w:val="en-US"/>
              </w:rPr>
              <w:t>序号</w:t>
            </w:r>
          </w:p>
        </w:tc>
        <w:tc>
          <w:tcPr>
            <w:tcW w:w="3953" w:type="dxa"/>
            <w:tcBorders>
              <w:left w:val="single" w:sz="4" w:space="0" w:color="auto"/>
              <w:bottom w:val="single" w:sz="4" w:space="0" w:color="auto"/>
              <w:right w:val="single" w:sz="4" w:space="0" w:color="auto"/>
            </w:tcBorders>
          </w:tcPr>
          <w:p w:rsidR="008857B9" w:rsidRDefault="00AC410D">
            <w:pPr>
              <w:jc w:val="center"/>
              <w:rPr>
                <w:sz w:val="24"/>
                <w:szCs w:val="24"/>
                <w:lang w:val="en-US"/>
              </w:rPr>
            </w:pPr>
            <w:r>
              <w:rPr>
                <w:rFonts w:hint="eastAsia"/>
                <w:sz w:val="24"/>
                <w:szCs w:val="24"/>
                <w:lang w:val="en-US"/>
              </w:rPr>
              <w:t>基金名称</w:t>
            </w:r>
          </w:p>
        </w:tc>
        <w:tc>
          <w:tcPr>
            <w:tcW w:w="1880" w:type="dxa"/>
            <w:tcBorders>
              <w:left w:val="single" w:sz="4" w:space="0" w:color="auto"/>
              <w:bottom w:val="single" w:sz="4" w:space="0" w:color="auto"/>
              <w:right w:val="single" w:sz="4" w:space="0" w:color="auto"/>
            </w:tcBorders>
          </w:tcPr>
          <w:p w:rsidR="008857B9" w:rsidRDefault="00AC410D">
            <w:pPr>
              <w:ind w:firstLineChars="200" w:firstLine="480"/>
              <w:jc w:val="left"/>
              <w:rPr>
                <w:sz w:val="24"/>
                <w:szCs w:val="24"/>
                <w:lang w:val="en-US"/>
              </w:rPr>
            </w:pPr>
            <w:r>
              <w:rPr>
                <w:rFonts w:hint="eastAsia"/>
                <w:sz w:val="24"/>
                <w:szCs w:val="24"/>
                <w:lang w:val="en-US"/>
              </w:rPr>
              <w:t>基金代码</w:t>
            </w:r>
          </w:p>
        </w:tc>
        <w:tc>
          <w:tcPr>
            <w:tcW w:w="2910" w:type="dxa"/>
            <w:tcBorders>
              <w:left w:val="single" w:sz="4" w:space="0" w:color="auto"/>
              <w:bottom w:val="single" w:sz="4" w:space="0" w:color="auto"/>
              <w:right w:val="single" w:sz="4" w:space="0" w:color="auto"/>
            </w:tcBorders>
          </w:tcPr>
          <w:p w:rsidR="008857B9" w:rsidRDefault="00AC410D">
            <w:pPr>
              <w:jc w:val="center"/>
              <w:rPr>
                <w:sz w:val="24"/>
                <w:szCs w:val="24"/>
                <w:lang w:val="en-US"/>
              </w:rPr>
            </w:pPr>
            <w:r>
              <w:rPr>
                <w:rFonts w:hint="eastAsia"/>
                <w:sz w:val="24"/>
                <w:szCs w:val="24"/>
                <w:lang w:val="en-US"/>
              </w:rPr>
              <w:t>开通业务</w:t>
            </w:r>
          </w:p>
        </w:tc>
      </w:tr>
      <w:tr w:rsidR="008857B9">
        <w:trPr>
          <w:trHeight w:val="768"/>
        </w:trPr>
        <w:tc>
          <w:tcPr>
            <w:tcW w:w="642" w:type="dxa"/>
            <w:tcBorders>
              <w:top w:val="single" w:sz="4" w:space="0" w:color="auto"/>
              <w:left w:val="single" w:sz="4" w:space="0" w:color="auto"/>
              <w:bottom w:val="single" w:sz="4" w:space="0" w:color="auto"/>
              <w:right w:val="single" w:sz="4" w:space="0" w:color="auto"/>
            </w:tcBorders>
            <w:vAlign w:val="center"/>
          </w:tcPr>
          <w:p w:rsidR="008857B9" w:rsidRDefault="00AC410D">
            <w:pPr>
              <w:jc w:val="center"/>
              <w:rPr>
                <w:sz w:val="24"/>
                <w:szCs w:val="24"/>
                <w:lang w:val="en-US"/>
              </w:rPr>
            </w:pPr>
            <w:r>
              <w:rPr>
                <w:rFonts w:hint="eastAsia"/>
                <w:sz w:val="24"/>
                <w:szCs w:val="24"/>
                <w:lang w:val="en-US"/>
              </w:rPr>
              <w:t>1</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ind w:left="125" w:right="118"/>
              <w:jc w:val="center"/>
            </w:pPr>
            <w:r>
              <w:rPr>
                <w:rFonts w:hint="eastAsia"/>
              </w:rPr>
              <w:t>东方金证通货币市场基金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spacing w:before="4" w:line="292" w:lineRule="exact"/>
              <w:ind w:left="106"/>
              <w:jc w:val="center"/>
            </w:pPr>
            <w:r>
              <w:rPr>
                <w:rFonts w:hint="eastAsia"/>
              </w:rPr>
              <w:t>009976</w:t>
            </w:r>
            <w:r>
              <w:rPr>
                <w:rFonts w:hint="eastAsia"/>
              </w:rPr>
              <w:t>（</w:t>
            </w:r>
            <w:r>
              <w:rPr>
                <w:rFonts w:hint="eastAsia"/>
              </w:rPr>
              <w:t>B</w:t>
            </w:r>
            <w:r>
              <w:rPr>
                <w:rFonts w:hint="eastAsia"/>
                <w:lang w:val="en-US"/>
              </w:rPr>
              <w:t>类</w:t>
            </w:r>
            <w:r>
              <w:rPr>
                <w:rFonts w:hint="eastAsia"/>
              </w:rPr>
              <w:t>）</w:t>
            </w:r>
          </w:p>
        </w:tc>
        <w:tc>
          <w:tcPr>
            <w:tcW w:w="2910" w:type="dxa"/>
            <w:vMerge w:val="restart"/>
            <w:tcBorders>
              <w:top w:val="single" w:sz="4" w:space="0" w:color="auto"/>
              <w:left w:val="single" w:sz="4" w:space="0" w:color="auto"/>
              <w:right w:val="single" w:sz="4" w:space="0" w:color="auto"/>
            </w:tcBorders>
          </w:tcPr>
          <w:p w:rsidR="008857B9" w:rsidRDefault="008857B9"/>
          <w:p w:rsidR="008857B9" w:rsidRDefault="008857B9"/>
          <w:p w:rsidR="008857B9" w:rsidRDefault="008857B9"/>
          <w:p w:rsidR="008857B9" w:rsidRDefault="00AC410D">
            <w:r>
              <w:rPr>
                <w:rFonts w:hint="eastAsia"/>
              </w:rPr>
              <w:t>开户、申购、赎回、</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tc>
      </w:tr>
      <w:tr w:rsidR="008857B9">
        <w:trPr>
          <w:trHeight w:val="750"/>
        </w:trPr>
        <w:tc>
          <w:tcPr>
            <w:tcW w:w="642" w:type="dxa"/>
            <w:tcBorders>
              <w:top w:val="single" w:sz="4" w:space="0" w:color="auto"/>
              <w:left w:val="single" w:sz="4" w:space="0" w:color="auto"/>
              <w:bottom w:val="single" w:sz="4" w:space="0" w:color="auto"/>
              <w:right w:val="single" w:sz="4" w:space="0" w:color="auto"/>
            </w:tcBorders>
            <w:vAlign w:val="center"/>
          </w:tcPr>
          <w:p w:rsidR="008857B9" w:rsidRDefault="00AC410D">
            <w:pPr>
              <w:jc w:val="center"/>
              <w:rPr>
                <w:sz w:val="24"/>
                <w:szCs w:val="24"/>
                <w:lang w:val="en-US"/>
              </w:rPr>
            </w:pPr>
            <w:r>
              <w:rPr>
                <w:rFonts w:hint="eastAsia"/>
                <w:sz w:val="24"/>
                <w:szCs w:val="24"/>
                <w:lang w:val="en-US"/>
              </w:rPr>
              <w:t>2</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ind w:left="125" w:right="118"/>
              <w:jc w:val="center"/>
              <w:rPr>
                <w:lang w:val="en-US"/>
              </w:rPr>
            </w:pPr>
            <w:r>
              <w:rPr>
                <w:rFonts w:hint="eastAsia"/>
                <w:lang w:val="en-US"/>
              </w:rPr>
              <w:t>东方金元宝货币市场基金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spacing w:before="4" w:line="292" w:lineRule="exact"/>
              <w:ind w:left="106"/>
              <w:jc w:val="center"/>
            </w:pPr>
            <w:r>
              <w:rPr>
                <w:rFonts w:hint="eastAsia"/>
              </w:rPr>
              <w:t>001987</w:t>
            </w:r>
            <w:r>
              <w:rPr>
                <w:rFonts w:hint="eastAsia"/>
              </w:rPr>
              <w:t>（</w:t>
            </w:r>
            <w:r>
              <w:rPr>
                <w:rFonts w:hint="eastAsia"/>
              </w:rPr>
              <w:t>A</w:t>
            </w:r>
            <w:r>
              <w:rPr>
                <w:rFonts w:hint="eastAsia"/>
                <w:lang w:val="en-US"/>
              </w:rPr>
              <w:t>类</w:t>
            </w:r>
            <w:r>
              <w:rPr>
                <w:rFonts w:hint="eastAsia"/>
              </w:rPr>
              <w:t>）</w:t>
            </w:r>
          </w:p>
        </w:tc>
        <w:tc>
          <w:tcPr>
            <w:tcW w:w="2910" w:type="dxa"/>
            <w:vMerge/>
            <w:tcBorders>
              <w:left w:val="single" w:sz="4" w:space="0" w:color="auto"/>
              <w:right w:val="single" w:sz="4" w:space="0" w:color="auto"/>
            </w:tcBorders>
          </w:tcPr>
          <w:p w:rsidR="008857B9" w:rsidRDefault="008857B9"/>
        </w:tc>
      </w:tr>
      <w:tr w:rsidR="008857B9">
        <w:trPr>
          <w:trHeight w:val="750"/>
        </w:trPr>
        <w:tc>
          <w:tcPr>
            <w:tcW w:w="642" w:type="dxa"/>
            <w:tcBorders>
              <w:top w:val="single" w:sz="4" w:space="0" w:color="auto"/>
              <w:left w:val="single" w:sz="4" w:space="0" w:color="auto"/>
              <w:bottom w:val="single" w:sz="4" w:space="0" w:color="auto"/>
              <w:right w:val="single" w:sz="4" w:space="0" w:color="auto"/>
            </w:tcBorders>
            <w:vAlign w:val="center"/>
          </w:tcPr>
          <w:p w:rsidR="008857B9" w:rsidRDefault="00AC410D">
            <w:pPr>
              <w:jc w:val="center"/>
              <w:rPr>
                <w:sz w:val="24"/>
                <w:szCs w:val="24"/>
                <w:lang w:val="en-US"/>
              </w:rPr>
            </w:pPr>
            <w:r>
              <w:rPr>
                <w:rFonts w:hint="eastAsia"/>
                <w:sz w:val="24"/>
                <w:szCs w:val="24"/>
                <w:lang w:val="en-US"/>
              </w:rPr>
              <w:t>3</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ind w:left="125" w:right="118"/>
              <w:jc w:val="center"/>
              <w:rPr>
                <w:lang w:val="en-US"/>
              </w:rPr>
            </w:pPr>
            <w:r>
              <w:rPr>
                <w:rFonts w:hint="eastAsia"/>
                <w:lang w:val="en-US"/>
              </w:rPr>
              <w:t>东方金账簿货币市场证券投资基金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spacing w:before="4" w:line="292" w:lineRule="exact"/>
              <w:ind w:left="106"/>
              <w:jc w:val="center"/>
            </w:pPr>
            <w:r>
              <w:rPr>
                <w:rFonts w:hint="eastAsia"/>
              </w:rPr>
              <w:t>400005</w:t>
            </w:r>
            <w:r>
              <w:rPr>
                <w:rFonts w:hint="eastAsia"/>
              </w:rPr>
              <w:t>（</w:t>
            </w:r>
            <w:r>
              <w:rPr>
                <w:rFonts w:hint="eastAsia"/>
              </w:rPr>
              <w:t>A</w:t>
            </w:r>
            <w:r>
              <w:rPr>
                <w:rFonts w:hint="eastAsia"/>
                <w:lang w:val="en-US"/>
              </w:rPr>
              <w:t>类</w:t>
            </w:r>
            <w:r>
              <w:rPr>
                <w:rFonts w:hint="eastAsia"/>
              </w:rPr>
              <w:t>）</w:t>
            </w:r>
            <w:r>
              <w:rPr>
                <w:rFonts w:hint="eastAsia"/>
              </w:rPr>
              <w:t>400006</w:t>
            </w:r>
            <w:r>
              <w:rPr>
                <w:rFonts w:hint="eastAsia"/>
              </w:rPr>
              <w:t>（</w:t>
            </w:r>
            <w:r>
              <w:rPr>
                <w:rFonts w:hint="eastAsia"/>
              </w:rPr>
              <w:t>B</w:t>
            </w:r>
            <w:r>
              <w:rPr>
                <w:rFonts w:hint="eastAsia"/>
                <w:lang w:val="en-US"/>
              </w:rPr>
              <w:t>类</w:t>
            </w:r>
            <w:r>
              <w:rPr>
                <w:rFonts w:hint="eastAsia"/>
              </w:rPr>
              <w:t>）</w:t>
            </w:r>
          </w:p>
        </w:tc>
        <w:tc>
          <w:tcPr>
            <w:tcW w:w="2910" w:type="dxa"/>
            <w:vMerge/>
            <w:tcBorders>
              <w:left w:val="single" w:sz="4" w:space="0" w:color="auto"/>
              <w:right w:val="single" w:sz="4" w:space="0" w:color="auto"/>
            </w:tcBorders>
          </w:tcPr>
          <w:p w:rsidR="008857B9" w:rsidRDefault="008857B9"/>
        </w:tc>
      </w:tr>
      <w:tr w:rsidR="008857B9">
        <w:trPr>
          <w:trHeight w:val="750"/>
        </w:trPr>
        <w:tc>
          <w:tcPr>
            <w:tcW w:w="642" w:type="dxa"/>
            <w:tcBorders>
              <w:top w:val="single" w:sz="4" w:space="0" w:color="auto"/>
              <w:left w:val="single" w:sz="4" w:space="0" w:color="auto"/>
              <w:bottom w:val="single" w:sz="4" w:space="0" w:color="auto"/>
              <w:right w:val="single" w:sz="4" w:space="0" w:color="auto"/>
            </w:tcBorders>
            <w:vAlign w:val="center"/>
          </w:tcPr>
          <w:p w:rsidR="008857B9" w:rsidRDefault="00AC410D">
            <w:pPr>
              <w:jc w:val="center"/>
              <w:rPr>
                <w:sz w:val="24"/>
                <w:szCs w:val="24"/>
                <w:lang w:val="en-US"/>
              </w:rPr>
            </w:pPr>
            <w:r>
              <w:rPr>
                <w:rFonts w:hint="eastAsia"/>
                <w:sz w:val="24"/>
                <w:szCs w:val="24"/>
                <w:lang w:val="en-US"/>
              </w:rPr>
              <w:t>5</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ind w:left="125" w:right="118"/>
              <w:jc w:val="center"/>
              <w:rPr>
                <w:lang w:val="en-US"/>
              </w:rPr>
            </w:pPr>
            <w:r>
              <w:rPr>
                <w:rFonts w:hint="eastAsia"/>
              </w:rPr>
              <w:t>东方金证通货币市场基金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8857B9" w:rsidRDefault="00AC410D">
            <w:pPr>
              <w:pStyle w:val="TableParagraph"/>
              <w:spacing w:before="4" w:line="292" w:lineRule="exact"/>
              <w:ind w:left="106"/>
              <w:jc w:val="center"/>
            </w:pPr>
            <w:r>
              <w:rPr>
                <w:rFonts w:hint="eastAsia"/>
              </w:rPr>
              <w:t>002243</w:t>
            </w:r>
            <w:r>
              <w:rPr>
                <w:rFonts w:hint="eastAsia"/>
              </w:rPr>
              <w:t>（</w:t>
            </w:r>
            <w:r>
              <w:rPr>
                <w:rFonts w:hint="eastAsia"/>
              </w:rPr>
              <w:t>A</w:t>
            </w:r>
            <w:r>
              <w:rPr>
                <w:rFonts w:hint="eastAsia"/>
                <w:lang w:val="en-US"/>
              </w:rPr>
              <w:t>类</w:t>
            </w:r>
            <w:r>
              <w:rPr>
                <w:rFonts w:hint="eastAsia"/>
              </w:rPr>
              <w:t>）</w:t>
            </w:r>
          </w:p>
        </w:tc>
        <w:tc>
          <w:tcPr>
            <w:tcW w:w="2910" w:type="dxa"/>
            <w:tcBorders>
              <w:left w:val="single" w:sz="4" w:space="0" w:color="auto"/>
              <w:right w:val="single" w:sz="4" w:space="0" w:color="auto"/>
            </w:tcBorders>
            <w:shd w:val="clear" w:color="auto" w:fill="auto"/>
          </w:tcPr>
          <w:p w:rsidR="008857B9" w:rsidRDefault="00AC410D">
            <w:r>
              <w:rPr>
                <w:rFonts w:hint="eastAsia"/>
              </w:rPr>
              <w:t>开户、申购、赎回业务</w:t>
            </w:r>
            <w:r>
              <w:rPr>
                <w:rFonts w:hint="eastAsia"/>
              </w:rPr>
              <w:t>(</w:t>
            </w:r>
            <w:r>
              <w:rPr>
                <w:rFonts w:hint="eastAsia"/>
              </w:rPr>
              <w:t>仅限前端申购模式</w:t>
            </w:r>
            <w:r>
              <w:rPr>
                <w:rFonts w:hint="eastAsia"/>
              </w:rPr>
              <w:t>)</w:t>
            </w:r>
          </w:p>
        </w:tc>
      </w:tr>
    </w:tbl>
    <w:p w:rsidR="008857B9" w:rsidRDefault="00AC410D">
      <w:pPr>
        <w:pStyle w:val="ac"/>
        <w:numPr>
          <w:ilvl w:val="255"/>
          <w:numId w:val="0"/>
        </w:numPr>
        <w:tabs>
          <w:tab w:val="left" w:pos="842"/>
        </w:tabs>
        <w:spacing w:before="42" w:line="242" w:lineRule="auto"/>
        <w:ind w:left="420" w:right="237"/>
        <w:rPr>
          <w:sz w:val="24"/>
          <w:szCs w:val="24"/>
          <w:lang w:val="en-US"/>
        </w:rPr>
      </w:pPr>
      <w:r>
        <w:rPr>
          <w:rFonts w:hint="eastAsia"/>
          <w:sz w:val="24"/>
          <w:szCs w:val="24"/>
          <w:lang w:val="en-US"/>
        </w:rPr>
        <w:t>备注：</w:t>
      </w:r>
    </w:p>
    <w:p w:rsidR="008857B9" w:rsidRDefault="00AC410D">
      <w:pPr>
        <w:rPr>
          <w:sz w:val="21"/>
          <w:szCs w:val="21"/>
          <w:lang w:val="en-US"/>
        </w:rPr>
      </w:pPr>
      <w:r>
        <w:rPr>
          <w:rFonts w:hint="eastAsia"/>
          <w:sz w:val="21"/>
          <w:szCs w:val="21"/>
          <w:lang w:val="en-US"/>
        </w:rPr>
        <w:t>1</w:t>
      </w:r>
      <w:r>
        <w:rPr>
          <w:rFonts w:hint="eastAsia"/>
          <w:sz w:val="21"/>
          <w:szCs w:val="21"/>
          <w:lang w:val="en-US"/>
        </w:rPr>
        <w:t>.</w:t>
      </w:r>
      <w:r>
        <w:rPr>
          <w:rFonts w:hint="eastAsia"/>
          <w:sz w:val="21"/>
          <w:szCs w:val="21"/>
          <w:lang w:val="en-US"/>
        </w:rPr>
        <w:t>自</w:t>
      </w:r>
      <w:r>
        <w:rPr>
          <w:rFonts w:hint="eastAsia"/>
          <w:sz w:val="21"/>
          <w:szCs w:val="21"/>
          <w:lang w:val="en-US"/>
        </w:rPr>
        <w:t>202</w:t>
      </w:r>
      <w:r>
        <w:rPr>
          <w:rFonts w:hint="eastAsia"/>
          <w:sz w:val="21"/>
          <w:szCs w:val="21"/>
          <w:lang w:val="en-US"/>
        </w:rPr>
        <w:t>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东北证券股份有限公司、上海陆金所基金销售有限公司、中国民生银行股份有限公司、中国邮政储蓄银行股份有限公司除外）对东方金证通货币市场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8857B9" w:rsidRDefault="00AC410D">
      <w:pPr>
        <w:ind w:firstLineChars="200" w:firstLine="420"/>
        <w:rPr>
          <w:sz w:val="21"/>
          <w:szCs w:val="21"/>
          <w:lang w:val="en-US"/>
        </w:rPr>
      </w:pPr>
      <w:r>
        <w:rPr>
          <w:rFonts w:hint="eastAsia"/>
          <w:sz w:val="21"/>
          <w:szCs w:val="21"/>
          <w:lang w:val="en-US"/>
        </w:rPr>
        <w:t>根据</w:t>
      </w:r>
      <w:r>
        <w:rPr>
          <w:rFonts w:hint="eastAsia"/>
          <w:sz w:val="21"/>
          <w:szCs w:val="21"/>
          <w:lang w:val="en-US"/>
        </w:rPr>
        <w:t>2019</w:t>
      </w:r>
      <w:r>
        <w:rPr>
          <w:rFonts w:hint="eastAsia"/>
          <w:sz w:val="21"/>
          <w:szCs w:val="21"/>
          <w:lang w:val="en-US"/>
        </w:rPr>
        <w:t>年</w:t>
      </w:r>
      <w:r>
        <w:rPr>
          <w:rFonts w:hint="eastAsia"/>
          <w:sz w:val="21"/>
          <w:szCs w:val="21"/>
          <w:lang w:val="en-US"/>
        </w:rPr>
        <w:t>2</w:t>
      </w:r>
      <w:r>
        <w:rPr>
          <w:rFonts w:hint="eastAsia"/>
          <w:sz w:val="21"/>
          <w:szCs w:val="21"/>
          <w:lang w:val="en-US"/>
        </w:rPr>
        <w:t>月</w:t>
      </w:r>
      <w:r>
        <w:rPr>
          <w:rFonts w:hint="eastAsia"/>
          <w:sz w:val="21"/>
          <w:szCs w:val="21"/>
          <w:lang w:val="en-US"/>
        </w:rPr>
        <w:t>22</w:t>
      </w:r>
      <w:r>
        <w:rPr>
          <w:rFonts w:hint="eastAsia"/>
          <w:sz w:val="21"/>
          <w:szCs w:val="21"/>
          <w:lang w:val="en-US"/>
        </w:rPr>
        <w:t>日披露的《东方金证通货币市场基金暂停转换业务及定期定额投</w:t>
      </w:r>
      <w:r>
        <w:rPr>
          <w:rFonts w:hint="eastAsia"/>
          <w:sz w:val="21"/>
          <w:szCs w:val="21"/>
          <w:lang w:val="en-US"/>
        </w:rPr>
        <w:t>资业务公告》，东方金证通货币市场基金</w:t>
      </w:r>
      <w:r>
        <w:rPr>
          <w:rFonts w:hint="eastAsia"/>
          <w:sz w:val="21"/>
          <w:szCs w:val="21"/>
          <w:lang w:val="en-US"/>
        </w:rPr>
        <w:t>A</w:t>
      </w:r>
      <w:r>
        <w:rPr>
          <w:rFonts w:hint="eastAsia"/>
          <w:sz w:val="21"/>
          <w:szCs w:val="21"/>
          <w:lang w:val="en-US"/>
        </w:rPr>
        <w:t>类份额（基金代码：</w:t>
      </w:r>
      <w:r>
        <w:rPr>
          <w:rFonts w:hint="eastAsia"/>
          <w:sz w:val="21"/>
          <w:szCs w:val="21"/>
          <w:lang w:val="en-US"/>
        </w:rPr>
        <w:t>002243</w:t>
      </w:r>
      <w:r>
        <w:rPr>
          <w:rFonts w:hint="eastAsia"/>
          <w:sz w:val="21"/>
          <w:szCs w:val="21"/>
          <w:lang w:val="en-US"/>
        </w:rPr>
        <w:t>）暂停转换业务及定期定额投资业务。恢复办理东方金证通货币</w:t>
      </w:r>
      <w:r>
        <w:rPr>
          <w:rFonts w:hint="eastAsia"/>
          <w:sz w:val="21"/>
          <w:szCs w:val="21"/>
          <w:lang w:val="en-US"/>
        </w:rPr>
        <w:t>A</w:t>
      </w:r>
      <w:r>
        <w:rPr>
          <w:rFonts w:hint="eastAsia"/>
          <w:sz w:val="21"/>
          <w:szCs w:val="21"/>
          <w:lang w:val="en-US"/>
        </w:rPr>
        <w:t>的转换业务及定期定额投资业务的日期，本基金管理人将另行公告。</w:t>
      </w:r>
    </w:p>
    <w:p w:rsidR="008857B9" w:rsidRDefault="00AC410D">
      <w:pPr>
        <w:numPr>
          <w:ilvl w:val="255"/>
          <w:numId w:val="0"/>
        </w:numPr>
        <w:rPr>
          <w:sz w:val="21"/>
          <w:szCs w:val="21"/>
          <w:lang w:val="en-US"/>
        </w:rPr>
      </w:pPr>
      <w:r>
        <w:rPr>
          <w:rFonts w:hint="eastAsia"/>
          <w:sz w:val="21"/>
          <w:szCs w:val="21"/>
          <w:lang w:val="en-US"/>
        </w:rPr>
        <w:t>2.</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华夏银行股份有限公司、京东肯特瑞基金销售有限公司、上海陆金所基金销售有限公司、浙江同花顺基金销售有限公司、中国工商银行股份有限公司、中国民生银行股份有限公司、中国邮政储蓄银行股份有限公司除外）对东方金元宝货币市场基金的单笔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w:t>
      </w:r>
      <w:r>
        <w:rPr>
          <w:rFonts w:hint="eastAsia"/>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w:t>
      </w:r>
      <w:r>
        <w:rPr>
          <w:rFonts w:hint="eastAsia"/>
          <w:sz w:val="21"/>
          <w:szCs w:val="21"/>
          <w:lang w:val="en-US"/>
        </w:rPr>
        <w:lastRenderedPageBreak/>
        <w:t>不予确认。</w:t>
      </w:r>
    </w:p>
    <w:p w:rsidR="008857B9" w:rsidRDefault="00AC410D">
      <w:pPr>
        <w:rPr>
          <w:sz w:val="21"/>
          <w:szCs w:val="21"/>
          <w:lang w:val="en-US"/>
        </w:rPr>
      </w:pPr>
      <w:r>
        <w:rPr>
          <w:rFonts w:hint="eastAsia"/>
          <w:sz w:val="21"/>
          <w:szCs w:val="21"/>
          <w:lang w:val="en-US"/>
        </w:rPr>
        <w:t>3</w:t>
      </w:r>
      <w:r>
        <w:rPr>
          <w:rFonts w:hint="eastAsia"/>
          <w:sz w:val="21"/>
          <w:szCs w:val="21"/>
          <w:lang w:val="en-US"/>
        </w:rPr>
        <w:t>.</w:t>
      </w:r>
      <w:r>
        <w:rPr>
          <w:rFonts w:hint="eastAsia"/>
          <w:sz w:val="21"/>
          <w:szCs w:val="21"/>
          <w:lang w:val="en-US"/>
        </w:rPr>
        <w:t>自</w:t>
      </w:r>
      <w:r>
        <w:rPr>
          <w:rFonts w:hint="eastAsia"/>
          <w:sz w:val="21"/>
          <w:szCs w:val="21"/>
          <w:lang w:val="en-US"/>
        </w:rPr>
        <w:t>2025</w:t>
      </w:r>
      <w:r>
        <w:rPr>
          <w:rFonts w:hint="eastAsia"/>
          <w:sz w:val="21"/>
          <w:szCs w:val="21"/>
          <w:lang w:val="en-US"/>
        </w:rPr>
        <w:t>年</w:t>
      </w:r>
      <w:r>
        <w:rPr>
          <w:rFonts w:hint="eastAsia"/>
          <w:sz w:val="21"/>
          <w:szCs w:val="21"/>
          <w:lang w:val="en-US"/>
        </w:rPr>
        <w:t>7</w:t>
      </w:r>
      <w:r>
        <w:rPr>
          <w:rFonts w:hint="eastAsia"/>
          <w:sz w:val="21"/>
          <w:szCs w:val="21"/>
          <w:lang w:val="en-US"/>
        </w:rPr>
        <w:t>月</w:t>
      </w:r>
      <w:r>
        <w:rPr>
          <w:rFonts w:hint="eastAsia"/>
          <w:sz w:val="21"/>
          <w:szCs w:val="21"/>
          <w:lang w:val="en-US"/>
        </w:rPr>
        <w:t>24</w:t>
      </w:r>
      <w:r>
        <w:rPr>
          <w:rFonts w:hint="eastAsia"/>
          <w:sz w:val="21"/>
          <w:szCs w:val="21"/>
          <w:lang w:val="en-US"/>
        </w:rPr>
        <w:t>日起，本基金管理人暂停接受投资者通过部分代销渠道（华夏银行股份有限公司、嘉实财富管理有限公司、上海陆金所基金销售有限公司、中国工商银行股份有限公司、中国建设银行股份有限公司、中国民生银行股份有限公司、中国邮政储蓄银行股份有限公司除外）对东方金账簿货币市场证券投资基金的单笔</w:t>
      </w:r>
      <w:r>
        <w:rPr>
          <w:rFonts w:hint="eastAsia"/>
          <w:sz w:val="21"/>
          <w:szCs w:val="21"/>
          <w:lang w:val="en-US"/>
        </w:rPr>
        <w:t>金额</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万元）申购（包括日常申购和定期定额申购）、转换转入申请，且单个基金账户单日累计申购</w:t>
      </w:r>
      <w:r>
        <w:rPr>
          <w:rFonts w:hint="eastAsia"/>
          <w:sz w:val="21"/>
          <w:szCs w:val="21"/>
          <w:lang w:val="en-US"/>
        </w:rPr>
        <w:t xml:space="preserve"> </w:t>
      </w:r>
      <w:r>
        <w:rPr>
          <w:rFonts w:hint="eastAsia"/>
          <w:sz w:val="21"/>
          <w:szCs w:val="21"/>
          <w:lang w:val="en-US"/>
        </w:rPr>
        <w:t>（包括日常申购和定期定额申购）及转换转入金额不得超过</w:t>
      </w:r>
      <w:r>
        <w:rPr>
          <w:rFonts w:hint="eastAsia"/>
          <w:sz w:val="21"/>
          <w:szCs w:val="21"/>
          <w:lang w:val="en-US"/>
        </w:rPr>
        <w:t>50</w:t>
      </w:r>
      <w:r>
        <w:rPr>
          <w:rFonts w:hint="eastAsia"/>
          <w:sz w:val="21"/>
          <w:szCs w:val="21"/>
          <w:lang w:val="en-US"/>
        </w:rPr>
        <w:t>万元以上（不含</w:t>
      </w:r>
      <w:r>
        <w:rPr>
          <w:rFonts w:hint="eastAsia"/>
          <w:sz w:val="21"/>
          <w:szCs w:val="21"/>
          <w:lang w:val="en-US"/>
        </w:rPr>
        <w:t>50</w:t>
      </w:r>
      <w:r>
        <w:rPr>
          <w:rFonts w:hint="eastAsia"/>
          <w:sz w:val="21"/>
          <w:szCs w:val="21"/>
          <w:lang w:val="en-US"/>
        </w:rPr>
        <w:t>万元）。对于超过限额的申请，本基金管理人有权拒绝，不予确认。</w:t>
      </w:r>
    </w:p>
    <w:p w:rsidR="008857B9" w:rsidRDefault="00AC410D">
      <w:pPr>
        <w:numPr>
          <w:ilvl w:val="255"/>
          <w:numId w:val="0"/>
        </w:numPr>
        <w:rPr>
          <w:sz w:val="21"/>
          <w:szCs w:val="21"/>
          <w:lang w:val="en-US"/>
        </w:rPr>
      </w:pPr>
      <w:r>
        <w:rPr>
          <w:rFonts w:hint="eastAsia"/>
          <w:spacing w:val="-3"/>
          <w:sz w:val="21"/>
          <w:szCs w:val="21"/>
          <w:lang w:val="en-US"/>
        </w:rPr>
        <w:t>4</w:t>
      </w:r>
      <w:r>
        <w:rPr>
          <w:rFonts w:hint="eastAsia"/>
          <w:spacing w:val="-3"/>
          <w:sz w:val="21"/>
          <w:szCs w:val="21"/>
          <w:lang w:val="en-US"/>
        </w:rPr>
        <w:t>.</w:t>
      </w:r>
      <w:r>
        <w:rPr>
          <w:spacing w:val="-3"/>
          <w:sz w:val="21"/>
          <w:szCs w:val="21"/>
        </w:rPr>
        <w:t>后续产品上线及业务开通事宜本公司将另行公告。</w:t>
      </w:r>
    </w:p>
    <w:p w:rsidR="008857B9" w:rsidRDefault="00AC410D">
      <w:pPr>
        <w:pStyle w:val="2"/>
        <w:spacing w:line="360" w:lineRule="auto"/>
      </w:pPr>
      <w:r>
        <w:rPr>
          <w:rFonts w:hint="eastAsia"/>
          <w:lang w:val="en-US"/>
        </w:rPr>
        <w:t>二</w:t>
      </w:r>
      <w:r>
        <w:t>、重要提示</w:t>
      </w:r>
    </w:p>
    <w:p w:rsidR="008857B9" w:rsidRDefault="00AC410D">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8857B9" w:rsidRDefault="00AC410D">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8857B9" w:rsidRDefault="00AC410D">
      <w:pPr>
        <w:pStyle w:val="ac"/>
        <w:numPr>
          <w:ilvl w:val="255"/>
          <w:numId w:val="0"/>
        </w:numPr>
        <w:tabs>
          <w:tab w:val="left" w:pos="861"/>
        </w:tabs>
        <w:autoSpaceDE/>
        <w:autoSpaceDN/>
        <w:spacing w:before="160"/>
        <w:ind w:right="0"/>
        <w:rPr>
          <w:sz w:val="24"/>
        </w:rPr>
      </w:pPr>
      <w:r>
        <w:rPr>
          <w:rFonts w:hint="eastAsia"/>
          <w:sz w:val="24"/>
        </w:rPr>
        <w:t>常的申购费率相同。</w:t>
      </w:r>
    </w:p>
    <w:p w:rsidR="008857B9" w:rsidRDefault="00AC410D">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8857B9" w:rsidRDefault="00AC410D" w:rsidP="00AC410D">
      <w:pPr>
        <w:pStyle w:val="a4"/>
        <w:autoSpaceDE/>
        <w:autoSpaceDN/>
        <w:spacing w:before="1" w:line="360" w:lineRule="auto"/>
        <w:ind w:left="0" w:right="111" w:firstLineChars="200" w:firstLine="460"/>
        <w:rPr>
          <w:spacing w:val="-10"/>
        </w:rPr>
        <w:pPrChange w:id="1" w:author="ZHONGM" w:date="2026-05-21T00:00:00Z">
          <w:pPr>
            <w:pStyle w:val="a4"/>
            <w:autoSpaceDE/>
            <w:autoSpaceDN/>
            <w:spacing w:before="1" w:line="360" w:lineRule="auto"/>
            <w:ind w:left="0" w:right="111" w:firstLineChars="200" w:firstLine="460"/>
          </w:pPr>
        </w:pPrChange>
      </w:pPr>
      <w:r>
        <w:rPr>
          <w:rFonts w:hint="eastAsia"/>
          <w:spacing w:val="-10"/>
          <w:lang w:val="en-US"/>
        </w:rPr>
        <w:t>4.</w:t>
      </w:r>
      <w:r>
        <w:rPr>
          <w:spacing w:val="-10"/>
        </w:rPr>
        <w:t>业务办理的业务规则和流程以上述机构的安排和规定为准。相关活动的具体规定如有变化，以上述机构网站或平台的最新公告为准，敬请投资者关注。</w:t>
      </w:r>
    </w:p>
    <w:p w:rsidR="008857B9" w:rsidRDefault="00AC410D" w:rsidP="00AC410D">
      <w:pPr>
        <w:spacing w:before="1" w:line="364" w:lineRule="auto"/>
        <w:ind w:leftChars="63" w:left="619" w:right="3441" w:hangingChars="200" w:hanging="480"/>
        <w:rPr>
          <w:b/>
          <w:bCs/>
          <w:sz w:val="24"/>
          <w:szCs w:val="24"/>
        </w:rPr>
        <w:pPrChange w:id="2" w:author="ZHONGM" w:date="2026-05-21T00:00: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8857B9" w:rsidRDefault="00AC410D" w:rsidP="00AC410D">
      <w:pPr>
        <w:spacing w:line="360" w:lineRule="auto"/>
        <w:ind w:firstLineChars="200" w:firstLine="478"/>
        <w:rPr>
          <w:spacing w:val="-1"/>
          <w:sz w:val="24"/>
          <w:szCs w:val="24"/>
          <w:lang w:val="en-US"/>
        </w:rPr>
        <w:pPrChange w:id="3" w:author="ZHONGM" w:date="2026-05-21T00:00: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福克斯（北京）基金销售有限公司</w:t>
      </w:r>
    </w:p>
    <w:p w:rsidR="008857B9" w:rsidRDefault="00AC410D" w:rsidP="00AC410D">
      <w:pPr>
        <w:spacing w:line="360" w:lineRule="auto"/>
        <w:ind w:firstLineChars="200" w:firstLine="478"/>
        <w:rPr>
          <w:spacing w:val="-1"/>
          <w:sz w:val="24"/>
          <w:szCs w:val="24"/>
          <w:lang w:val="en-US"/>
        </w:rPr>
        <w:pPrChange w:id="4" w:author="ZHONGM" w:date="2026-05-21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400-689-7859</w:t>
      </w:r>
    </w:p>
    <w:p w:rsidR="008857B9" w:rsidRDefault="008857B9">
      <w:pPr>
        <w:spacing w:line="360" w:lineRule="auto"/>
        <w:ind w:firstLineChars="200" w:firstLine="440"/>
        <w:rPr>
          <w:spacing w:val="-1"/>
          <w:sz w:val="24"/>
          <w:szCs w:val="24"/>
          <w:lang w:val="en-US"/>
        </w:rPr>
      </w:pPr>
      <w:hyperlink r:id="rId7">
        <w:r w:rsidR="00AC410D">
          <w:rPr>
            <w:rFonts w:hint="eastAsia"/>
            <w:spacing w:val="-1"/>
            <w:sz w:val="24"/>
            <w:szCs w:val="24"/>
            <w:lang w:val="en-US"/>
          </w:rPr>
          <w:t>网址：</w:t>
        </w:r>
      </w:hyperlink>
      <w:r w:rsidR="00AC410D">
        <w:rPr>
          <w:rFonts w:hint="eastAsia"/>
          <w:spacing w:val="-1"/>
          <w:sz w:val="24"/>
          <w:szCs w:val="24"/>
          <w:lang w:val="en-US"/>
        </w:rPr>
        <w:t>www.haofunds.com</w:t>
      </w:r>
    </w:p>
    <w:p w:rsidR="008857B9" w:rsidRDefault="00AC410D" w:rsidP="00AC410D">
      <w:pPr>
        <w:spacing w:line="360" w:lineRule="auto"/>
        <w:ind w:firstLineChars="200" w:firstLine="478"/>
        <w:rPr>
          <w:spacing w:val="-1"/>
          <w:sz w:val="24"/>
          <w:szCs w:val="24"/>
          <w:lang w:val="en-US"/>
        </w:rPr>
        <w:pPrChange w:id="5" w:author="ZHONGM" w:date="2026-05-21T00:00: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8857B9" w:rsidRDefault="00AC410D" w:rsidP="00AC410D">
      <w:pPr>
        <w:spacing w:line="360" w:lineRule="auto"/>
        <w:ind w:firstLineChars="200" w:firstLine="478"/>
        <w:rPr>
          <w:spacing w:val="-1"/>
          <w:sz w:val="24"/>
          <w:szCs w:val="24"/>
          <w:lang w:val="en-US"/>
        </w:rPr>
        <w:pPrChange w:id="6" w:author="ZHONGM" w:date="2026-05-21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8857B9" w:rsidRDefault="008857B9">
      <w:pPr>
        <w:spacing w:line="360" w:lineRule="auto"/>
        <w:ind w:firstLineChars="200" w:firstLine="440"/>
        <w:rPr>
          <w:spacing w:val="-1"/>
          <w:sz w:val="24"/>
          <w:szCs w:val="24"/>
          <w:lang w:val="en-US"/>
        </w:rPr>
      </w:pPr>
      <w:hyperlink r:id="rId8">
        <w:r w:rsidR="00AC410D">
          <w:rPr>
            <w:rFonts w:hint="eastAsia"/>
            <w:spacing w:val="-1"/>
            <w:sz w:val="24"/>
            <w:szCs w:val="24"/>
            <w:lang w:val="en-US"/>
          </w:rPr>
          <w:t>网址：</w:t>
        </w:r>
        <w:r w:rsidR="00AC410D">
          <w:rPr>
            <w:rFonts w:hint="eastAsia"/>
            <w:spacing w:val="-1"/>
            <w:sz w:val="24"/>
            <w:szCs w:val="24"/>
            <w:lang w:val="en-US"/>
          </w:rPr>
          <w:t xml:space="preserve">www.orient-fund.com </w:t>
        </w:r>
      </w:hyperlink>
    </w:p>
    <w:p w:rsidR="008857B9" w:rsidRDefault="00AC410D">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8857B9" w:rsidRDefault="00AC410D">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理性判断市场，在对申购基金的意愿、时机、数量等投资行为做出独立、谨慎决策后，基金运营状况与基金净值变化引致的投资风险，由投资者自行负担。</w:t>
      </w:r>
    </w:p>
    <w:p w:rsidR="008857B9" w:rsidRDefault="00AC410D">
      <w:pPr>
        <w:pStyle w:val="a4"/>
        <w:spacing w:before="165"/>
        <w:ind w:left="620"/>
      </w:pPr>
      <w:r>
        <w:t>特此公告。</w:t>
      </w:r>
    </w:p>
    <w:p w:rsidR="008857B9" w:rsidRDefault="00AC410D">
      <w:pPr>
        <w:pStyle w:val="a4"/>
        <w:spacing w:line="364" w:lineRule="auto"/>
        <w:ind w:left="0" w:right="239" w:firstLineChars="2400" w:firstLine="5760"/>
        <w:rPr>
          <w:lang w:val="en-US"/>
        </w:rPr>
      </w:pPr>
      <w:r>
        <w:t>东方基金管理股份有限公</w:t>
      </w:r>
      <w:r>
        <w:rPr>
          <w:rFonts w:hint="eastAsia"/>
          <w:lang w:val="en-US"/>
        </w:rPr>
        <w:t>司</w:t>
      </w:r>
    </w:p>
    <w:p w:rsidR="008857B9" w:rsidRDefault="00AC410D">
      <w:pPr>
        <w:pStyle w:val="a4"/>
        <w:spacing w:line="364" w:lineRule="auto"/>
        <w:ind w:left="0" w:right="239" w:firstLineChars="2500" w:firstLine="6000"/>
      </w:pPr>
      <w:r>
        <w:t>二</w:t>
      </w:r>
      <w:r>
        <w:t>○</w:t>
      </w:r>
      <w:r>
        <w:t>二</w:t>
      </w:r>
      <w:r>
        <w:rPr>
          <w:rFonts w:hint="eastAsia"/>
          <w:lang w:val="en-US"/>
        </w:rPr>
        <w:t>六</w:t>
      </w:r>
      <w:r>
        <w:t>年</w:t>
      </w:r>
      <w:r>
        <w:rPr>
          <w:rFonts w:hint="eastAsia"/>
          <w:lang w:val="en-US"/>
        </w:rPr>
        <w:t>五</w:t>
      </w:r>
      <w:r>
        <w:rPr>
          <w:rFonts w:hint="eastAsia"/>
          <w:lang w:val="en-US"/>
        </w:rPr>
        <w:t>月二十</w:t>
      </w:r>
      <w:r>
        <w:rPr>
          <w:rFonts w:hint="eastAsia"/>
          <w:lang w:val="en-US"/>
        </w:rPr>
        <w:t>一</w:t>
      </w:r>
      <w:r>
        <w:rPr>
          <w:rFonts w:hint="eastAsia"/>
          <w:lang w:val="en-US"/>
        </w:rPr>
        <w:t>日</w:t>
      </w:r>
    </w:p>
    <w:sectPr w:rsidR="008857B9" w:rsidSect="008857B9">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7B9" w:rsidRDefault="008857B9"/>
  </w:endnote>
  <w:endnote w:type="continuationSeparator" w:id="0">
    <w:p w:rsidR="008857B9" w:rsidRDefault="008857B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7B9" w:rsidRDefault="008857B9"/>
  </w:footnote>
  <w:footnote w:type="continuationSeparator" w:id="0">
    <w:p w:rsidR="008857B9" w:rsidRDefault="008857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26049"/>
    <w:multiLevelType w:val="singleLevel"/>
    <w:tmpl w:val="702260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72A27"/>
    <w:rsid w:val="002D6BEA"/>
    <w:rsid w:val="00317E6F"/>
    <w:rsid w:val="00334286"/>
    <w:rsid w:val="003A6A0D"/>
    <w:rsid w:val="003B078B"/>
    <w:rsid w:val="003E50C5"/>
    <w:rsid w:val="004D0DE3"/>
    <w:rsid w:val="0053244B"/>
    <w:rsid w:val="005B17A7"/>
    <w:rsid w:val="00631E68"/>
    <w:rsid w:val="00656887"/>
    <w:rsid w:val="00673AD6"/>
    <w:rsid w:val="006B3AFA"/>
    <w:rsid w:val="00722EA2"/>
    <w:rsid w:val="0075113A"/>
    <w:rsid w:val="007A4FBB"/>
    <w:rsid w:val="007D3BF1"/>
    <w:rsid w:val="008857B9"/>
    <w:rsid w:val="008E7C30"/>
    <w:rsid w:val="009B55C3"/>
    <w:rsid w:val="009B66E2"/>
    <w:rsid w:val="00A91F2C"/>
    <w:rsid w:val="00AA657E"/>
    <w:rsid w:val="00AC410D"/>
    <w:rsid w:val="00AF04A7"/>
    <w:rsid w:val="00B81772"/>
    <w:rsid w:val="00C63D41"/>
    <w:rsid w:val="00D54087"/>
    <w:rsid w:val="00D962C0"/>
    <w:rsid w:val="00DC22DB"/>
    <w:rsid w:val="00E0377E"/>
    <w:rsid w:val="00E11A95"/>
    <w:rsid w:val="00E1502A"/>
    <w:rsid w:val="00E374FC"/>
    <w:rsid w:val="00F27103"/>
    <w:rsid w:val="017F3901"/>
    <w:rsid w:val="057148AF"/>
    <w:rsid w:val="069026CA"/>
    <w:rsid w:val="071C084E"/>
    <w:rsid w:val="08BA679B"/>
    <w:rsid w:val="08BD7A8B"/>
    <w:rsid w:val="09117B79"/>
    <w:rsid w:val="09391F60"/>
    <w:rsid w:val="09A02155"/>
    <w:rsid w:val="0C1A2676"/>
    <w:rsid w:val="0C5F0F66"/>
    <w:rsid w:val="0E865375"/>
    <w:rsid w:val="0F3050A6"/>
    <w:rsid w:val="0F7E24B8"/>
    <w:rsid w:val="10C76D3A"/>
    <w:rsid w:val="115D0B9B"/>
    <w:rsid w:val="119E7CB2"/>
    <w:rsid w:val="124000CA"/>
    <w:rsid w:val="12C64C2D"/>
    <w:rsid w:val="12EB5D9C"/>
    <w:rsid w:val="12FF56D8"/>
    <w:rsid w:val="13E0076F"/>
    <w:rsid w:val="14313CF0"/>
    <w:rsid w:val="14A7224D"/>
    <w:rsid w:val="15782CA6"/>
    <w:rsid w:val="157E3EDB"/>
    <w:rsid w:val="16E04801"/>
    <w:rsid w:val="171F4A0B"/>
    <w:rsid w:val="18D16DAF"/>
    <w:rsid w:val="18F43C12"/>
    <w:rsid w:val="197818EF"/>
    <w:rsid w:val="1B4258B4"/>
    <w:rsid w:val="1BD14649"/>
    <w:rsid w:val="1CF67044"/>
    <w:rsid w:val="22192222"/>
    <w:rsid w:val="22822970"/>
    <w:rsid w:val="22D85093"/>
    <w:rsid w:val="23886A4C"/>
    <w:rsid w:val="23FE6683"/>
    <w:rsid w:val="26535247"/>
    <w:rsid w:val="270E772E"/>
    <w:rsid w:val="28E2639B"/>
    <w:rsid w:val="28F53A51"/>
    <w:rsid w:val="298447D0"/>
    <w:rsid w:val="2C304C6F"/>
    <w:rsid w:val="2C713F23"/>
    <w:rsid w:val="2CD301D8"/>
    <w:rsid w:val="2D875813"/>
    <w:rsid w:val="2EED20E0"/>
    <w:rsid w:val="310615FC"/>
    <w:rsid w:val="3172275F"/>
    <w:rsid w:val="336F3991"/>
    <w:rsid w:val="347D2A0B"/>
    <w:rsid w:val="34F40088"/>
    <w:rsid w:val="3740298A"/>
    <w:rsid w:val="37E64D0D"/>
    <w:rsid w:val="39D877E4"/>
    <w:rsid w:val="3A5260FE"/>
    <w:rsid w:val="3BEB1D45"/>
    <w:rsid w:val="3C885310"/>
    <w:rsid w:val="3D262DD1"/>
    <w:rsid w:val="3DBE5E49"/>
    <w:rsid w:val="3E877C24"/>
    <w:rsid w:val="3F20506F"/>
    <w:rsid w:val="4097652A"/>
    <w:rsid w:val="421A6238"/>
    <w:rsid w:val="432D63C3"/>
    <w:rsid w:val="433B77A2"/>
    <w:rsid w:val="43F364E0"/>
    <w:rsid w:val="44003474"/>
    <w:rsid w:val="45773018"/>
    <w:rsid w:val="46A613F2"/>
    <w:rsid w:val="47CC47F6"/>
    <w:rsid w:val="48BD1D34"/>
    <w:rsid w:val="4A263696"/>
    <w:rsid w:val="4AA36179"/>
    <w:rsid w:val="4B6C7519"/>
    <w:rsid w:val="4E6469C3"/>
    <w:rsid w:val="4F350257"/>
    <w:rsid w:val="4F6B2315"/>
    <w:rsid w:val="51ED6410"/>
    <w:rsid w:val="521D5B57"/>
    <w:rsid w:val="539C0FE3"/>
    <w:rsid w:val="549C6E9D"/>
    <w:rsid w:val="59662891"/>
    <w:rsid w:val="5EF051B8"/>
    <w:rsid w:val="5FC94913"/>
    <w:rsid w:val="5FE5438B"/>
    <w:rsid w:val="607626EF"/>
    <w:rsid w:val="60A96349"/>
    <w:rsid w:val="61E67DF1"/>
    <w:rsid w:val="62816D60"/>
    <w:rsid w:val="63043FF1"/>
    <w:rsid w:val="649345E0"/>
    <w:rsid w:val="64B54360"/>
    <w:rsid w:val="65096018"/>
    <w:rsid w:val="65895B52"/>
    <w:rsid w:val="66075047"/>
    <w:rsid w:val="67580C13"/>
    <w:rsid w:val="67786081"/>
    <w:rsid w:val="67EE4DD3"/>
    <w:rsid w:val="69A653A0"/>
    <w:rsid w:val="69DD1073"/>
    <w:rsid w:val="6A986CB7"/>
    <w:rsid w:val="6AE802A9"/>
    <w:rsid w:val="6ED627FD"/>
    <w:rsid w:val="6FA637D5"/>
    <w:rsid w:val="716C43AF"/>
    <w:rsid w:val="71B662EC"/>
    <w:rsid w:val="72D21FD4"/>
    <w:rsid w:val="73642A3F"/>
    <w:rsid w:val="765B3F6A"/>
    <w:rsid w:val="781529F7"/>
    <w:rsid w:val="78411888"/>
    <w:rsid w:val="787862E4"/>
    <w:rsid w:val="794A74B9"/>
    <w:rsid w:val="79774FAD"/>
    <w:rsid w:val="7B9C6BC3"/>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8857B9"/>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8857B9"/>
    <w:pPr>
      <w:spacing w:before="61"/>
      <w:ind w:left="839" w:right="939"/>
      <w:jc w:val="center"/>
      <w:outlineLvl w:val="0"/>
    </w:pPr>
    <w:rPr>
      <w:sz w:val="30"/>
      <w:szCs w:val="30"/>
    </w:rPr>
  </w:style>
  <w:style w:type="paragraph" w:styleId="2">
    <w:name w:val="heading 2"/>
    <w:basedOn w:val="a"/>
    <w:next w:val="a"/>
    <w:autoRedefine/>
    <w:uiPriority w:val="1"/>
    <w:qFormat/>
    <w:rsid w:val="008857B9"/>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8857B9"/>
  </w:style>
  <w:style w:type="paragraph" w:styleId="a4">
    <w:name w:val="Body Text"/>
    <w:basedOn w:val="a"/>
    <w:autoRedefine/>
    <w:uiPriority w:val="1"/>
    <w:qFormat/>
    <w:rsid w:val="008857B9"/>
    <w:pPr>
      <w:ind w:left="140"/>
    </w:pPr>
    <w:rPr>
      <w:sz w:val="24"/>
      <w:szCs w:val="24"/>
    </w:rPr>
  </w:style>
  <w:style w:type="paragraph" w:styleId="a5">
    <w:name w:val="Balloon Text"/>
    <w:basedOn w:val="a"/>
    <w:link w:val="Char0"/>
    <w:autoRedefine/>
    <w:qFormat/>
    <w:rsid w:val="008857B9"/>
    <w:rPr>
      <w:sz w:val="18"/>
      <w:szCs w:val="18"/>
    </w:rPr>
  </w:style>
  <w:style w:type="paragraph" w:styleId="a6">
    <w:name w:val="footer"/>
    <w:basedOn w:val="a"/>
    <w:link w:val="Char1"/>
    <w:autoRedefine/>
    <w:qFormat/>
    <w:rsid w:val="008857B9"/>
    <w:pPr>
      <w:tabs>
        <w:tab w:val="center" w:pos="4153"/>
        <w:tab w:val="right" w:pos="8306"/>
      </w:tabs>
      <w:snapToGrid w:val="0"/>
    </w:pPr>
    <w:rPr>
      <w:sz w:val="18"/>
      <w:szCs w:val="18"/>
    </w:rPr>
  </w:style>
  <w:style w:type="paragraph" w:styleId="a7">
    <w:name w:val="header"/>
    <w:basedOn w:val="a"/>
    <w:link w:val="Char2"/>
    <w:autoRedefine/>
    <w:qFormat/>
    <w:rsid w:val="008857B9"/>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8857B9"/>
    <w:rPr>
      <w:b/>
      <w:bCs/>
    </w:rPr>
  </w:style>
  <w:style w:type="table" w:styleId="a9">
    <w:name w:val="Table Grid"/>
    <w:basedOn w:val="a1"/>
    <w:autoRedefine/>
    <w:qFormat/>
    <w:rsid w:val="008857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8857B9"/>
    <w:rPr>
      <w:color w:val="0563C1"/>
      <w:u w:val="single"/>
    </w:rPr>
  </w:style>
  <w:style w:type="character" w:styleId="ab">
    <w:name w:val="annotation reference"/>
    <w:basedOn w:val="a0"/>
    <w:autoRedefine/>
    <w:qFormat/>
    <w:rsid w:val="008857B9"/>
    <w:rPr>
      <w:sz w:val="21"/>
      <w:szCs w:val="21"/>
    </w:rPr>
  </w:style>
  <w:style w:type="table" w:customStyle="1" w:styleId="TableNormal">
    <w:name w:val="Table Normal"/>
    <w:autoRedefine/>
    <w:uiPriority w:val="2"/>
    <w:semiHidden/>
    <w:unhideWhenUsed/>
    <w:qFormat/>
    <w:rsid w:val="008857B9"/>
    <w:tblPr>
      <w:tblCellMar>
        <w:top w:w="0" w:type="dxa"/>
        <w:left w:w="0" w:type="dxa"/>
        <w:bottom w:w="0" w:type="dxa"/>
        <w:right w:w="0" w:type="dxa"/>
      </w:tblCellMar>
    </w:tblPr>
  </w:style>
  <w:style w:type="paragraph" w:styleId="ac">
    <w:name w:val="List Paragraph"/>
    <w:basedOn w:val="a"/>
    <w:autoRedefine/>
    <w:uiPriority w:val="1"/>
    <w:qFormat/>
    <w:rsid w:val="008857B9"/>
    <w:pPr>
      <w:spacing w:before="1"/>
      <w:ind w:left="140" w:right="239" w:firstLine="480"/>
    </w:pPr>
  </w:style>
  <w:style w:type="paragraph" w:customStyle="1" w:styleId="TableParagraph">
    <w:name w:val="Table Paragraph"/>
    <w:basedOn w:val="a"/>
    <w:autoRedefine/>
    <w:uiPriority w:val="1"/>
    <w:qFormat/>
    <w:rsid w:val="008857B9"/>
  </w:style>
  <w:style w:type="paragraph" w:customStyle="1" w:styleId="Default">
    <w:name w:val="Default"/>
    <w:autoRedefine/>
    <w:uiPriority w:val="99"/>
    <w:unhideWhenUsed/>
    <w:qFormat/>
    <w:rsid w:val="008857B9"/>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8857B9"/>
    <w:rPr>
      <w:rFonts w:ascii="仿宋" w:eastAsia="仿宋" w:hAnsi="仿宋" w:cs="仿宋"/>
      <w:sz w:val="18"/>
      <w:szCs w:val="18"/>
      <w:lang w:val="zh-CN" w:bidi="zh-CN"/>
    </w:rPr>
  </w:style>
  <w:style w:type="character" w:customStyle="1" w:styleId="Char">
    <w:name w:val="批注文字 Char"/>
    <w:basedOn w:val="a0"/>
    <w:link w:val="a3"/>
    <w:autoRedefine/>
    <w:qFormat/>
    <w:rsid w:val="008857B9"/>
    <w:rPr>
      <w:rFonts w:ascii="仿宋" w:eastAsia="仿宋" w:hAnsi="仿宋" w:cs="仿宋"/>
      <w:sz w:val="22"/>
      <w:szCs w:val="22"/>
      <w:lang w:val="zh-CN" w:bidi="zh-CN"/>
    </w:rPr>
  </w:style>
  <w:style w:type="character" w:customStyle="1" w:styleId="Char3">
    <w:name w:val="批注主题 Char"/>
    <w:basedOn w:val="Char"/>
    <w:link w:val="a8"/>
    <w:autoRedefine/>
    <w:qFormat/>
    <w:rsid w:val="008857B9"/>
    <w:rPr>
      <w:rFonts w:ascii="仿宋" w:eastAsia="仿宋" w:hAnsi="仿宋" w:cs="仿宋"/>
      <w:b/>
      <w:bCs/>
      <w:sz w:val="22"/>
      <w:szCs w:val="22"/>
      <w:lang w:val="zh-CN" w:bidi="zh-CN"/>
    </w:rPr>
  </w:style>
  <w:style w:type="character" w:customStyle="1" w:styleId="Char2">
    <w:name w:val="页眉 Char"/>
    <w:basedOn w:val="a0"/>
    <w:link w:val="a7"/>
    <w:autoRedefine/>
    <w:qFormat/>
    <w:rsid w:val="008857B9"/>
    <w:rPr>
      <w:rFonts w:ascii="仿宋" w:eastAsia="仿宋" w:hAnsi="仿宋" w:cs="仿宋"/>
      <w:sz w:val="18"/>
      <w:szCs w:val="18"/>
      <w:lang w:val="zh-CN" w:bidi="zh-CN"/>
    </w:rPr>
  </w:style>
  <w:style w:type="character" w:customStyle="1" w:styleId="Char1">
    <w:name w:val="页脚 Char"/>
    <w:basedOn w:val="a0"/>
    <w:link w:val="a6"/>
    <w:autoRedefine/>
    <w:qFormat/>
    <w:rsid w:val="008857B9"/>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citic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1801</Characters>
  <Application>Microsoft Office Word</Application>
  <DocSecurity>4</DocSecurity>
  <Lines>15</Lines>
  <Paragraphs>4</Paragraphs>
  <ScaleCrop>false</ScaleCrop>
  <Company>CNSTOCK</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2026-05-20T16:00:00Z</dcterms:created>
  <dcterms:modified xsi:type="dcterms:W3CDTF">2026-05-20T16:00:00Z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2052-12.1.0.22215</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eyJoZGlkIjoiYzhkY2QyYjBjYTg4OTI4YTRlODAxNDZhZWM4NDBlMWUiLCJ1c2VySWQiOiI0NDEwMzMwNjEifQ==</vt:lpwstr>
  </property>
</Properties>
</file>