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70E" w:rsidRDefault="001018FA" w:rsidP="001018FA">
      <w:pPr>
        <w:spacing w:line="360" w:lineRule="auto"/>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方正富邦基金管理有限公司</w:t>
      </w:r>
    </w:p>
    <w:p w:rsidR="00BB170E" w:rsidRDefault="001018FA" w:rsidP="001018FA">
      <w:pPr>
        <w:spacing w:line="360" w:lineRule="auto"/>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关于旗下基金招募说明书及基金产品资料概要更新的提示性公告</w:t>
      </w:r>
    </w:p>
    <w:p w:rsidR="00BB170E" w:rsidRDefault="001018FA">
      <w:pPr>
        <w:spacing w:line="360" w:lineRule="auto"/>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方正富邦基金管理有限公司旗下</w:t>
      </w:r>
      <w:r>
        <w:rPr>
          <w:rFonts w:ascii="仿宋" w:eastAsia="仿宋" w:hAnsi="仿宋" w:hint="eastAsia"/>
          <w:color w:val="000000" w:themeColor="text1"/>
          <w:sz w:val="32"/>
          <w:szCs w:val="32"/>
        </w:rPr>
        <w:t>33</w:t>
      </w:r>
      <w:r>
        <w:rPr>
          <w:rFonts w:ascii="仿宋" w:eastAsia="仿宋" w:hAnsi="仿宋"/>
          <w:color w:val="000000" w:themeColor="text1"/>
          <w:sz w:val="32"/>
          <w:szCs w:val="32"/>
        </w:rPr>
        <w:t>只</w:t>
      </w:r>
      <w:r>
        <w:rPr>
          <w:rFonts w:ascii="仿宋" w:eastAsia="仿宋" w:hAnsi="仿宋" w:hint="eastAsia"/>
          <w:color w:val="000000" w:themeColor="text1"/>
          <w:sz w:val="32"/>
          <w:szCs w:val="32"/>
        </w:rPr>
        <w:t>基金的招募说明书及基金产品资料概要更新全文于</w:t>
      </w:r>
      <w:r>
        <w:rPr>
          <w:rFonts w:ascii="仿宋" w:eastAsia="仿宋" w:hAnsi="仿宋" w:hint="eastAsia"/>
          <w:color w:val="000000" w:themeColor="text1"/>
          <w:sz w:val="32"/>
          <w:szCs w:val="32"/>
        </w:rPr>
        <w:t>20</w:t>
      </w:r>
      <w:r>
        <w:rPr>
          <w:rFonts w:ascii="仿宋" w:eastAsia="仿宋" w:hAnsi="仿宋"/>
          <w:color w:val="000000" w:themeColor="text1"/>
          <w:sz w:val="32"/>
          <w:szCs w:val="32"/>
        </w:rPr>
        <w:t>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21</w:t>
      </w:r>
      <w:r>
        <w:rPr>
          <w:rFonts w:ascii="仿宋" w:eastAsia="仿宋" w:hAnsi="仿宋" w:hint="eastAsia"/>
          <w:color w:val="000000" w:themeColor="text1"/>
          <w:sz w:val="32"/>
          <w:szCs w:val="32"/>
        </w:rPr>
        <w:t>日在本公司网站（</w:t>
      </w:r>
      <w:r>
        <w:rPr>
          <w:rFonts w:ascii="仿宋" w:eastAsia="仿宋" w:hAnsi="仿宋"/>
          <w:color w:val="000000" w:themeColor="text1"/>
          <w:sz w:val="32"/>
          <w:szCs w:val="32"/>
        </w:rPr>
        <w:t>www.founderff.com</w:t>
      </w:r>
      <w:r>
        <w:rPr>
          <w:rFonts w:ascii="仿宋" w:eastAsia="仿宋" w:hAnsi="仿宋" w:hint="eastAsia"/>
          <w:color w:val="000000" w:themeColor="text1"/>
          <w:sz w:val="32"/>
          <w:szCs w:val="32"/>
        </w:rPr>
        <w:t>）和中国证监会基金电子</w:t>
      </w:r>
      <w:r>
        <w:rPr>
          <w:rFonts w:ascii="仿宋" w:eastAsia="仿宋" w:hAnsi="仿宋"/>
          <w:color w:val="000000" w:themeColor="text1"/>
          <w:sz w:val="32"/>
          <w:szCs w:val="32"/>
        </w:rPr>
        <w:t>披露网站</w:t>
      </w:r>
      <w:r>
        <w:rPr>
          <w:rFonts w:ascii="仿宋" w:eastAsia="仿宋" w:hAnsi="仿宋" w:hint="eastAsia"/>
          <w:color w:val="000000" w:themeColor="text1"/>
          <w:sz w:val="32"/>
          <w:szCs w:val="32"/>
        </w:rPr>
        <w:t>（</w:t>
      </w:r>
      <w:hyperlink r:id="rId6" w:history="1">
        <w:r>
          <w:rPr>
            <w:rStyle w:val="a8"/>
            <w:rFonts w:ascii="仿宋" w:eastAsia="仿宋" w:hAnsi="仿宋" w:hint="eastAsia"/>
            <w:color w:val="000000" w:themeColor="text1"/>
            <w:sz w:val="32"/>
            <w:szCs w:val="32"/>
            <w:u w:val="none"/>
          </w:rPr>
          <w:t>http://eid.csrc.gov.cn/fund</w:t>
        </w:r>
      </w:hyperlink>
      <w:r>
        <w:rPr>
          <w:rFonts w:ascii="仿宋" w:eastAsia="仿宋" w:hAnsi="仿宋" w:hint="eastAsia"/>
          <w:color w:val="000000" w:themeColor="text1"/>
          <w:sz w:val="32"/>
          <w:szCs w:val="32"/>
        </w:rPr>
        <w:t>）披露</w:t>
      </w:r>
      <w:r>
        <w:rPr>
          <w:rFonts w:ascii="仿宋" w:eastAsia="仿宋" w:hAnsi="仿宋"/>
          <w:color w:val="000000" w:themeColor="text1"/>
          <w:sz w:val="32"/>
          <w:szCs w:val="32"/>
        </w:rPr>
        <w:t>，供投资者查阅。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400-818-0990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BB170E" w:rsidRDefault="001018FA">
      <w:pPr>
        <w:spacing w:line="360" w:lineRule="auto"/>
        <w:ind w:firstLineChars="250" w:firstLine="800"/>
        <w:rPr>
          <w:rFonts w:ascii="仿宋" w:eastAsia="仿宋" w:hAnsi="仿宋"/>
          <w:color w:val="000000" w:themeColor="text1"/>
          <w:sz w:val="32"/>
          <w:szCs w:val="32"/>
        </w:rPr>
      </w:pPr>
      <w:r>
        <w:rPr>
          <w:rFonts w:ascii="仿宋" w:eastAsia="仿宋" w:hAnsi="仿宋"/>
          <w:color w:val="000000" w:themeColor="text1"/>
          <w:sz w:val="32"/>
          <w:szCs w:val="32"/>
        </w:rPr>
        <w:t>基金列表如下</w:t>
      </w:r>
      <w:r>
        <w:rPr>
          <w:rFonts w:ascii="仿宋" w:eastAsia="仿宋" w:hAnsi="仿宋" w:hint="eastAsia"/>
          <w:color w:val="000000" w:themeColor="text1"/>
          <w:sz w:val="32"/>
          <w:szCs w:val="32"/>
        </w:rPr>
        <w:t>：</w:t>
      </w:r>
    </w:p>
    <w:tbl>
      <w:tblPr>
        <w:tblStyle w:val="a7"/>
        <w:tblW w:w="10005" w:type="dxa"/>
        <w:jc w:val="center"/>
        <w:tblLook w:val="04A0"/>
      </w:tblPr>
      <w:tblGrid>
        <w:gridCol w:w="846"/>
        <w:gridCol w:w="9159"/>
      </w:tblGrid>
      <w:tr w:rsidR="00BB170E">
        <w:trPr>
          <w:trHeight w:val="230"/>
          <w:jc w:val="center"/>
        </w:trPr>
        <w:tc>
          <w:tcPr>
            <w:tcW w:w="846" w:type="dxa"/>
            <w:noWrap/>
            <w:vAlign w:val="center"/>
          </w:tcPr>
          <w:p w:rsidR="00BB170E" w:rsidRDefault="001018FA">
            <w:pPr>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9159" w:type="dxa"/>
            <w:noWrap/>
            <w:vAlign w:val="center"/>
          </w:tcPr>
          <w:p w:rsidR="00BB170E" w:rsidRDefault="001018FA">
            <w:pPr>
              <w:jc w:val="center"/>
              <w:rPr>
                <w:rFonts w:ascii="仿宋" w:eastAsia="仿宋" w:hAnsi="仿宋" w:cs="仿宋"/>
                <w:b/>
                <w:bCs/>
                <w:sz w:val="28"/>
                <w:szCs w:val="28"/>
              </w:rPr>
            </w:pPr>
            <w:r>
              <w:rPr>
                <w:rFonts w:ascii="仿宋" w:eastAsia="仿宋" w:hAnsi="仿宋" w:cs="仿宋" w:hint="eastAsia"/>
                <w:b/>
                <w:bCs/>
                <w:sz w:val="28"/>
                <w:szCs w:val="28"/>
              </w:rPr>
              <w:t>基金全称</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1</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方正富邦深证</w:t>
            </w:r>
            <w:r>
              <w:rPr>
                <w:rFonts w:ascii="仿宋" w:eastAsia="仿宋" w:hAnsi="仿宋" w:cs="仿宋" w:hint="eastAsia"/>
                <w:kern w:val="0"/>
                <w:sz w:val="28"/>
                <w:szCs w:val="28"/>
                <w:lang/>
              </w:rPr>
              <w:t>100</w:t>
            </w:r>
            <w:r>
              <w:rPr>
                <w:rFonts w:ascii="仿宋" w:eastAsia="仿宋" w:hAnsi="仿宋" w:cs="仿宋" w:hint="eastAsia"/>
                <w:kern w:val="0"/>
                <w:sz w:val="28"/>
                <w:szCs w:val="28"/>
                <w:lang/>
              </w:rPr>
              <w:t>交易型开放式指数证券投资基金联接基金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2</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方正富邦中证</w:t>
            </w:r>
            <w:r>
              <w:rPr>
                <w:rFonts w:ascii="仿宋" w:eastAsia="仿宋" w:hAnsi="仿宋" w:cs="仿宋" w:hint="eastAsia"/>
                <w:kern w:val="0"/>
                <w:sz w:val="28"/>
                <w:szCs w:val="28"/>
                <w:lang/>
              </w:rPr>
              <w:t>500</w:t>
            </w:r>
            <w:r>
              <w:rPr>
                <w:rFonts w:ascii="仿宋" w:eastAsia="仿宋" w:hAnsi="仿宋" w:cs="仿宋" w:hint="eastAsia"/>
                <w:kern w:val="0"/>
                <w:sz w:val="28"/>
                <w:szCs w:val="28"/>
                <w:lang/>
              </w:rPr>
              <w:t>交易型开放式指数证券投资基金联接基金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3</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方正富邦中证全指自由现金流交易型开放式指数证券投资基金联接基金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4</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方正富邦中证保险主题指数型证券投资基金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5</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方正富邦策略精选混合型证券投资基金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6</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方正富邦策略轮动混合型证券投资基金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7</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方正富邦红利精选混合型证券投资基金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8</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方正富邦汇福一年定期开放灵活配置混合型证券投资基金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9</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方正富邦金立方一年持有期混合型证券投资基金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10</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方正富邦均衡精选混合型证券投资基金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11</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方正富邦科技创新混合型证券投资基金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lastRenderedPageBreak/>
              <w:t>12</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方正富邦趋势领航混合型证券投资基金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13</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方正富邦天恒灵活配置混合型证券投资基金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14</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方正富邦天睿灵活配置混合型证券投资基金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15</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方正富邦新兴成长混合型证券投资基金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16</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方正富邦信泓灵活配置混合型证券投资基金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17</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方正富邦远见成长混合型证券投资基金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18</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方正富邦泰利</w:t>
            </w:r>
            <w:r>
              <w:rPr>
                <w:rFonts w:ascii="仿宋" w:eastAsia="仿宋" w:hAnsi="仿宋" w:cs="仿宋" w:hint="eastAsia"/>
                <w:kern w:val="0"/>
                <w:sz w:val="28"/>
                <w:szCs w:val="28"/>
                <w:lang/>
              </w:rPr>
              <w:t>12</w:t>
            </w:r>
            <w:r>
              <w:rPr>
                <w:rFonts w:ascii="仿宋" w:eastAsia="仿宋" w:hAnsi="仿宋" w:cs="仿宋" w:hint="eastAsia"/>
                <w:kern w:val="0"/>
                <w:sz w:val="28"/>
                <w:szCs w:val="28"/>
                <w:lang/>
              </w:rPr>
              <w:t>个月持有期混合型证券投资基金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19</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方正富邦金小宝货币市场证券投资基金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20</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方正富邦货币市场基金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21</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方正富邦丰利债券型证券投资基金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22</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方正富邦稳丰一年定期开放债券型发起式证券投资基金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23</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方正富邦禾利</w:t>
            </w:r>
            <w:r>
              <w:rPr>
                <w:rFonts w:ascii="仿宋" w:eastAsia="仿宋" w:hAnsi="仿宋" w:cs="仿宋" w:hint="eastAsia"/>
                <w:kern w:val="0"/>
                <w:sz w:val="28"/>
                <w:szCs w:val="28"/>
                <w:lang/>
              </w:rPr>
              <w:t>39</w:t>
            </w:r>
            <w:r>
              <w:rPr>
                <w:rFonts w:ascii="仿宋" w:eastAsia="仿宋" w:hAnsi="仿宋" w:cs="仿宋" w:hint="eastAsia"/>
                <w:kern w:val="0"/>
                <w:sz w:val="28"/>
                <w:szCs w:val="28"/>
                <w:lang/>
              </w:rPr>
              <w:t>个月定期开放债券型证券投资基金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24</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方正富邦瑞福</w:t>
            </w:r>
            <w:r>
              <w:rPr>
                <w:rFonts w:ascii="仿宋" w:eastAsia="仿宋" w:hAnsi="仿宋" w:cs="仿宋" w:hint="eastAsia"/>
                <w:kern w:val="0"/>
                <w:sz w:val="28"/>
                <w:szCs w:val="28"/>
                <w:lang/>
              </w:rPr>
              <w:t>6</w:t>
            </w:r>
            <w:r>
              <w:rPr>
                <w:rFonts w:ascii="仿宋" w:eastAsia="仿宋" w:hAnsi="仿宋" w:cs="仿宋" w:hint="eastAsia"/>
                <w:kern w:val="0"/>
                <w:sz w:val="28"/>
                <w:szCs w:val="28"/>
                <w:lang/>
              </w:rPr>
              <w:t>个月持有期债券型证券投资基金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25</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方正富邦稳惠</w:t>
            </w:r>
            <w:r>
              <w:rPr>
                <w:rFonts w:ascii="仿宋" w:eastAsia="仿宋" w:hAnsi="仿宋" w:cs="仿宋" w:hint="eastAsia"/>
                <w:kern w:val="0"/>
                <w:sz w:val="28"/>
                <w:szCs w:val="28"/>
                <w:lang/>
              </w:rPr>
              <w:t>3</w:t>
            </w:r>
            <w:r>
              <w:rPr>
                <w:rFonts w:ascii="仿宋" w:eastAsia="仿宋" w:hAnsi="仿宋" w:cs="仿宋" w:hint="eastAsia"/>
                <w:kern w:val="0"/>
                <w:sz w:val="28"/>
                <w:szCs w:val="28"/>
                <w:lang/>
              </w:rPr>
              <w:t>个月定期开放债券型证券投资基金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26</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方正富邦稳裕纯债债券型证券投资基金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27</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方正富邦瑞实</w:t>
            </w:r>
            <w:r>
              <w:rPr>
                <w:rFonts w:ascii="仿宋" w:eastAsia="仿宋" w:hAnsi="仿宋" w:cs="仿宋" w:hint="eastAsia"/>
                <w:kern w:val="0"/>
                <w:sz w:val="28"/>
                <w:szCs w:val="28"/>
                <w:lang/>
              </w:rPr>
              <w:t>90</w:t>
            </w:r>
            <w:r>
              <w:rPr>
                <w:rFonts w:ascii="仿宋" w:eastAsia="仿宋" w:hAnsi="仿宋" w:cs="仿宋" w:hint="eastAsia"/>
                <w:kern w:val="0"/>
                <w:sz w:val="28"/>
                <w:szCs w:val="28"/>
                <w:lang/>
              </w:rPr>
              <w:t>天持有期债券型证券投资基金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28</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方正富邦恒利纯债债券型证券投资基金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29</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方正富邦鸿远债券型证券投资基金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30</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方正富邦中证同业存单</w:t>
            </w:r>
            <w:r>
              <w:rPr>
                <w:rFonts w:ascii="仿宋" w:eastAsia="仿宋" w:hAnsi="仿宋" w:cs="仿宋" w:hint="eastAsia"/>
                <w:kern w:val="0"/>
                <w:sz w:val="28"/>
                <w:szCs w:val="28"/>
                <w:lang/>
              </w:rPr>
              <w:t>AAA</w:t>
            </w:r>
            <w:r>
              <w:rPr>
                <w:rFonts w:ascii="仿宋" w:eastAsia="仿宋" w:hAnsi="仿宋" w:cs="仿宋" w:hint="eastAsia"/>
                <w:kern w:val="0"/>
                <w:sz w:val="28"/>
                <w:szCs w:val="28"/>
                <w:lang/>
              </w:rPr>
              <w:t>指数</w:t>
            </w:r>
            <w:r>
              <w:rPr>
                <w:rFonts w:ascii="仿宋" w:eastAsia="仿宋" w:hAnsi="仿宋" w:cs="仿宋" w:hint="eastAsia"/>
                <w:kern w:val="0"/>
                <w:sz w:val="28"/>
                <w:szCs w:val="28"/>
                <w:lang/>
              </w:rPr>
              <w:t>7</w:t>
            </w:r>
            <w:r>
              <w:rPr>
                <w:rFonts w:ascii="仿宋" w:eastAsia="仿宋" w:hAnsi="仿宋" w:cs="仿宋" w:hint="eastAsia"/>
                <w:kern w:val="0"/>
                <w:sz w:val="28"/>
                <w:szCs w:val="28"/>
                <w:lang/>
              </w:rPr>
              <w:t>天持有期证券投资基金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31</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方正富邦富利纯债债券型发起式证券投资基金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t>32</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方正富邦添利纯债债券型证券投资基金</w:t>
            </w:r>
          </w:p>
        </w:tc>
      </w:tr>
      <w:tr w:rsidR="00BB170E">
        <w:trPr>
          <w:trHeight w:val="230"/>
          <w:jc w:val="center"/>
        </w:trPr>
        <w:tc>
          <w:tcPr>
            <w:tcW w:w="846" w:type="dxa"/>
            <w:noWrap/>
            <w:vAlign w:val="bottom"/>
          </w:tcPr>
          <w:p w:rsidR="00BB170E" w:rsidRDefault="001018FA">
            <w:pPr>
              <w:widowControl/>
              <w:jc w:val="center"/>
              <w:textAlignment w:val="bottom"/>
              <w:rPr>
                <w:rFonts w:ascii="仿宋" w:eastAsia="仿宋" w:hAnsi="仿宋" w:cs="仿宋"/>
                <w:sz w:val="28"/>
                <w:szCs w:val="28"/>
              </w:rPr>
            </w:pPr>
            <w:r>
              <w:rPr>
                <w:rFonts w:ascii="仿宋" w:eastAsia="仿宋" w:hAnsi="仿宋" w:cs="仿宋" w:hint="eastAsia"/>
                <w:kern w:val="0"/>
                <w:sz w:val="28"/>
                <w:szCs w:val="28"/>
                <w:lang/>
              </w:rPr>
              <w:lastRenderedPageBreak/>
              <w:t>33</w:t>
            </w:r>
          </w:p>
        </w:tc>
        <w:tc>
          <w:tcPr>
            <w:tcW w:w="9159" w:type="dxa"/>
            <w:noWrap/>
            <w:vAlign w:val="center"/>
          </w:tcPr>
          <w:p w:rsidR="00BB170E" w:rsidRDefault="001018FA">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rPr>
              <w:t>方正富邦稳泓</w:t>
            </w:r>
            <w:r>
              <w:rPr>
                <w:rFonts w:ascii="仿宋" w:eastAsia="仿宋" w:hAnsi="仿宋" w:cs="仿宋" w:hint="eastAsia"/>
                <w:kern w:val="0"/>
                <w:sz w:val="28"/>
                <w:szCs w:val="28"/>
                <w:lang/>
              </w:rPr>
              <w:t>3</w:t>
            </w:r>
            <w:r>
              <w:rPr>
                <w:rFonts w:ascii="仿宋" w:eastAsia="仿宋" w:hAnsi="仿宋" w:cs="仿宋" w:hint="eastAsia"/>
                <w:kern w:val="0"/>
                <w:sz w:val="28"/>
                <w:szCs w:val="28"/>
                <w:lang/>
              </w:rPr>
              <w:t>个月定期开放债券型证券投资基金</w:t>
            </w:r>
          </w:p>
        </w:tc>
      </w:tr>
    </w:tbl>
    <w:p w:rsidR="00BB170E" w:rsidRDefault="001018FA">
      <w:pPr>
        <w:spacing w:line="360" w:lineRule="auto"/>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w:t>
      </w:r>
      <w:r>
        <w:rPr>
          <w:rFonts w:ascii="仿宋" w:eastAsia="仿宋" w:hAnsi="仿宋"/>
          <w:color w:val="000000" w:themeColor="text1"/>
          <w:sz w:val="32"/>
          <w:szCs w:val="32"/>
        </w:rPr>
        <w:t>用、勤勉尽责的原则管理和运</w:t>
      </w:r>
      <w:r>
        <w:rPr>
          <w:rFonts w:ascii="仿宋" w:eastAsia="仿宋" w:hAnsi="仿宋" w:hint="eastAsia"/>
          <w:color w:val="000000" w:themeColor="text1"/>
          <w:sz w:val="32"/>
          <w:szCs w:val="32"/>
        </w:rPr>
        <w:t>用</w:t>
      </w:r>
      <w:r>
        <w:rPr>
          <w:rFonts w:ascii="仿宋" w:eastAsia="仿宋" w:hAnsi="仿宋"/>
          <w:color w:val="000000" w:themeColor="text1"/>
          <w:sz w:val="32"/>
          <w:szCs w:val="32"/>
        </w:rPr>
        <w:t>基金资产，但不保证本</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一定盈利，也不保证最低收益。</w:t>
      </w:r>
      <w:r>
        <w:rPr>
          <w:rFonts w:ascii="仿宋" w:eastAsia="仿宋" w:hAnsi="仿宋" w:hint="eastAsia"/>
          <w:color w:val="000000" w:themeColor="text1"/>
          <w:sz w:val="32"/>
          <w:szCs w:val="32"/>
        </w:rPr>
        <w:t>请充分了解本基金的风险收益</w:t>
      </w:r>
      <w:r>
        <w:rPr>
          <w:rFonts w:ascii="仿宋" w:eastAsia="仿宋" w:hAnsi="仿宋"/>
          <w:color w:val="000000" w:themeColor="text1"/>
          <w:sz w:val="32"/>
          <w:szCs w:val="32"/>
        </w:rPr>
        <w:t>特征</w:t>
      </w:r>
      <w:r>
        <w:rPr>
          <w:rFonts w:ascii="仿宋" w:eastAsia="仿宋" w:hAnsi="仿宋" w:hint="eastAsia"/>
          <w:color w:val="000000" w:themeColor="text1"/>
          <w:sz w:val="32"/>
          <w:szCs w:val="32"/>
        </w:rPr>
        <w:t>，审慎做出投资决定。</w:t>
      </w:r>
    </w:p>
    <w:p w:rsidR="00BB170E" w:rsidRDefault="001018FA">
      <w:pPr>
        <w:spacing w:line="360" w:lineRule="auto"/>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BB170E" w:rsidRDefault="001018FA">
      <w:pPr>
        <w:spacing w:line="360" w:lineRule="auto"/>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方正富邦基金管理有限</w:t>
      </w:r>
      <w:r>
        <w:rPr>
          <w:rFonts w:ascii="仿宋" w:eastAsia="仿宋" w:hAnsi="仿宋"/>
          <w:color w:val="000000" w:themeColor="text1"/>
          <w:sz w:val="32"/>
          <w:szCs w:val="32"/>
        </w:rPr>
        <w:t>公司</w:t>
      </w:r>
    </w:p>
    <w:p w:rsidR="00BB170E" w:rsidRDefault="001018FA">
      <w:pPr>
        <w:spacing w:line="360" w:lineRule="auto"/>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二〇二</w:t>
      </w:r>
      <w:r>
        <w:rPr>
          <w:rFonts w:ascii="仿宋" w:eastAsia="仿宋" w:hAnsi="仿宋" w:hint="eastAsia"/>
          <w:color w:val="000000" w:themeColor="text1"/>
          <w:sz w:val="32"/>
          <w:szCs w:val="32"/>
        </w:rPr>
        <w:t>六</w:t>
      </w:r>
      <w:r>
        <w:rPr>
          <w:rFonts w:ascii="仿宋" w:eastAsia="仿宋" w:hAnsi="仿宋"/>
          <w:color w:val="000000" w:themeColor="text1"/>
          <w:sz w:val="32"/>
          <w:szCs w:val="32"/>
        </w:rPr>
        <w:t>年</w:t>
      </w:r>
      <w:r>
        <w:rPr>
          <w:rFonts w:ascii="仿宋" w:eastAsia="仿宋" w:hAnsi="仿宋" w:hint="eastAsia"/>
          <w:color w:val="000000" w:themeColor="text1"/>
          <w:sz w:val="32"/>
          <w:szCs w:val="32"/>
        </w:rPr>
        <w:t>五</w:t>
      </w:r>
      <w:r>
        <w:rPr>
          <w:rFonts w:ascii="仿宋" w:eastAsia="仿宋" w:hAnsi="仿宋"/>
          <w:color w:val="000000" w:themeColor="text1"/>
          <w:sz w:val="32"/>
          <w:szCs w:val="32"/>
        </w:rPr>
        <w:t>月</w:t>
      </w:r>
      <w:r>
        <w:rPr>
          <w:rFonts w:ascii="仿宋" w:eastAsia="仿宋" w:hAnsi="仿宋" w:hint="eastAsia"/>
          <w:color w:val="000000" w:themeColor="text1"/>
          <w:sz w:val="32"/>
          <w:szCs w:val="32"/>
        </w:rPr>
        <w:t>二</w:t>
      </w:r>
      <w:bookmarkStart w:id="0" w:name="_GoBack"/>
      <w:bookmarkEnd w:id="0"/>
      <w:r>
        <w:rPr>
          <w:rFonts w:ascii="仿宋" w:eastAsia="仿宋" w:hAnsi="仿宋" w:hint="eastAsia"/>
          <w:color w:val="000000" w:themeColor="text1"/>
          <w:sz w:val="32"/>
          <w:szCs w:val="32"/>
        </w:rPr>
        <w:t>十一</w:t>
      </w:r>
      <w:r>
        <w:rPr>
          <w:rFonts w:ascii="仿宋" w:eastAsia="仿宋" w:hAnsi="仿宋"/>
          <w:color w:val="000000" w:themeColor="text1"/>
          <w:sz w:val="32"/>
          <w:szCs w:val="32"/>
        </w:rPr>
        <w:t>日</w:t>
      </w:r>
      <w:r>
        <w:rPr>
          <w:rFonts w:ascii="仿宋" w:eastAsia="仿宋" w:hAnsi="仿宋" w:hint="eastAsia"/>
          <w:color w:val="000000" w:themeColor="text1"/>
          <w:sz w:val="32"/>
          <w:szCs w:val="32"/>
        </w:rPr>
        <w:t xml:space="preserve">        </w:t>
      </w:r>
    </w:p>
    <w:sectPr w:rsidR="00BB170E" w:rsidSect="00BB170E">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70E" w:rsidRDefault="00BB170E" w:rsidP="00BB170E">
      <w:r>
        <w:separator/>
      </w:r>
    </w:p>
  </w:endnote>
  <w:endnote w:type="continuationSeparator" w:id="0">
    <w:p w:rsidR="00BB170E" w:rsidRDefault="00BB170E" w:rsidP="00BB1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BB170E" w:rsidRDefault="00BB170E">
        <w:pPr>
          <w:pStyle w:val="a5"/>
          <w:jc w:val="center"/>
        </w:pPr>
        <w:r>
          <w:fldChar w:fldCharType="begin"/>
        </w:r>
        <w:r w:rsidR="001018FA">
          <w:instrText>PAGE   \* MERGEFORMAT</w:instrText>
        </w:r>
        <w:r>
          <w:fldChar w:fldCharType="separate"/>
        </w:r>
        <w:r w:rsidR="001018FA" w:rsidRPr="001018FA">
          <w:rPr>
            <w:noProof/>
            <w:lang w:val="zh-CN"/>
          </w:rPr>
          <w:t>2</w:t>
        </w:r>
        <w:r>
          <w:fldChar w:fldCharType="end"/>
        </w:r>
      </w:p>
    </w:sdtContent>
  </w:sdt>
  <w:p w:rsidR="00BB170E" w:rsidRDefault="00BB170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0E" w:rsidRDefault="00BB170E">
    <w:pPr>
      <w:pStyle w:val="a5"/>
      <w:jc w:val="center"/>
    </w:pPr>
  </w:p>
  <w:p w:rsidR="00BB170E" w:rsidRDefault="00BB170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70E" w:rsidRDefault="00BB170E" w:rsidP="00BB170E">
      <w:r>
        <w:separator/>
      </w:r>
    </w:p>
  </w:footnote>
  <w:footnote w:type="continuationSeparator" w:id="0">
    <w:p w:rsidR="00BB170E" w:rsidRDefault="00BB170E" w:rsidP="00BB17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C32275"/>
    <w:rsid w:val="00012749"/>
    <w:rsid w:val="00012CEE"/>
    <w:rsid w:val="0002380D"/>
    <w:rsid w:val="00064ABE"/>
    <w:rsid w:val="000C1247"/>
    <w:rsid w:val="000C4CDB"/>
    <w:rsid w:val="000E7AA2"/>
    <w:rsid w:val="000F63DD"/>
    <w:rsid w:val="001018FA"/>
    <w:rsid w:val="0010576B"/>
    <w:rsid w:val="00105A18"/>
    <w:rsid w:val="00131689"/>
    <w:rsid w:val="001319B0"/>
    <w:rsid w:val="00145CB0"/>
    <w:rsid w:val="00191187"/>
    <w:rsid w:val="001A0BE8"/>
    <w:rsid w:val="001C0496"/>
    <w:rsid w:val="001D0A22"/>
    <w:rsid w:val="001D2961"/>
    <w:rsid w:val="001E26D0"/>
    <w:rsid w:val="001E6CD4"/>
    <w:rsid w:val="0020162E"/>
    <w:rsid w:val="0020489D"/>
    <w:rsid w:val="002663F4"/>
    <w:rsid w:val="00282A6F"/>
    <w:rsid w:val="002876AD"/>
    <w:rsid w:val="002D1A34"/>
    <w:rsid w:val="002D4304"/>
    <w:rsid w:val="002E49B6"/>
    <w:rsid w:val="002F2867"/>
    <w:rsid w:val="00331B27"/>
    <w:rsid w:val="00337C27"/>
    <w:rsid w:val="0034369B"/>
    <w:rsid w:val="003602A6"/>
    <w:rsid w:val="003603B4"/>
    <w:rsid w:val="00385C6C"/>
    <w:rsid w:val="003B4A82"/>
    <w:rsid w:val="003C7E16"/>
    <w:rsid w:val="004340BF"/>
    <w:rsid w:val="004F5C1C"/>
    <w:rsid w:val="004F7453"/>
    <w:rsid w:val="005000FB"/>
    <w:rsid w:val="00537224"/>
    <w:rsid w:val="005638E5"/>
    <w:rsid w:val="005669AF"/>
    <w:rsid w:val="00580733"/>
    <w:rsid w:val="0058476F"/>
    <w:rsid w:val="005D1F25"/>
    <w:rsid w:val="005E383B"/>
    <w:rsid w:val="00652F32"/>
    <w:rsid w:val="006B3901"/>
    <w:rsid w:val="00720F07"/>
    <w:rsid w:val="00741DE4"/>
    <w:rsid w:val="00747507"/>
    <w:rsid w:val="00750D9D"/>
    <w:rsid w:val="007A1893"/>
    <w:rsid w:val="007A4ADE"/>
    <w:rsid w:val="00844E75"/>
    <w:rsid w:val="00852CB2"/>
    <w:rsid w:val="0089389F"/>
    <w:rsid w:val="008A2C48"/>
    <w:rsid w:val="008C0F5D"/>
    <w:rsid w:val="0090356C"/>
    <w:rsid w:val="009545C3"/>
    <w:rsid w:val="00990F59"/>
    <w:rsid w:val="009D617E"/>
    <w:rsid w:val="00A500F7"/>
    <w:rsid w:val="00A52F8A"/>
    <w:rsid w:val="00AA2EE9"/>
    <w:rsid w:val="00B23DA0"/>
    <w:rsid w:val="00B7101E"/>
    <w:rsid w:val="00BA2973"/>
    <w:rsid w:val="00BA3758"/>
    <w:rsid w:val="00BB170E"/>
    <w:rsid w:val="00BD5EFD"/>
    <w:rsid w:val="00BF7C5E"/>
    <w:rsid w:val="00C32275"/>
    <w:rsid w:val="00C53362"/>
    <w:rsid w:val="00C56B20"/>
    <w:rsid w:val="00C62C03"/>
    <w:rsid w:val="00C80796"/>
    <w:rsid w:val="00C95FDE"/>
    <w:rsid w:val="00CB7DED"/>
    <w:rsid w:val="00CC75FF"/>
    <w:rsid w:val="00D07E58"/>
    <w:rsid w:val="00D12CAA"/>
    <w:rsid w:val="00D4245E"/>
    <w:rsid w:val="00D53912"/>
    <w:rsid w:val="00D600BD"/>
    <w:rsid w:val="00D919E7"/>
    <w:rsid w:val="00E16B40"/>
    <w:rsid w:val="00E30E6C"/>
    <w:rsid w:val="00E41B9B"/>
    <w:rsid w:val="00E46E50"/>
    <w:rsid w:val="00E62426"/>
    <w:rsid w:val="00EB02F4"/>
    <w:rsid w:val="00EC59E6"/>
    <w:rsid w:val="00EE4A20"/>
    <w:rsid w:val="00EF2FB0"/>
    <w:rsid w:val="00EF76DC"/>
    <w:rsid w:val="00F67E23"/>
    <w:rsid w:val="00FC3AFF"/>
    <w:rsid w:val="00FF6546"/>
    <w:rsid w:val="479449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70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B170E"/>
    <w:pPr>
      <w:jc w:val="left"/>
    </w:pPr>
  </w:style>
  <w:style w:type="paragraph" w:styleId="a4">
    <w:name w:val="Balloon Text"/>
    <w:basedOn w:val="a"/>
    <w:link w:val="Char0"/>
    <w:uiPriority w:val="99"/>
    <w:semiHidden/>
    <w:unhideWhenUsed/>
    <w:rsid w:val="00BB170E"/>
    <w:rPr>
      <w:sz w:val="18"/>
      <w:szCs w:val="18"/>
    </w:rPr>
  </w:style>
  <w:style w:type="paragraph" w:styleId="a5">
    <w:name w:val="footer"/>
    <w:basedOn w:val="a"/>
    <w:link w:val="Char1"/>
    <w:uiPriority w:val="99"/>
    <w:unhideWhenUsed/>
    <w:rsid w:val="00BB170E"/>
    <w:pPr>
      <w:tabs>
        <w:tab w:val="center" w:pos="4153"/>
        <w:tab w:val="right" w:pos="8306"/>
      </w:tabs>
      <w:snapToGrid w:val="0"/>
      <w:jc w:val="left"/>
    </w:pPr>
    <w:rPr>
      <w:sz w:val="18"/>
      <w:szCs w:val="18"/>
    </w:rPr>
  </w:style>
  <w:style w:type="paragraph" w:styleId="a6">
    <w:name w:val="annotation subject"/>
    <w:basedOn w:val="a3"/>
    <w:next w:val="a3"/>
    <w:link w:val="Char2"/>
    <w:uiPriority w:val="99"/>
    <w:semiHidden/>
    <w:unhideWhenUsed/>
    <w:qFormat/>
    <w:rsid w:val="00BB170E"/>
    <w:rPr>
      <w:b/>
      <w:bCs/>
    </w:rPr>
  </w:style>
  <w:style w:type="table" w:styleId="a7">
    <w:name w:val="Table Grid"/>
    <w:basedOn w:val="a1"/>
    <w:uiPriority w:val="39"/>
    <w:qFormat/>
    <w:rsid w:val="00BB1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BB170E"/>
    <w:rPr>
      <w:color w:val="0563C1" w:themeColor="hyperlink"/>
      <w:u w:val="single"/>
    </w:rPr>
  </w:style>
  <w:style w:type="character" w:styleId="a9">
    <w:name w:val="annotation reference"/>
    <w:basedOn w:val="a0"/>
    <w:uiPriority w:val="99"/>
    <w:semiHidden/>
    <w:unhideWhenUsed/>
    <w:qFormat/>
    <w:rsid w:val="00BB170E"/>
    <w:rPr>
      <w:sz w:val="21"/>
      <w:szCs w:val="21"/>
    </w:rPr>
  </w:style>
  <w:style w:type="character" w:customStyle="1" w:styleId="Char1">
    <w:name w:val="页脚 Char"/>
    <w:basedOn w:val="a0"/>
    <w:link w:val="a5"/>
    <w:uiPriority w:val="99"/>
    <w:rsid w:val="00BB170E"/>
    <w:rPr>
      <w:sz w:val="18"/>
      <w:szCs w:val="18"/>
    </w:rPr>
  </w:style>
  <w:style w:type="character" w:customStyle="1" w:styleId="Char">
    <w:name w:val="批注文字 Char"/>
    <w:basedOn w:val="a0"/>
    <w:link w:val="a3"/>
    <w:uiPriority w:val="99"/>
    <w:semiHidden/>
    <w:qFormat/>
    <w:rsid w:val="00BB170E"/>
  </w:style>
  <w:style w:type="character" w:customStyle="1" w:styleId="Char2">
    <w:name w:val="批注主题 Char"/>
    <w:basedOn w:val="Char"/>
    <w:link w:val="a6"/>
    <w:uiPriority w:val="99"/>
    <w:semiHidden/>
    <w:qFormat/>
    <w:rsid w:val="00BB170E"/>
    <w:rPr>
      <w:b/>
      <w:bCs/>
    </w:rPr>
  </w:style>
  <w:style w:type="character" w:customStyle="1" w:styleId="Char0">
    <w:name w:val="批注框文本 Char"/>
    <w:basedOn w:val="a0"/>
    <w:link w:val="a4"/>
    <w:uiPriority w:val="99"/>
    <w:semiHidden/>
    <w:qFormat/>
    <w:rsid w:val="00BB170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1032</Characters>
  <Application>Microsoft Office Word</Application>
  <DocSecurity>4</DocSecurity>
  <Lines>8</Lines>
  <Paragraphs>2</Paragraphs>
  <ScaleCrop>false</ScaleCrop>
  <Company>CNSTOCK</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郭畅研</dc:creator>
  <cp:lastModifiedBy>ZHONGM</cp:lastModifiedBy>
  <cp:revision>2</cp:revision>
  <dcterms:created xsi:type="dcterms:W3CDTF">2026-05-20T16:03:00Z</dcterms:created>
  <dcterms:modified xsi:type="dcterms:W3CDTF">2026-05-20T16:03:00Z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eyJoZGlkIjoiN2JmNTAxNzBjMTcxODYxNGJkMTRhZDUzYjc4MDFjMmMiLCJ1c2VySWQiOiIzMDM4ODUwNzgifQ==</vt:lpwstr>
  </property>
  <property fmtid="{D5CDD505-2E9C-101B-9397-08002B2CF9AE}" pid="3" name="KSOProductBuildVer">
    <vt:lpwstr>2052-12.1.0.25865</vt:lpwstr>
  </property>
  <property fmtid="{D5CDD505-2E9C-101B-9397-08002B2CF9AE}" pid="4" name="ICV">
    <vt:lpwstr>9078D2CA6E2245DA8FF2A06CCADE6CE9_12</vt:lpwstr>
  </property>
</Properties>
</file>