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5C57C5" w:rsidRDefault="00B74F03" w:rsidP="005C57C5">
      <w:pPr>
        <w:jc w:val="center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 w:hint="eastAsia"/>
          <w:b/>
          <w:color w:val="FF0000"/>
          <w:szCs w:val="36"/>
        </w:rPr>
        <w:t>嘉实中证A500交易型开放式指数证券投资基金联接基金</w:t>
      </w:r>
      <w:r w:rsidR="008B1A2E" w:rsidRPr="005C57C5">
        <w:rPr>
          <w:rFonts w:ascii="黑体" w:eastAsia="黑体" w:hAnsi="黑体" w:hint="eastAsia"/>
          <w:b/>
          <w:color w:val="FF0000"/>
        </w:rPr>
        <w:t>恢复</w:t>
      </w:r>
      <w:r w:rsidR="005C57C5">
        <w:rPr>
          <w:rFonts w:ascii="黑体" w:eastAsia="黑体" w:hAnsi="黑体" w:hint="eastAsia"/>
          <w:b/>
          <w:color w:val="FF0000"/>
        </w:rPr>
        <w:t>机构投资者</w:t>
      </w:r>
      <w:r w:rsidR="00472246">
        <w:rPr>
          <w:rFonts w:ascii="黑体" w:eastAsia="黑体" w:hAnsi="黑体" w:hint="eastAsia"/>
          <w:b/>
          <w:color w:val="FF0000"/>
        </w:rPr>
        <w:t>大额</w:t>
      </w:r>
      <w:r w:rsidR="00CF13C0" w:rsidRPr="005C57C5">
        <w:rPr>
          <w:rFonts w:ascii="黑体" w:eastAsia="黑体" w:hAnsi="黑体"/>
          <w:b/>
          <w:color w:val="FF0000"/>
        </w:rPr>
        <w:t>申购</w:t>
      </w:r>
      <w:r w:rsidR="00472246">
        <w:rPr>
          <w:rFonts w:ascii="黑体" w:eastAsia="黑体" w:hAnsi="黑体" w:hint="eastAsia"/>
          <w:b/>
          <w:color w:val="FF0000"/>
        </w:rPr>
        <w:t>（含转换转入</w:t>
      </w:r>
      <w:r w:rsidR="00FD56AB">
        <w:rPr>
          <w:rFonts w:ascii="黑体" w:eastAsia="黑体" w:hAnsi="黑体" w:hint="eastAsia"/>
          <w:b/>
          <w:color w:val="FF0000"/>
        </w:rPr>
        <w:t>及定期定额投资</w:t>
      </w:r>
      <w:r w:rsidR="00472246">
        <w:rPr>
          <w:rFonts w:ascii="黑体" w:eastAsia="黑体" w:hAnsi="黑体" w:hint="eastAsia"/>
          <w:b/>
          <w:color w:val="FF0000"/>
        </w:rPr>
        <w:t>）</w:t>
      </w:r>
      <w:r w:rsidR="00964FCF" w:rsidRPr="005C57C5">
        <w:rPr>
          <w:rFonts w:ascii="黑体" w:eastAsia="黑体" w:hAnsi="黑体" w:hint="eastAsia"/>
          <w:b/>
          <w:color w:val="FF0000"/>
        </w:rPr>
        <w:t>业务的</w:t>
      </w:r>
      <w:r w:rsidR="00CF13C0" w:rsidRPr="005C57C5">
        <w:rPr>
          <w:rFonts w:ascii="黑体" w:eastAsia="黑体" w:hAnsi="黑体"/>
          <w:b/>
          <w:color w:val="FF0000"/>
        </w:rPr>
        <w:t>公告</w:t>
      </w:r>
    </w:p>
    <w:p w:rsidR="00CF13C0" w:rsidRPr="002A26A0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2A26A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8D3C19">
        <w:rPr>
          <w:rFonts w:ascii="宋体" w:eastAsia="宋体" w:hAnsi="宋体" w:hint="eastAsia"/>
          <w:color w:val="000000"/>
          <w:sz w:val="24"/>
          <w:szCs w:val="24"/>
        </w:rPr>
        <w:t>2026年5月19日</w:t>
      </w:r>
    </w:p>
    <w:p w:rsidR="00CF13C0" w:rsidRPr="002A26A0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2A26A0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2410"/>
        <w:gridCol w:w="1784"/>
        <w:gridCol w:w="1784"/>
        <w:gridCol w:w="1785"/>
      </w:tblGrid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bookmarkStart w:id="1" w:name="_Toc275961406"/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353" w:type="dxa"/>
            <w:gridSpan w:val="3"/>
          </w:tcPr>
          <w:p w:rsidR="002663DA" w:rsidRPr="00107EC3" w:rsidRDefault="00B74F03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嘉实中证A500交易型开放式指数证券投资基金联接基金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353" w:type="dxa"/>
            <w:gridSpan w:val="3"/>
          </w:tcPr>
          <w:p w:rsidR="00F6132C" w:rsidRPr="009D25F6" w:rsidRDefault="00B74F03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353" w:type="dxa"/>
            <w:gridSpan w:val="3"/>
          </w:tcPr>
          <w:p w:rsidR="00F6132C" w:rsidRPr="009D25F6" w:rsidRDefault="00B74F03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74F03">
              <w:rPr>
                <w:rFonts w:ascii="宋体" w:eastAsia="宋体" w:hAnsi="宋体"/>
                <w:color w:val="000000"/>
                <w:sz w:val="21"/>
                <w:szCs w:val="21"/>
              </w:rPr>
              <w:t>022453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353" w:type="dxa"/>
            <w:gridSpan w:val="3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353" w:type="dxa"/>
            <w:gridSpan w:val="3"/>
          </w:tcPr>
          <w:p w:rsidR="002663DA" w:rsidRPr="00107EC3" w:rsidRDefault="00B412D3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《中华人民共和国证券投资基金法》、《公开募集证券投资基金运作管理办法》等法律法规以及《</w:t>
            </w:r>
            <w:r w:rsidR="00B74F0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嘉实中证A500交易型开放式指数证券投资基金联接基金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B74F0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嘉实中证A500交易型开放式指数证券投资基金联接基金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2663DA" w:rsidRPr="00107EC3" w:rsidTr="00F6132C">
        <w:trPr>
          <w:trHeight w:val="317"/>
          <w:jc w:val="center"/>
        </w:trPr>
        <w:tc>
          <w:tcPr>
            <w:tcW w:w="1241" w:type="dxa"/>
            <w:vMerge w:val="restart"/>
            <w:vAlign w:val="center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410" w:type="dxa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472246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5353" w:type="dxa"/>
            <w:gridSpan w:val="3"/>
          </w:tcPr>
          <w:p w:rsidR="002663DA" w:rsidRPr="00107EC3" w:rsidRDefault="008D3C19" w:rsidP="00C83F51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2026年5月20日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  <w:vAlign w:val="center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353" w:type="dxa"/>
            <w:gridSpan w:val="3"/>
          </w:tcPr>
          <w:p w:rsidR="00FD56AB" w:rsidRPr="00107EC3" w:rsidRDefault="008D3C19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2026年5月20日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  <w:vAlign w:val="center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2A26A0" w:rsidRDefault="00FD56AB" w:rsidP="00FD56A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大额定期定额投资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353" w:type="dxa"/>
            <w:gridSpan w:val="3"/>
          </w:tcPr>
          <w:p w:rsidR="00FD56AB" w:rsidRPr="00107EC3" w:rsidRDefault="008D3C19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2026年5月20日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(含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Pr="00FD56A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及定期定额投资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353" w:type="dxa"/>
            <w:gridSpan w:val="3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  <w:tr w:rsidR="00F6132C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784" w:type="dxa"/>
          </w:tcPr>
          <w:p w:rsidR="00F6132C" w:rsidRPr="000928FC" w:rsidRDefault="00B74F03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  <w:r w:rsidR="00F6132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84" w:type="dxa"/>
          </w:tcPr>
          <w:p w:rsidR="00F6132C" w:rsidRPr="00EE4EC0" w:rsidRDefault="00B74F03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  <w:r w:rsidR="00F6132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785" w:type="dxa"/>
          </w:tcPr>
          <w:p w:rsidR="00F6132C" w:rsidRPr="000928FC" w:rsidRDefault="00B74F03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  <w:r w:rsidR="0000328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Y</w:t>
            </w:r>
          </w:p>
        </w:tc>
      </w:tr>
      <w:tr w:rsidR="00F6132C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784" w:type="dxa"/>
          </w:tcPr>
          <w:p w:rsidR="00F6132C" w:rsidRPr="009D25F6" w:rsidRDefault="00B74F03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74F03">
              <w:rPr>
                <w:rFonts w:ascii="宋体" w:eastAsia="宋体" w:hAnsi="宋体"/>
                <w:color w:val="000000"/>
                <w:sz w:val="21"/>
                <w:szCs w:val="21"/>
              </w:rPr>
              <w:t>022453</w:t>
            </w:r>
          </w:p>
        </w:tc>
        <w:tc>
          <w:tcPr>
            <w:tcW w:w="1784" w:type="dxa"/>
          </w:tcPr>
          <w:p w:rsidR="00F6132C" w:rsidRPr="009D25F6" w:rsidRDefault="00B74F03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74F03">
              <w:rPr>
                <w:rFonts w:ascii="宋体" w:eastAsia="宋体" w:hAnsi="宋体"/>
                <w:color w:val="000000"/>
                <w:sz w:val="21"/>
                <w:szCs w:val="21"/>
              </w:rPr>
              <w:t>022454</w:t>
            </w:r>
          </w:p>
        </w:tc>
        <w:tc>
          <w:tcPr>
            <w:tcW w:w="1785" w:type="dxa"/>
          </w:tcPr>
          <w:p w:rsidR="00F6132C" w:rsidRPr="009D25F6" w:rsidRDefault="00B74F03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74F03">
              <w:rPr>
                <w:rFonts w:ascii="宋体" w:eastAsia="宋体" w:hAnsi="宋体"/>
                <w:color w:val="000000"/>
                <w:sz w:val="21"/>
                <w:szCs w:val="21"/>
              </w:rPr>
              <w:t>022905</w:t>
            </w:r>
          </w:p>
        </w:tc>
      </w:tr>
      <w:tr w:rsidR="00F6132C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含转换转入及定期定额投资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84" w:type="dxa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4" w:type="dxa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5" w:type="dxa"/>
          </w:tcPr>
          <w:p w:rsidR="00F6132C" w:rsidRPr="009D25F6" w:rsidRDefault="00F6132C" w:rsidP="00F6132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  <w:r w:rsidR="000D781C" w:rsidRPr="000D781C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（暂未开通转换业务）</w:t>
            </w:r>
          </w:p>
        </w:tc>
      </w:tr>
    </w:tbl>
    <w:p w:rsidR="000750D8" w:rsidRPr="002A26A0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r w:rsidRPr="002A26A0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81F6C" w:rsidRPr="002A26A0" w:rsidRDefault="00081F6C" w:rsidP="00B412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="00C63A76">
        <w:rPr>
          <w:rFonts w:ascii="宋体" w:eastAsia="宋体" w:hAnsi="宋体" w:hint="eastAsia"/>
          <w:color w:val="000000"/>
          <w:sz w:val="21"/>
          <w:szCs w:val="21"/>
        </w:rPr>
        <w:t>为</w:t>
      </w:r>
      <w:r w:rsidR="00B412D3" w:rsidRPr="00B412D3">
        <w:rPr>
          <w:rFonts w:ascii="宋体" w:eastAsia="宋体" w:hAnsi="宋体" w:hint="eastAsia"/>
          <w:color w:val="000000"/>
          <w:sz w:val="21"/>
          <w:szCs w:val="21"/>
        </w:rPr>
        <w:t>保证基金业绩和规模的良性成长，向投资者提供更优质的服务</w:t>
      </w:r>
      <w:r w:rsidR="000E54F6" w:rsidRPr="002A26A0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2A26A0">
        <w:rPr>
          <w:rFonts w:ascii="宋体" w:eastAsia="宋体" w:hAnsi="宋体" w:hint="eastAsia"/>
          <w:color w:val="000000"/>
          <w:sz w:val="21"/>
          <w:szCs w:val="21"/>
        </w:rPr>
        <w:t>嘉实基金</w:t>
      </w:r>
      <w:r w:rsidRPr="002A26A0">
        <w:rPr>
          <w:rFonts w:ascii="宋体" w:eastAsia="宋体" w:hAnsi="宋体"/>
          <w:color w:val="000000"/>
          <w:sz w:val="21"/>
          <w:szCs w:val="21"/>
        </w:rPr>
        <w:t>管理有限公司（以下简称＂本公司＂）决定自</w:t>
      </w:r>
      <w:r w:rsidR="00C83F51">
        <w:rPr>
          <w:rFonts w:ascii="宋体" w:eastAsia="宋体" w:hAnsi="宋体" w:hint="eastAsia"/>
          <w:color w:val="000000"/>
          <w:kern w:val="0"/>
          <w:sz w:val="21"/>
          <w:szCs w:val="21"/>
        </w:rPr>
        <w:t>2026年</w:t>
      </w:r>
      <w:r w:rsidR="008D3C19">
        <w:rPr>
          <w:rFonts w:ascii="宋体" w:eastAsia="宋体" w:hAnsi="宋体"/>
          <w:color w:val="000000"/>
          <w:kern w:val="0"/>
          <w:sz w:val="21"/>
          <w:szCs w:val="21"/>
        </w:rPr>
        <w:t>5</w:t>
      </w:r>
      <w:r w:rsidR="00C83F51">
        <w:rPr>
          <w:rFonts w:ascii="宋体" w:eastAsia="宋体" w:hAnsi="宋体" w:hint="eastAsia"/>
          <w:color w:val="000000"/>
          <w:kern w:val="0"/>
          <w:sz w:val="21"/>
          <w:szCs w:val="21"/>
        </w:rPr>
        <w:t>月</w:t>
      </w:r>
      <w:r w:rsidR="008D3C19">
        <w:rPr>
          <w:rFonts w:ascii="宋体" w:eastAsia="宋体" w:hAnsi="宋体"/>
          <w:color w:val="000000"/>
          <w:kern w:val="0"/>
          <w:sz w:val="21"/>
          <w:szCs w:val="21"/>
        </w:rPr>
        <w:t>12</w:t>
      </w:r>
      <w:bookmarkStart w:id="2" w:name="_GoBack"/>
      <w:bookmarkEnd w:id="2"/>
      <w:r w:rsidR="00C83F51">
        <w:rPr>
          <w:rFonts w:ascii="宋体" w:eastAsia="宋体" w:hAnsi="宋体" w:hint="eastAsia"/>
          <w:color w:val="000000"/>
          <w:kern w:val="0"/>
          <w:sz w:val="21"/>
          <w:szCs w:val="21"/>
        </w:rPr>
        <w:t>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起对本基金机构投资者的申购（含转换转入</w:t>
      </w:r>
      <w:r w:rsidR="00FD56AB" w:rsidRPr="00FD56AB">
        <w:rPr>
          <w:rFonts w:ascii="宋体" w:eastAsia="宋体" w:hAnsi="宋体" w:hint="eastAsia"/>
          <w:color w:val="000000"/>
          <w:kern w:val="0"/>
          <w:sz w:val="21"/>
          <w:szCs w:val="21"/>
        </w:rPr>
        <w:t>及定期定额投资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）投资限额调整为：</w:t>
      </w:r>
      <w:r w:rsidR="00B74F03" w:rsidRPr="00B74F03">
        <w:rPr>
          <w:rFonts w:ascii="宋体" w:eastAsia="宋体" w:hAnsi="宋体" w:hint="eastAsia"/>
          <w:color w:val="000000"/>
          <w:kern w:val="0"/>
          <w:sz w:val="21"/>
          <w:szCs w:val="21"/>
        </w:rPr>
        <w:t>机构投资者单个开放日每个基金账户的累计申购（含转换转入及定期定额投资）金额不得超过1000万元，如超过1000万元，本基金管理人将有权拒绝；投资者在基金合同约定之外的日期和时间提出申购（含转换转入及定期定额投资）申请的，视为下一个开放日的申请</w:t>
      </w:r>
      <w:r w:rsidR="00B74F03">
        <w:rPr>
          <w:rFonts w:ascii="宋体" w:eastAsia="宋体" w:hAnsi="宋体" w:hint="eastAsia"/>
          <w:color w:val="000000"/>
          <w:kern w:val="0"/>
          <w:sz w:val="21"/>
          <w:szCs w:val="21"/>
        </w:rPr>
        <w:t>。</w:t>
      </w:r>
    </w:p>
    <w:p w:rsidR="00081F6C" w:rsidRDefault="00081F6C" w:rsidP="00081F6C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/>
          <w:color w:val="000000"/>
          <w:sz w:val="21"/>
          <w:szCs w:val="21"/>
        </w:rPr>
        <w:lastRenderedPageBreak/>
        <w:t>鉴于近期为满足广大投资者的投资需求，根据法律法规及本基金基金合同的相关规定，本公司决定自</w:t>
      </w:r>
      <w:r w:rsidR="008D3C19">
        <w:rPr>
          <w:rFonts w:ascii="宋体" w:eastAsia="宋体" w:hAnsi="宋体" w:hint="eastAsia"/>
          <w:color w:val="000000"/>
          <w:sz w:val="21"/>
          <w:szCs w:val="21"/>
        </w:rPr>
        <w:t>2026年5月20日</w:t>
      </w:r>
      <w:r w:rsidRPr="002A26A0">
        <w:rPr>
          <w:rFonts w:ascii="宋体" w:eastAsia="宋体" w:hAnsi="宋体"/>
          <w:color w:val="000000"/>
          <w:sz w:val="21"/>
          <w:szCs w:val="21"/>
        </w:rPr>
        <w:t>起取消上述限制，恢复办理本基金</w:t>
      </w:r>
      <w:r w:rsidR="000C2FBE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B474F3">
        <w:rPr>
          <w:rFonts w:ascii="宋体" w:eastAsia="宋体" w:hAnsi="宋体"/>
          <w:color w:val="000000"/>
          <w:sz w:val="21"/>
          <w:szCs w:val="21"/>
        </w:rPr>
        <w:t>的</w:t>
      </w:r>
      <w:r w:rsidR="00B412D3">
        <w:rPr>
          <w:rFonts w:ascii="宋体" w:eastAsia="宋体" w:hAnsi="宋体"/>
          <w:color w:val="000000"/>
          <w:sz w:val="21"/>
          <w:szCs w:val="21"/>
        </w:rPr>
        <w:t>正常</w:t>
      </w:r>
      <w:r w:rsidRPr="002A26A0">
        <w:rPr>
          <w:rFonts w:ascii="宋体" w:eastAsia="宋体" w:hAnsi="宋体"/>
          <w:color w:val="000000"/>
          <w:sz w:val="21"/>
          <w:szCs w:val="21"/>
        </w:rPr>
        <w:t>申购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（含转换转入</w:t>
      </w:r>
      <w:r w:rsidR="00FD56AB" w:rsidRPr="00FD56AB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2A26A0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F76CD2" w:rsidRPr="002A26A0" w:rsidRDefault="00081F6C" w:rsidP="003D7F1F">
      <w:pPr>
        <w:pStyle w:val="a5"/>
        <w:spacing w:line="360" w:lineRule="auto"/>
        <w:ind w:firstLineChars="0"/>
        <w:rPr>
          <w:rFonts w:ascii="宋体" w:eastAsia="宋体" w:hAnsi="宋体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472246">
        <w:rPr>
          <w:rFonts w:ascii="宋体" w:eastAsia="宋体" w:hAnsi="宋体"/>
          <w:color w:val="000000"/>
          <w:sz w:val="21"/>
          <w:szCs w:val="21"/>
        </w:rPr>
        <w:t>2</w:t>
      </w:r>
      <w:r w:rsidR="00062D16">
        <w:rPr>
          <w:rFonts w:ascii="宋体" w:eastAsia="宋体" w:hAnsi="宋体"/>
          <w:color w:val="000000"/>
          <w:sz w:val="21"/>
          <w:szCs w:val="21"/>
        </w:rPr>
        <w:t>）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F76CD2" w:rsidRPr="002A26A0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39" w:rsidRDefault="00F06539" w:rsidP="00CF13C0">
      <w:r>
        <w:separator/>
      </w:r>
    </w:p>
  </w:endnote>
  <w:endnote w:type="continuationSeparator" w:id="0">
    <w:p w:rsidR="00F06539" w:rsidRDefault="00F06539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39" w:rsidRDefault="00F06539" w:rsidP="00CF13C0">
      <w:r>
        <w:separator/>
      </w:r>
    </w:p>
  </w:footnote>
  <w:footnote w:type="continuationSeparator" w:id="0">
    <w:p w:rsidR="00F06539" w:rsidRDefault="00F06539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328A"/>
    <w:rsid w:val="000352C9"/>
    <w:rsid w:val="0004223F"/>
    <w:rsid w:val="00042937"/>
    <w:rsid w:val="00046545"/>
    <w:rsid w:val="00060008"/>
    <w:rsid w:val="00062D16"/>
    <w:rsid w:val="000750D8"/>
    <w:rsid w:val="00081F6C"/>
    <w:rsid w:val="0008255C"/>
    <w:rsid w:val="000A667F"/>
    <w:rsid w:val="000B416F"/>
    <w:rsid w:val="000B66D0"/>
    <w:rsid w:val="000C2FBE"/>
    <w:rsid w:val="000D312C"/>
    <w:rsid w:val="000D781C"/>
    <w:rsid w:val="000E54F6"/>
    <w:rsid w:val="00103F70"/>
    <w:rsid w:val="00107EC3"/>
    <w:rsid w:val="00113840"/>
    <w:rsid w:val="0012724B"/>
    <w:rsid w:val="001350C9"/>
    <w:rsid w:val="001534DB"/>
    <w:rsid w:val="001658C4"/>
    <w:rsid w:val="001A2D7F"/>
    <w:rsid w:val="001B7904"/>
    <w:rsid w:val="00202C75"/>
    <w:rsid w:val="00230202"/>
    <w:rsid w:val="00262F34"/>
    <w:rsid w:val="002663DA"/>
    <w:rsid w:val="00267C80"/>
    <w:rsid w:val="002A26A0"/>
    <w:rsid w:val="002A631A"/>
    <w:rsid w:val="002B1F67"/>
    <w:rsid w:val="002D3B1A"/>
    <w:rsid w:val="002E29DE"/>
    <w:rsid w:val="002F682E"/>
    <w:rsid w:val="00306F49"/>
    <w:rsid w:val="0031721D"/>
    <w:rsid w:val="00327265"/>
    <w:rsid w:val="00335890"/>
    <w:rsid w:val="00351585"/>
    <w:rsid w:val="00373B10"/>
    <w:rsid w:val="00381C1A"/>
    <w:rsid w:val="003A2E5B"/>
    <w:rsid w:val="003B26F1"/>
    <w:rsid w:val="003D7F1F"/>
    <w:rsid w:val="003F0B36"/>
    <w:rsid w:val="004064AA"/>
    <w:rsid w:val="004105AA"/>
    <w:rsid w:val="004314F6"/>
    <w:rsid w:val="004408EA"/>
    <w:rsid w:val="00472246"/>
    <w:rsid w:val="004854E0"/>
    <w:rsid w:val="004872FD"/>
    <w:rsid w:val="0049732A"/>
    <w:rsid w:val="004C6F12"/>
    <w:rsid w:val="004E4EFD"/>
    <w:rsid w:val="00544C60"/>
    <w:rsid w:val="00551DC1"/>
    <w:rsid w:val="00576DCA"/>
    <w:rsid w:val="0058097D"/>
    <w:rsid w:val="005A6E3D"/>
    <w:rsid w:val="005B5B8B"/>
    <w:rsid w:val="005C57C5"/>
    <w:rsid w:val="005D389F"/>
    <w:rsid w:val="005E229A"/>
    <w:rsid w:val="005E6A6F"/>
    <w:rsid w:val="00613FB3"/>
    <w:rsid w:val="00644143"/>
    <w:rsid w:val="00653DB4"/>
    <w:rsid w:val="006A236C"/>
    <w:rsid w:val="006B4682"/>
    <w:rsid w:val="006C227D"/>
    <w:rsid w:val="006D7124"/>
    <w:rsid w:val="007178D6"/>
    <w:rsid w:val="00730419"/>
    <w:rsid w:val="0074506E"/>
    <w:rsid w:val="0077152F"/>
    <w:rsid w:val="00796118"/>
    <w:rsid w:val="007A3C43"/>
    <w:rsid w:val="007A3DAA"/>
    <w:rsid w:val="007A553E"/>
    <w:rsid w:val="007E19BD"/>
    <w:rsid w:val="007E7645"/>
    <w:rsid w:val="00801F27"/>
    <w:rsid w:val="00816D29"/>
    <w:rsid w:val="0084767F"/>
    <w:rsid w:val="0085261B"/>
    <w:rsid w:val="00882496"/>
    <w:rsid w:val="00885759"/>
    <w:rsid w:val="00896A73"/>
    <w:rsid w:val="008A32F8"/>
    <w:rsid w:val="008A3FDB"/>
    <w:rsid w:val="008B1A2E"/>
    <w:rsid w:val="008D3C19"/>
    <w:rsid w:val="008D3F40"/>
    <w:rsid w:val="008D4773"/>
    <w:rsid w:val="008E39A5"/>
    <w:rsid w:val="008E7547"/>
    <w:rsid w:val="009155A3"/>
    <w:rsid w:val="00964FCF"/>
    <w:rsid w:val="0098141D"/>
    <w:rsid w:val="00986950"/>
    <w:rsid w:val="009A777E"/>
    <w:rsid w:val="009C0CF5"/>
    <w:rsid w:val="00A03367"/>
    <w:rsid w:val="00A27E00"/>
    <w:rsid w:val="00A37F8F"/>
    <w:rsid w:val="00A4318F"/>
    <w:rsid w:val="00A57AC5"/>
    <w:rsid w:val="00A61A32"/>
    <w:rsid w:val="00A67CE4"/>
    <w:rsid w:val="00AC5AD8"/>
    <w:rsid w:val="00AF2C2D"/>
    <w:rsid w:val="00B14B91"/>
    <w:rsid w:val="00B260EC"/>
    <w:rsid w:val="00B34BEF"/>
    <w:rsid w:val="00B36397"/>
    <w:rsid w:val="00B412D3"/>
    <w:rsid w:val="00B42D8A"/>
    <w:rsid w:val="00B474F3"/>
    <w:rsid w:val="00B636D2"/>
    <w:rsid w:val="00B6380E"/>
    <w:rsid w:val="00B67533"/>
    <w:rsid w:val="00B74F03"/>
    <w:rsid w:val="00B8283D"/>
    <w:rsid w:val="00B87319"/>
    <w:rsid w:val="00B87995"/>
    <w:rsid w:val="00B97A4F"/>
    <w:rsid w:val="00BB6C2E"/>
    <w:rsid w:val="00BD6CBE"/>
    <w:rsid w:val="00BF517D"/>
    <w:rsid w:val="00C20837"/>
    <w:rsid w:val="00C32406"/>
    <w:rsid w:val="00C42D44"/>
    <w:rsid w:val="00C54129"/>
    <w:rsid w:val="00C57EE7"/>
    <w:rsid w:val="00C63A76"/>
    <w:rsid w:val="00C80E71"/>
    <w:rsid w:val="00C83F51"/>
    <w:rsid w:val="00C960AE"/>
    <w:rsid w:val="00CB464F"/>
    <w:rsid w:val="00CB78D9"/>
    <w:rsid w:val="00CC2FF5"/>
    <w:rsid w:val="00CE4AE4"/>
    <w:rsid w:val="00CE4CBB"/>
    <w:rsid w:val="00CF13C0"/>
    <w:rsid w:val="00CF22B3"/>
    <w:rsid w:val="00D24A8D"/>
    <w:rsid w:val="00D25FB4"/>
    <w:rsid w:val="00D34596"/>
    <w:rsid w:val="00D353A7"/>
    <w:rsid w:val="00D55B51"/>
    <w:rsid w:val="00D85319"/>
    <w:rsid w:val="00D94294"/>
    <w:rsid w:val="00DA007A"/>
    <w:rsid w:val="00DC6133"/>
    <w:rsid w:val="00E0181B"/>
    <w:rsid w:val="00E24E72"/>
    <w:rsid w:val="00E26E0C"/>
    <w:rsid w:val="00E32B7B"/>
    <w:rsid w:val="00E4168B"/>
    <w:rsid w:val="00E621C3"/>
    <w:rsid w:val="00EC2C91"/>
    <w:rsid w:val="00EE5DDC"/>
    <w:rsid w:val="00EF7C16"/>
    <w:rsid w:val="00F06539"/>
    <w:rsid w:val="00F24137"/>
    <w:rsid w:val="00F6132C"/>
    <w:rsid w:val="00F63E5A"/>
    <w:rsid w:val="00F73C2F"/>
    <w:rsid w:val="00F76CD2"/>
    <w:rsid w:val="00F85236"/>
    <w:rsid w:val="00FC4604"/>
    <w:rsid w:val="00FD2A22"/>
    <w:rsid w:val="00FD56AB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663D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2026-05-18T16:01:00Z</dcterms:created>
  <dcterms:modified xsi:type="dcterms:W3CDTF">2026-05-18T16:01:00Z</dcterms:modified>
</cp:coreProperties>
</file>