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18" w:rsidRDefault="00492E37" w:rsidP="00185518">
      <w:pPr>
        <w:spacing w:line="360" w:lineRule="auto"/>
        <w:jc w:val="center"/>
        <w:rPr>
          <w:rFonts w:ascii="Times New Roman" w:eastAsiaTheme="minorEastAsia" w:hAnsi="Times New Roman"/>
          <w:b/>
          <w:bCs/>
          <w:kern w:val="0"/>
          <w:sz w:val="28"/>
          <w:szCs w:val="28"/>
        </w:rPr>
      </w:pPr>
      <w:r w:rsidRPr="00A100BD">
        <w:rPr>
          <w:rFonts w:ascii="Times New Roman" w:eastAsiaTheme="minorEastAsia" w:hAnsi="Times New Roman" w:hint="eastAsia"/>
          <w:b/>
          <w:bCs/>
          <w:kern w:val="0"/>
          <w:sz w:val="28"/>
          <w:szCs w:val="28"/>
        </w:rPr>
        <w:t>海富通基金管理有限公司关于旗下部分基金新增</w:t>
      </w:r>
    </w:p>
    <w:p w:rsidR="00185518" w:rsidRDefault="00A1468F" w:rsidP="00185518">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hint="eastAsia"/>
          <w:b/>
          <w:bCs/>
          <w:kern w:val="0"/>
          <w:sz w:val="28"/>
          <w:szCs w:val="28"/>
        </w:rPr>
        <w:t>深圳前海微众银行股份有限公司</w:t>
      </w:r>
      <w:r w:rsidR="00492E37" w:rsidRPr="00A100BD">
        <w:rPr>
          <w:rFonts w:ascii="Times New Roman" w:eastAsiaTheme="minorEastAsia" w:hAnsi="Times New Roman" w:hint="eastAsia"/>
          <w:b/>
          <w:bCs/>
          <w:kern w:val="0"/>
          <w:sz w:val="28"/>
          <w:szCs w:val="28"/>
        </w:rPr>
        <w:t>为销售机构</w:t>
      </w:r>
    </w:p>
    <w:p w:rsidR="00492E37" w:rsidRPr="00A100BD" w:rsidRDefault="00492E37" w:rsidP="00185518">
      <w:pPr>
        <w:spacing w:line="360" w:lineRule="auto"/>
        <w:jc w:val="center"/>
        <w:rPr>
          <w:rFonts w:ascii="Times New Roman" w:eastAsiaTheme="minorEastAsia" w:hAnsi="Times New Roman"/>
          <w:b/>
          <w:bCs/>
          <w:kern w:val="0"/>
          <w:sz w:val="28"/>
          <w:szCs w:val="28"/>
        </w:rPr>
      </w:pPr>
      <w:r w:rsidRPr="00A100BD">
        <w:rPr>
          <w:rFonts w:ascii="Times New Roman" w:eastAsiaTheme="minorEastAsia" w:hAnsi="Times New Roman" w:hint="eastAsia"/>
          <w:b/>
          <w:bCs/>
          <w:kern w:val="0"/>
          <w:sz w:val="28"/>
          <w:szCs w:val="28"/>
        </w:rPr>
        <w:t>并参加其申购费率优惠活动的公告</w:t>
      </w:r>
    </w:p>
    <w:p w:rsidR="00492E37" w:rsidRPr="005F457C" w:rsidRDefault="00492E37" w:rsidP="005F457C">
      <w:pPr>
        <w:widowControl/>
        <w:spacing w:line="360" w:lineRule="auto"/>
        <w:jc w:val="center"/>
        <w:rPr>
          <w:rFonts w:ascii="Times New Roman" w:eastAsiaTheme="minorEastAsia" w:hAnsi="Times New Roman"/>
          <w:b/>
          <w:bCs/>
          <w:color w:val="014E9E"/>
          <w:kern w:val="0"/>
          <w:sz w:val="24"/>
          <w:szCs w:val="24"/>
        </w:rPr>
      </w:pPr>
    </w:p>
    <w:p w:rsidR="00FE6D77" w:rsidRPr="005F457C" w:rsidRDefault="00492E37" w:rsidP="00185518">
      <w:pPr>
        <w:spacing w:line="360" w:lineRule="auto"/>
        <w:ind w:firstLineChars="200" w:firstLine="480"/>
        <w:rPr>
          <w:rFonts w:ascii="Times New Roman" w:eastAsiaTheme="minorEastAsia" w:hAnsi="Times New Roman"/>
          <w:kern w:val="0"/>
          <w:sz w:val="24"/>
          <w:szCs w:val="24"/>
        </w:rPr>
      </w:pPr>
      <w:r w:rsidRPr="005F457C">
        <w:rPr>
          <w:rFonts w:ascii="Times New Roman" w:eastAsiaTheme="minorEastAsia" w:hAnsi="Times New Roman"/>
          <w:kern w:val="0"/>
          <w:sz w:val="24"/>
          <w:szCs w:val="24"/>
        </w:rPr>
        <w:t>根据海富通基金管理有限公司（以下简称</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本公司</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）与</w:t>
      </w:r>
      <w:r w:rsidR="00A1468F">
        <w:rPr>
          <w:rFonts w:ascii="Times New Roman" w:eastAsiaTheme="minorEastAsia" w:hAnsi="Times New Roman"/>
          <w:sz w:val="24"/>
          <w:szCs w:val="24"/>
        </w:rPr>
        <w:t>深圳前海微众银行股份有限公司</w:t>
      </w:r>
      <w:r w:rsidR="00FF2910" w:rsidRPr="005F457C">
        <w:rPr>
          <w:rFonts w:ascii="Times New Roman" w:eastAsiaTheme="minorEastAsia" w:hAnsi="Times New Roman"/>
          <w:sz w:val="24"/>
          <w:szCs w:val="24"/>
        </w:rPr>
        <w:t>（以下简称</w:t>
      </w:r>
      <w:r w:rsidR="00FF2910" w:rsidRPr="005F457C">
        <w:rPr>
          <w:rFonts w:ascii="Times New Roman" w:eastAsiaTheme="minorEastAsia" w:hAnsi="Times New Roman"/>
          <w:sz w:val="24"/>
          <w:szCs w:val="24"/>
        </w:rPr>
        <w:t>“</w:t>
      </w:r>
      <w:r w:rsidR="00A1468F">
        <w:rPr>
          <w:rFonts w:ascii="Times New Roman" w:eastAsiaTheme="minorEastAsia" w:hAnsi="Times New Roman"/>
          <w:sz w:val="24"/>
          <w:szCs w:val="24"/>
        </w:rPr>
        <w:t>微众银行</w:t>
      </w:r>
      <w:r w:rsidR="00FF2910" w:rsidRPr="005F457C">
        <w:rPr>
          <w:rFonts w:ascii="Times New Roman" w:eastAsiaTheme="minorEastAsia" w:hAnsi="Times New Roman"/>
          <w:sz w:val="24"/>
          <w:szCs w:val="24"/>
        </w:rPr>
        <w:t>”</w:t>
      </w:r>
      <w:r w:rsidR="00FF2910" w:rsidRPr="005F457C">
        <w:rPr>
          <w:rFonts w:ascii="Times New Roman" w:eastAsiaTheme="minorEastAsia" w:hAnsi="Times New Roman"/>
          <w:sz w:val="24"/>
          <w:szCs w:val="24"/>
        </w:rPr>
        <w:t>）</w:t>
      </w:r>
      <w:r w:rsidRPr="005F457C">
        <w:rPr>
          <w:rFonts w:ascii="Times New Roman" w:eastAsiaTheme="minorEastAsia" w:hAnsi="Times New Roman"/>
          <w:kern w:val="0"/>
          <w:sz w:val="24"/>
          <w:szCs w:val="24"/>
        </w:rPr>
        <w:t>签订的开放式证券投资基金销售协议，现增加</w:t>
      </w:r>
      <w:r w:rsidR="00A1468F">
        <w:rPr>
          <w:rFonts w:ascii="Times New Roman" w:eastAsiaTheme="minorEastAsia" w:hAnsi="Times New Roman"/>
          <w:sz w:val="24"/>
          <w:szCs w:val="24"/>
        </w:rPr>
        <w:t>微众银行</w:t>
      </w:r>
      <w:r w:rsidRPr="005F457C">
        <w:rPr>
          <w:rFonts w:ascii="Times New Roman" w:eastAsiaTheme="minorEastAsia" w:hAnsi="Times New Roman"/>
          <w:kern w:val="0"/>
          <w:sz w:val="24"/>
          <w:szCs w:val="24"/>
        </w:rPr>
        <w:t>为本公司旗下部分基金的销售机构，并于</w:t>
      </w:r>
      <w:r w:rsidR="006A7B86">
        <w:rPr>
          <w:rFonts w:ascii="Times New Roman" w:eastAsiaTheme="minorEastAsia" w:hAnsi="Times New Roman"/>
          <w:kern w:val="0"/>
          <w:sz w:val="24"/>
          <w:szCs w:val="24"/>
        </w:rPr>
        <w:t>2026</w:t>
      </w:r>
      <w:r w:rsidR="006A7B86">
        <w:rPr>
          <w:rFonts w:ascii="Times New Roman" w:eastAsiaTheme="minorEastAsia" w:hAnsi="Times New Roman"/>
          <w:kern w:val="0"/>
          <w:sz w:val="24"/>
          <w:szCs w:val="24"/>
        </w:rPr>
        <w:t>年</w:t>
      </w:r>
      <w:r w:rsidR="00A1468F">
        <w:rPr>
          <w:rFonts w:ascii="Times New Roman" w:eastAsiaTheme="minorEastAsia" w:hAnsi="Times New Roman" w:hint="eastAsia"/>
          <w:kern w:val="0"/>
          <w:sz w:val="24"/>
          <w:szCs w:val="24"/>
        </w:rPr>
        <w:t>5</w:t>
      </w:r>
      <w:r w:rsidR="006A7B86">
        <w:rPr>
          <w:rFonts w:ascii="Times New Roman" w:eastAsiaTheme="minorEastAsia" w:hAnsi="Times New Roman"/>
          <w:kern w:val="0"/>
          <w:sz w:val="24"/>
          <w:szCs w:val="24"/>
        </w:rPr>
        <w:t>月</w:t>
      </w:r>
      <w:r w:rsidR="006A7B86">
        <w:rPr>
          <w:rFonts w:ascii="Times New Roman" w:eastAsiaTheme="minorEastAsia" w:hAnsi="Times New Roman"/>
          <w:kern w:val="0"/>
          <w:sz w:val="24"/>
          <w:szCs w:val="24"/>
        </w:rPr>
        <w:t>2</w:t>
      </w:r>
      <w:r w:rsidR="00A1468F">
        <w:rPr>
          <w:rFonts w:ascii="Times New Roman" w:eastAsiaTheme="minorEastAsia" w:hAnsi="Times New Roman" w:hint="eastAsia"/>
          <w:kern w:val="0"/>
          <w:sz w:val="24"/>
          <w:szCs w:val="24"/>
        </w:rPr>
        <w:t>0</w:t>
      </w:r>
      <w:r w:rsidR="006A7B86">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起</w:t>
      </w:r>
      <w:r w:rsidRPr="005F457C">
        <w:rPr>
          <w:rFonts w:ascii="Times New Roman" w:eastAsiaTheme="minorEastAsia" w:hAnsi="Times New Roman"/>
          <w:sz w:val="24"/>
          <w:szCs w:val="24"/>
        </w:rPr>
        <w:t>参加</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的申购费率优惠活动</w:t>
      </w:r>
      <w:r w:rsidRPr="005F457C">
        <w:rPr>
          <w:rFonts w:ascii="Times New Roman" w:eastAsiaTheme="minorEastAsia" w:hAnsi="Times New Roman"/>
          <w:kern w:val="0"/>
          <w:sz w:val="24"/>
          <w:szCs w:val="24"/>
        </w:rPr>
        <w:t>。现将有关事项公告如下：</w:t>
      </w:r>
    </w:p>
    <w:p w:rsidR="00A81078" w:rsidRPr="005F457C" w:rsidRDefault="00A81078" w:rsidP="005F457C">
      <w:pPr>
        <w:spacing w:line="360" w:lineRule="auto"/>
        <w:rPr>
          <w:rFonts w:ascii="Times New Roman" w:eastAsiaTheme="minorEastAsia" w:hAnsi="Times New Roman"/>
          <w:kern w:val="0"/>
          <w:sz w:val="24"/>
          <w:szCs w:val="24"/>
        </w:rPr>
      </w:pPr>
    </w:p>
    <w:p w:rsidR="00492E37" w:rsidRPr="005F457C" w:rsidRDefault="00185518" w:rsidP="00185518">
      <w:pPr>
        <w:spacing w:line="360" w:lineRule="auto"/>
        <w:ind w:firstLine="420"/>
        <w:rPr>
          <w:rFonts w:ascii="Times New Roman" w:eastAsiaTheme="minorEastAsia" w:hAnsi="Times New Roman"/>
          <w:b/>
          <w:sz w:val="24"/>
          <w:szCs w:val="24"/>
        </w:rPr>
      </w:pPr>
      <w:r>
        <w:rPr>
          <w:rFonts w:ascii="Times New Roman" w:eastAsiaTheme="minorEastAsia" w:hAnsi="Times New Roman" w:hint="eastAsia"/>
          <w:b/>
          <w:sz w:val="24"/>
          <w:szCs w:val="24"/>
        </w:rPr>
        <w:t>一、</w:t>
      </w:r>
      <w:r w:rsidR="00492E37" w:rsidRPr="005F457C">
        <w:rPr>
          <w:rFonts w:ascii="Times New Roman" w:eastAsiaTheme="minorEastAsia" w:hAnsi="Times New Roman"/>
          <w:b/>
          <w:sz w:val="24"/>
          <w:szCs w:val="24"/>
        </w:rPr>
        <w:t>适用基金</w:t>
      </w:r>
    </w:p>
    <w:tbl>
      <w:tblPr>
        <w:tblStyle w:val="10"/>
        <w:tblW w:w="5000" w:type="pct"/>
        <w:tblLayout w:type="fixed"/>
        <w:tblLook w:val="04A0"/>
      </w:tblPr>
      <w:tblGrid>
        <w:gridCol w:w="869"/>
        <w:gridCol w:w="2037"/>
        <w:gridCol w:w="5616"/>
      </w:tblGrid>
      <w:tr w:rsidR="000D1F14" w:rsidRPr="00536179" w:rsidTr="006A7B86">
        <w:trPr>
          <w:trHeight w:val="510"/>
        </w:trPr>
        <w:tc>
          <w:tcPr>
            <w:tcW w:w="510" w:type="pct"/>
            <w:noWrap/>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序号</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基金代码</w:t>
            </w:r>
          </w:p>
        </w:tc>
        <w:tc>
          <w:tcPr>
            <w:tcW w:w="3295" w:type="pct"/>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基金名称</w:t>
            </w:r>
          </w:p>
        </w:tc>
      </w:tr>
      <w:tr w:rsidR="000D1F14" w:rsidRPr="00536179" w:rsidTr="006A7B86">
        <w:trPr>
          <w:trHeight w:val="510"/>
        </w:trPr>
        <w:tc>
          <w:tcPr>
            <w:tcW w:w="510" w:type="pct"/>
            <w:vMerge w:val="restart"/>
            <w:noWrap/>
            <w:vAlign w:val="center"/>
            <w:hideMark/>
          </w:tcPr>
          <w:p w:rsidR="000D1F14" w:rsidRPr="00876CEA" w:rsidRDefault="00876CEA" w:rsidP="006A7B86">
            <w:pPr>
              <w:widowControl/>
              <w:spacing w:line="360" w:lineRule="auto"/>
              <w:jc w:val="center"/>
              <w:rPr>
                <w:rFonts w:ascii="Times New Roman" w:hAnsi="Times New Roman"/>
                <w:color w:val="000000" w:themeColor="text1"/>
                <w:kern w:val="0"/>
                <w:sz w:val="24"/>
                <w:szCs w:val="24"/>
              </w:rPr>
            </w:pPr>
            <w:r w:rsidRPr="00876CEA">
              <w:rPr>
                <w:rFonts w:ascii="Times New Roman" w:hAnsi="Times New Roman" w:hint="eastAsia"/>
                <w:color w:val="000000" w:themeColor="text1"/>
                <w:kern w:val="0"/>
                <w:sz w:val="24"/>
                <w:szCs w:val="24"/>
              </w:rPr>
              <w:t>1</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018796</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海富通远见回报混合型证券投资基金</w:t>
            </w:r>
          </w:p>
        </w:tc>
      </w:tr>
      <w:tr w:rsidR="000D1F14" w:rsidRPr="00536179" w:rsidTr="006A7B86">
        <w:trPr>
          <w:trHeight w:val="510"/>
        </w:trPr>
        <w:tc>
          <w:tcPr>
            <w:tcW w:w="510" w:type="pct"/>
            <w:vMerge/>
            <w:vAlign w:val="center"/>
            <w:hideMark/>
          </w:tcPr>
          <w:p w:rsidR="000D1F14" w:rsidRPr="00876CEA" w:rsidRDefault="000D1F14" w:rsidP="006A7B86">
            <w:pPr>
              <w:widowControl/>
              <w:spacing w:line="360" w:lineRule="auto"/>
              <w:jc w:val="center"/>
              <w:rPr>
                <w:rFonts w:ascii="Times New Roman" w:hAnsi="Times New Roman"/>
                <w:color w:val="000000" w:themeColor="text1"/>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018797</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876CEA" w:rsidRDefault="00876CEA" w:rsidP="006A7B86">
            <w:pPr>
              <w:widowControl/>
              <w:spacing w:line="360" w:lineRule="auto"/>
              <w:jc w:val="center"/>
              <w:rPr>
                <w:rFonts w:ascii="Times New Roman" w:hAnsi="Times New Roman"/>
                <w:color w:val="000000" w:themeColor="text1"/>
                <w:kern w:val="0"/>
                <w:sz w:val="24"/>
                <w:szCs w:val="24"/>
              </w:rPr>
            </w:pPr>
            <w:r w:rsidRPr="00876CEA">
              <w:rPr>
                <w:rFonts w:ascii="Times New Roman" w:hAnsi="Times New Roman" w:hint="eastAsia"/>
                <w:color w:val="000000" w:themeColor="text1"/>
                <w:kern w:val="0"/>
                <w:sz w:val="24"/>
                <w:szCs w:val="24"/>
              </w:rPr>
              <w:t>2</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021464</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海富通中证港股通科技交易型开放式指数证券投资基金发起式联接基金</w:t>
            </w:r>
          </w:p>
        </w:tc>
      </w:tr>
      <w:tr w:rsidR="000D1F14" w:rsidRPr="00536179" w:rsidTr="006A7B86">
        <w:trPr>
          <w:trHeight w:val="510"/>
        </w:trPr>
        <w:tc>
          <w:tcPr>
            <w:tcW w:w="510" w:type="pct"/>
            <w:vMerge/>
            <w:vAlign w:val="center"/>
            <w:hideMark/>
          </w:tcPr>
          <w:p w:rsidR="000D1F14" w:rsidRPr="00876CEA" w:rsidRDefault="000D1F14" w:rsidP="006A7B86">
            <w:pPr>
              <w:widowControl/>
              <w:spacing w:line="360" w:lineRule="auto"/>
              <w:jc w:val="center"/>
              <w:rPr>
                <w:rFonts w:ascii="Times New Roman" w:hAnsi="Times New Roman"/>
                <w:color w:val="000000" w:themeColor="text1"/>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021465</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876CEA" w:rsidRDefault="00876CEA" w:rsidP="006A7B86">
            <w:pPr>
              <w:widowControl/>
              <w:spacing w:line="360" w:lineRule="auto"/>
              <w:jc w:val="center"/>
              <w:rPr>
                <w:rFonts w:ascii="Times New Roman" w:hAnsi="Times New Roman"/>
                <w:color w:val="000000" w:themeColor="text1"/>
                <w:kern w:val="0"/>
                <w:sz w:val="24"/>
                <w:szCs w:val="24"/>
              </w:rPr>
            </w:pPr>
            <w:r w:rsidRPr="00876CEA">
              <w:rPr>
                <w:rFonts w:ascii="Times New Roman" w:hAnsi="Times New Roman" w:hint="eastAsia"/>
                <w:color w:val="000000" w:themeColor="text1"/>
                <w:kern w:val="0"/>
                <w:sz w:val="24"/>
                <w:szCs w:val="24"/>
              </w:rPr>
              <w:t>3</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023367</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海富通中证</w:t>
            </w:r>
            <w:r w:rsidRPr="00536179">
              <w:rPr>
                <w:rFonts w:ascii="Times New Roman" w:hAnsi="Times New Roman"/>
                <w:color w:val="000000"/>
                <w:kern w:val="0"/>
                <w:sz w:val="24"/>
                <w:szCs w:val="24"/>
              </w:rPr>
              <w:t>A500</w:t>
            </w:r>
            <w:r w:rsidRPr="00536179">
              <w:rPr>
                <w:rFonts w:ascii="Times New Roman" w:hAnsi="Times New Roman"/>
                <w:color w:val="000000"/>
                <w:kern w:val="0"/>
                <w:sz w:val="24"/>
                <w:szCs w:val="24"/>
              </w:rPr>
              <w:t>指数增强型发起式证券投资基金</w:t>
            </w:r>
          </w:p>
        </w:tc>
      </w:tr>
      <w:tr w:rsidR="000D1F14" w:rsidRPr="00536179" w:rsidTr="006A7B86">
        <w:trPr>
          <w:trHeight w:val="510"/>
        </w:trPr>
        <w:tc>
          <w:tcPr>
            <w:tcW w:w="510" w:type="pct"/>
            <w:vMerge/>
            <w:vAlign w:val="center"/>
            <w:hideMark/>
          </w:tcPr>
          <w:p w:rsidR="000D1F14" w:rsidRPr="00876CEA" w:rsidRDefault="000D1F14" w:rsidP="006A7B86">
            <w:pPr>
              <w:widowControl/>
              <w:spacing w:line="360" w:lineRule="auto"/>
              <w:jc w:val="center"/>
              <w:rPr>
                <w:rFonts w:ascii="Times New Roman" w:hAnsi="Times New Roman"/>
                <w:color w:val="000000" w:themeColor="text1"/>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023368</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Merge w:val="restart"/>
            <w:vAlign w:val="center"/>
          </w:tcPr>
          <w:p w:rsidR="000B2DED" w:rsidRPr="00876CEA" w:rsidRDefault="00876CEA" w:rsidP="006A7B86">
            <w:pPr>
              <w:widowControl/>
              <w:spacing w:line="360" w:lineRule="auto"/>
              <w:jc w:val="center"/>
              <w:rPr>
                <w:rFonts w:ascii="Times New Roman" w:hAnsi="Times New Roman"/>
                <w:color w:val="000000" w:themeColor="text1"/>
                <w:kern w:val="0"/>
                <w:sz w:val="24"/>
                <w:szCs w:val="24"/>
              </w:rPr>
            </w:pPr>
            <w:r w:rsidRPr="00876CEA">
              <w:rPr>
                <w:rFonts w:ascii="Times New Roman" w:hAnsi="Times New Roman" w:hint="eastAsia"/>
                <w:color w:val="000000" w:themeColor="text1"/>
                <w:kern w:val="0"/>
                <w:sz w:val="24"/>
                <w:szCs w:val="24"/>
              </w:rPr>
              <w:t>4</w:t>
            </w:r>
          </w:p>
        </w:tc>
        <w:tc>
          <w:tcPr>
            <w:tcW w:w="1195" w:type="pct"/>
            <w:noWrap/>
            <w:vAlign w:val="center"/>
          </w:tcPr>
          <w:p w:rsidR="000B2DED" w:rsidRPr="00536179" w:rsidRDefault="00640E0E"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C</w:t>
            </w:r>
            <w:r w:rsidR="000B2DED" w:rsidRPr="00536179">
              <w:rPr>
                <w:rFonts w:ascii="Times New Roman" w:hAnsi="Times New Roman"/>
                <w:color w:val="000000"/>
                <w:kern w:val="0"/>
                <w:sz w:val="24"/>
                <w:szCs w:val="24"/>
              </w:rPr>
              <w:t>类：</w:t>
            </w:r>
            <w:r w:rsidR="00FD4269">
              <w:rPr>
                <w:rFonts w:ascii="Times New Roman" w:hAnsi="Times New Roman" w:hint="eastAsia"/>
                <w:color w:val="000000"/>
                <w:kern w:val="0"/>
                <w:sz w:val="24"/>
                <w:szCs w:val="24"/>
              </w:rPr>
              <w:t>019299</w:t>
            </w:r>
          </w:p>
        </w:tc>
        <w:tc>
          <w:tcPr>
            <w:tcW w:w="3295" w:type="pct"/>
            <w:vMerge w:val="restar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海富通国策导向混合型证券投资基金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640E0E"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D</w:t>
            </w:r>
            <w:r w:rsidR="000B2DED" w:rsidRPr="00536179">
              <w:rPr>
                <w:rFonts w:ascii="Times New Roman" w:hAnsi="Times New Roman"/>
                <w:color w:val="000000"/>
                <w:kern w:val="0"/>
                <w:sz w:val="24"/>
                <w:szCs w:val="24"/>
              </w:rPr>
              <w:t>类：</w:t>
            </w:r>
            <w:r w:rsidR="00FD4269">
              <w:rPr>
                <w:rFonts w:ascii="Times New Roman" w:hAnsi="Times New Roman" w:hint="eastAsia"/>
                <w:color w:val="000000"/>
                <w:kern w:val="0"/>
                <w:sz w:val="24"/>
                <w:szCs w:val="24"/>
              </w:rPr>
              <w:t>019300</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876CEA" w:rsidRPr="000B2DED" w:rsidTr="006A7B86">
        <w:trPr>
          <w:trHeight w:val="510"/>
        </w:trPr>
        <w:tc>
          <w:tcPr>
            <w:tcW w:w="510" w:type="pct"/>
            <w:vMerge w:val="restar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1195" w:type="pct"/>
            <w:noWrap/>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A</w:t>
            </w:r>
            <w:r w:rsidRPr="00876CEA">
              <w:rPr>
                <w:rFonts w:ascii="Times New Roman" w:hAnsi="Times New Roman"/>
                <w:color w:val="000000"/>
                <w:kern w:val="0"/>
                <w:sz w:val="24"/>
                <w:szCs w:val="24"/>
              </w:rPr>
              <w:t>类：</w:t>
            </w:r>
            <w:r w:rsidRPr="00876CEA">
              <w:rPr>
                <w:rFonts w:ascii="Times New Roman" w:hAnsi="Times New Roman"/>
                <w:color w:val="000000"/>
                <w:kern w:val="0"/>
                <w:sz w:val="24"/>
                <w:szCs w:val="24"/>
              </w:rPr>
              <w:t>519051</w:t>
            </w:r>
          </w:p>
        </w:tc>
        <w:tc>
          <w:tcPr>
            <w:tcW w:w="3295" w:type="pct"/>
            <w:vMerge w:val="restar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海富通一年定期开放债券型证券投资基金</w:t>
            </w:r>
          </w:p>
        </w:tc>
      </w:tr>
      <w:tr w:rsidR="00876CEA" w:rsidRPr="000B2DED" w:rsidTr="006A7B86">
        <w:trPr>
          <w:trHeight w:val="510"/>
        </w:trPr>
        <w:tc>
          <w:tcPr>
            <w:tcW w:w="510"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C</w:t>
            </w:r>
            <w:r w:rsidRPr="00876CEA">
              <w:rPr>
                <w:rFonts w:ascii="Times New Roman" w:hAnsi="Times New Roman"/>
                <w:color w:val="000000"/>
                <w:kern w:val="0"/>
                <w:sz w:val="24"/>
                <w:szCs w:val="24"/>
              </w:rPr>
              <w:t>类：</w:t>
            </w:r>
            <w:r w:rsidRPr="00876CEA">
              <w:rPr>
                <w:rFonts w:ascii="Times New Roman" w:hAnsi="Times New Roman"/>
                <w:color w:val="000000"/>
                <w:kern w:val="0"/>
                <w:sz w:val="24"/>
                <w:szCs w:val="24"/>
              </w:rPr>
              <w:t>001976</w:t>
            </w:r>
          </w:p>
        </w:tc>
        <w:tc>
          <w:tcPr>
            <w:tcW w:w="3295"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r>
      <w:tr w:rsidR="00876CEA" w:rsidRPr="000B2DED" w:rsidTr="006A7B86">
        <w:trPr>
          <w:trHeight w:val="510"/>
        </w:trPr>
        <w:tc>
          <w:tcPr>
            <w:tcW w:w="510" w:type="pct"/>
            <w:vMerge w:val="restar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6</w:t>
            </w:r>
          </w:p>
        </w:tc>
        <w:tc>
          <w:tcPr>
            <w:tcW w:w="1195" w:type="pct"/>
            <w:noWrap/>
            <w:vAlign w:val="center"/>
          </w:tcPr>
          <w:p w:rsidR="00876CEA" w:rsidRPr="00876CEA"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A</w:t>
            </w:r>
            <w:r w:rsidRPr="00876CEA">
              <w:rPr>
                <w:rFonts w:ascii="Times New Roman" w:hAnsi="Times New Roman"/>
                <w:color w:val="000000"/>
                <w:kern w:val="0"/>
                <w:sz w:val="24"/>
                <w:szCs w:val="24"/>
              </w:rPr>
              <w:t>类：</w:t>
            </w:r>
            <w:r w:rsidRPr="00876CEA">
              <w:rPr>
                <w:rFonts w:ascii="Times New Roman" w:hAnsi="Times New Roman"/>
                <w:color w:val="000000"/>
                <w:kern w:val="0"/>
                <w:sz w:val="24"/>
                <w:szCs w:val="24"/>
              </w:rPr>
              <w:t>519061</w:t>
            </w:r>
          </w:p>
        </w:tc>
        <w:tc>
          <w:tcPr>
            <w:tcW w:w="3295" w:type="pct"/>
            <w:vMerge w:val="restar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海富通纯债债券型证券投资基金</w:t>
            </w:r>
          </w:p>
        </w:tc>
      </w:tr>
      <w:tr w:rsidR="00876CEA" w:rsidRPr="000B2DED" w:rsidTr="006A7B86">
        <w:trPr>
          <w:trHeight w:val="510"/>
        </w:trPr>
        <w:tc>
          <w:tcPr>
            <w:tcW w:w="510"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876CEA" w:rsidRPr="00876CEA"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C</w:t>
            </w:r>
            <w:r w:rsidRPr="00876CEA">
              <w:rPr>
                <w:rFonts w:ascii="Times New Roman" w:hAnsi="Times New Roman"/>
                <w:color w:val="000000"/>
                <w:kern w:val="0"/>
                <w:sz w:val="24"/>
                <w:szCs w:val="24"/>
              </w:rPr>
              <w:t>类：</w:t>
            </w:r>
            <w:r w:rsidRPr="00876CEA">
              <w:rPr>
                <w:rFonts w:ascii="Times New Roman" w:hAnsi="Times New Roman"/>
                <w:color w:val="000000"/>
                <w:kern w:val="0"/>
                <w:sz w:val="24"/>
                <w:szCs w:val="24"/>
              </w:rPr>
              <w:t>519060</w:t>
            </w:r>
          </w:p>
        </w:tc>
        <w:tc>
          <w:tcPr>
            <w:tcW w:w="3295"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r>
      <w:tr w:rsidR="00876CEA" w:rsidRPr="000B2DED" w:rsidTr="006A7B86">
        <w:trPr>
          <w:trHeight w:val="510"/>
        </w:trPr>
        <w:tc>
          <w:tcPr>
            <w:tcW w:w="510" w:type="pct"/>
            <w:vMerge w:val="restar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7</w:t>
            </w:r>
          </w:p>
        </w:tc>
        <w:tc>
          <w:tcPr>
            <w:tcW w:w="1195" w:type="pct"/>
            <w:noWrap/>
            <w:vAlign w:val="center"/>
          </w:tcPr>
          <w:p w:rsidR="00876CEA" w:rsidRPr="00876CEA" w:rsidRDefault="00A1468F" w:rsidP="00A1468F">
            <w:pPr>
              <w:widowControl/>
              <w:spacing w:line="360" w:lineRule="auto"/>
              <w:jc w:val="center"/>
              <w:rPr>
                <w:rFonts w:ascii="Times New Roman" w:hAnsi="Times New Roman"/>
                <w:color w:val="000000"/>
                <w:kern w:val="0"/>
                <w:sz w:val="24"/>
                <w:szCs w:val="24"/>
              </w:rPr>
            </w:pPr>
            <w:r w:rsidRPr="00A1468F">
              <w:rPr>
                <w:rFonts w:ascii="Times New Roman" w:hAnsi="Times New Roman" w:hint="eastAsia"/>
                <w:color w:val="000000"/>
                <w:kern w:val="0"/>
                <w:sz w:val="24"/>
                <w:szCs w:val="24"/>
              </w:rPr>
              <w:t>A</w:t>
            </w:r>
            <w:r w:rsidRPr="00A1468F">
              <w:rPr>
                <w:rFonts w:ascii="Times New Roman" w:hAnsi="Times New Roman" w:hint="eastAsia"/>
                <w:color w:val="000000"/>
                <w:kern w:val="0"/>
                <w:sz w:val="24"/>
                <w:szCs w:val="24"/>
              </w:rPr>
              <w:t>类：</w:t>
            </w:r>
            <w:r w:rsidRPr="00A1468F">
              <w:rPr>
                <w:rFonts w:ascii="Times New Roman" w:hAnsi="Times New Roman" w:hint="eastAsia"/>
                <w:color w:val="000000"/>
                <w:kern w:val="0"/>
                <w:sz w:val="24"/>
                <w:szCs w:val="24"/>
              </w:rPr>
              <w:t>162307</w:t>
            </w:r>
          </w:p>
        </w:tc>
        <w:tc>
          <w:tcPr>
            <w:tcW w:w="3295" w:type="pct"/>
            <w:vMerge w:val="restart"/>
            <w:vAlign w:val="center"/>
          </w:tcPr>
          <w:p w:rsidR="00876CEA" w:rsidRPr="00536179" w:rsidRDefault="00A1468F" w:rsidP="00A1468F">
            <w:pPr>
              <w:widowControl/>
              <w:spacing w:line="360" w:lineRule="auto"/>
              <w:jc w:val="center"/>
              <w:rPr>
                <w:rFonts w:ascii="Times New Roman" w:hAnsi="Times New Roman"/>
                <w:color w:val="000000"/>
                <w:kern w:val="0"/>
                <w:sz w:val="24"/>
                <w:szCs w:val="24"/>
              </w:rPr>
            </w:pPr>
            <w:r w:rsidRPr="00A1468F">
              <w:rPr>
                <w:rFonts w:ascii="Times New Roman" w:hAnsi="Times New Roman" w:hint="eastAsia"/>
                <w:color w:val="000000"/>
                <w:kern w:val="0"/>
                <w:sz w:val="24"/>
                <w:szCs w:val="24"/>
              </w:rPr>
              <w:t>海富通中证</w:t>
            </w:r>
            <w:r w:rsidRPr="00A1468F">
              <w:rPr>
                <w:rFonts w:ascii="Times New Roman" w:hAnsi="Times New Roman" w:hint="eastAsia"/>
                <w:color w:val="000000"/>
                <w:kern w:val="0"/>
                <w:sz w:val="24"/>
                <w:szCs w:val="24"/>
              </w:rPr>
              <w:t>A100</w:t>
            </w:r>
            <w:r w:rsidRPr="00A1468F">
              <w:rPr>
                <w:rFonts w:ascii="Times New Roman" w:hAnsi="Times New Roman" w:hint="eastAsia"/>
                <w:color w:val="000000"/>
                <w:kern w:val="0"/>
                <w:sz w:val="24"/>
                <w:szCs w:val="24"/>
              </w:rPr>
              <w:t>指数证券投资基金（</w:t>
            </w:r>
            <w:r w:rsidRPr="00A1468F">
              <w:rPr>
                <w:rFonts w:ascii="Times New Roman" w:hAnsi="Times New Roman" w:hint="eastAsia"/>
                <w:color w:val="000000"/>
                <w:kern w:val="0"/>
                <w:sz w:val="24"/>
                <w:szCs w:val="24"/>
              </w:rPr>
              <w:t>LOF</w:t>
            </w:r>
            <w:r w:rsidRPr="00A1468F">
              <w:rPr>
                <w:rFonts w:ascii="Times New Roman" w:hAnsi="Times New Roman" w:hint="eastAsia"/>
                <w:color w:val="000000"/>
                <w:kern w:val="0"/>
                <w:sz w:val="24"/>
                <w:szCs w:val="24"/>
              </w:rPr>
              <w:t>）</w:t>
            </w:r>
          </w:p>
        </w:tc>
      </w:tr>
      <w:tr w:rsidR="00876CEA" w:rsidRPr="000B2DED" w:rsidTr="006A7B86">
        <w:trPr>
          <w:trHeight w:val="510"/>
        </w:trPr>
        <w:tc>
          <w:tcPr>
            <w:tcW w:w="510"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876CEA" w:rsidRPr="00876CEA" w:rsidRDefault="00A1468F" w:rsidP="006A7B86">
            <w:pPr>
              <w:widowControl/>
              <w:spacing w:line="360" w:lineRule="auto"/>
              <w:jc w:val="center"/>
              <w:rPr>
                <w:rFonts w:ascii="Times New Roman" w:hAnsi="Times New Roman"/>
                <w:color w:val="000000"/>
                <w:kern w:val="0"/>
                <w:sz w:val="24"/>
                <w:szCs w:val="24"/>
              </w:rPr>
            </w:pPr>
            <w:r w:rsidRPr="00A1468F">
              <w:rPr>
                <w:rFonts w:ascii="Times New Roman" w:hAnsi="Times New Roman" w:hint="eastAsia"/>
                <w:color w:val="000000"/>
                <w:kern w:val="0"/>
                <w:sz w:val="24"/>
                <w:szCs w:val="24"/>
              </w:rPr>
              <w:t>C</w:t>
            </w:r>
            <w:r w:rsidRPr="00A1468F">
              <w:rPr>
                <w:rFonts w:ascii="Times New Roman" w:hAnsi="Times New Roman" w:hint="eastAsia"/>
                <w:color w:val="000000"/>
                <w:kern w:val="0"/>
                <w:sz w:val="24"/>
                <w:szCs w:val="24"/>
              </w:rPr>
              <w:t>类：</w:t>
            </w:r>
            <w:r w:rsidRPr="00A1468F">
              <w:rPr>
                <w:rFonts w:ascii="Times New Roman" w:hAnsi="Times New Roman" w:hint="eastAsia"/>
                <w:color w:val="000000"/>
                <w:kern w:val="0"/>
                <w:sz w:val="24"/>
                <w:szCs w:val="24"/>
              </w:rPr>
              <w:t>010224</w:t>
            </w:r>
          </w:p>
        </w:tc>
        <w:tc>
          <w:tcPr>
            <w:tcW w:w="3295" w:type="pct"/>
            <w:vMerge/>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p>
        </w:tc>
      </w:tr>
      <w:tr w:rsidR="00876CEA" w:rsidRPr="000B2DED" w:rsidTr="006A7B86">
        <w:trPr>
          <w:trHeight w:val="510"/>
        </w:trPr>
        <w:tc>
          <w:tcPr>
            <w:tcW w:w="510" w:type="pct"/>
            <w:vAlign w:val="center"/>
          </w:tcPr>
          <w:p w:rsidR="00876CEA" w:rsidRPr="00536179" w:rsidRDefault="00A1468F"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8</w:t>
            </w:r>
          </w:p>
        </w:tc>
        <w:tc>
          <w:tcPr>
            <w:tcW w:w="1195" w:type="pct"/>
            <w:noWrap/>
            <w:vAlign w:val="center"/>
          </w:tcPr>
          <w:p w:rsidR="00876CEA" w:rsidRPr="00876CEA" w:rsidRDefault="00FD426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C</w:t>
            </w:r>
            <w:r>
              <w:rPr>
                <w:rFonts w:ascii="Times New Roman" w:hAnsi="Times New Roman" w:hint="eastAsia"/>
                <w:color w:val="000000"/>
                <w:kern w:val="0"/>
                <w:sz w:val="24"/>
                <w:szCs w:val="24"/>
              </w:rPr>
              <w:t>类：</w:t>
            </w:r>
            <w:r w:rsidR="00876CEA" w:rsidRPr="00876CEA">
              <w:rPr>
                <w:rFonts w:ascii="Times New Roman" w:hAnsi="Times New Roman"/>
                <w:color w:val="000000"/>
                <w:kern w:val="0"/>
                <w:sz w:val="24"/>
                <w:szCs w:val="24"/>
              </w:rPr>
              <w:t>008795</w:t>
            </w:r>
          </w:p>
        </w:tc>
        <w:tc>
          <w:tcPr>
            <w:tcW w:w="3295" w:type="pct"/>
            <w:vAlign w:val="center"/>
          </w:tcPr>
          <w:p w:rsidR="00876CEA" w:rsidRPr="00536179"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海富通阿尔法对冲混合型发起式证券投资基金</w:t>
            </w:r>
          </w:p>
        </w:tc>
      </w:tr>
      <w:tr w:rsidR="00876CEA" w:rsidRPr="000B2DED" w:rsidTr="006A7B86">
        <w:trPr>
          <w:trHeight w:val="510"/>
        </w:trPr>
        <w:tc>
          <w:tcPr>
            <w:tcW w:w="510" w:type="pct"/>
            <w:vAlign w:val="center"/>
          </w:tcPr>
          <w:p w:rsidR="00876CEA" w:rsidRPr="00536179" w:rsidRDefault="00A1468F"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9</w:t>
            </w:r>
          </w:p>
        </w:tc>
        <w:tc>
          <w:tcPr>
            <w:tcW w:w="1195" w:type="pct"/>
            <w:noWrap/>
            <w:vAlign w:val="center"/>
          </w:tcPr>
          <w:p w:rsidR="00876CEA" w:rsidRPr="00876CEA" w:rsidRDefault="00876CEA" w:rsidP="006A7B86">
            <w:pPr>
              <w:widowControl/>
              <w:spacing w:line="360" w:lineRule="auto"/>
              <w:jc w:val="center"/>
              <w:rPr>
                <w:rFonts w:ascii="Times New Roman" w:hAnsi="Times New Roman"/>
                <w:color w:val="000000"/>
                <w:kern w:val="0"/>
                <w:sz w:val="24"/>
                <w:szCs w:val="24"/>
              </w:rPr>
            </w:pPr>
            <w:r w:rsidRPr="00876CEA">
              <w:rPr>
                <w:rFonts w:ascii="Times New Roman" w:hAnsi="Times New Roman"/>
                <w:color w:val="000000"/>
                <w:kern w:val="0"/>
                <w:sz w:val="24"/>
                <w:szCs w:val="24"/>
              </w:rPr>
              <w:t>519138</w:t>
            </w:r>
          </w:p>
        </w:tc>
        <w:tc>
          <w:tcPr>
            <w:tcW w:w="3295" w:type="pct"/>
            <w:vAlign w:val="center"/>
          </w:tcPr>
          <w:p w:rsidR="00876CEA" w:rsidRPr="00876CEA" w:rsidRDefault="00876CEA" w:rsidP="00876CEA">
            <w:pPr>
              <w:rPr>
                <w:rFonts w:ascii="Times New Roman" w:hAnsi="Times New Roman"/>
                <w:color w:val="000000"/>
                <w:kern w:val="0"/>
                <w:sz w:val="24"/>
                <w:szCs w:val="24"/>
              </w:rPr>
            </w:pPr>
            <w:r w:rsidRPr="00876CEA">
              <w:rPr>
                <w:rFonts w:ascii="Times New Roman" w:hAnsi="Times New Roman"/>
                <w:color w:val="000000"/>
                <w:kern w:val="0"/>
                <w:sz w:val="24"/>
                <w:szCs w:val="24"/>
              </w:rPr>
              <w:t>海富通瑞祥一年定期开放债券型证券投资基金</w:t>
            </w:r>
          </w:p>
        </w:tc>
      </w:tr>
    </w:tbl>
    <w:p w:rsidR="00A81078" w:rsidRPr="000B2DED" w:rsidRDefault="00A81078" w:rsidP="000B2DED">
      <w:pPr>
        <w:widowControl/>
        <w:spacing w:line="360" w:lineRule="auto"/>
        <w:jc w:val="center"/>
        <w:rPr>
          <w:rFonts w:ascii="Times New Roman" w:hAnsi="Times New Roman"/>
          <w:color w:val="000000"/>
          <w:kern w:val="0"/>
          <w:sz w:val="24"/>
          <w:szCs w:val="24"/>
        </w:rPr>
      </w:pPr>
    </w:p>
    <w:p w:rsidR="003B5C3D"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二、业务开通时间</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sz w:val="24"/>
          <w:szCs w:val="24"/>
        </w:rPr>
        <w:t>自</w:t>
      </w:r>
      <w:r w:rsidR="006A7B86">
        <w:rPr>
          <w:rFonts w:ascii="Times New Roman" w:eastAsiaTheme="minorEastAsia" w:hAnsi="Times New Roman"/>
          <w:sz w:val="24"/>
          <w:szCs w:val="24"/>
        </w:rPr>
        <w:t>2026</w:t>
      </w:r>
      <w:r w:rsidR="006A7B86">
        <w:rPr>
          <w:rFonts w:ascii="Times New Roman" w:eastAsiaTheme="minorEastAsia" w:hAnsi="Times New Roman"/>
          <w:sz w:val="24"/>
          <w:szCs w:val="24"/>
        </w:rPr>
        <w:t>年</w:t>
      </w:r>
      <w:r w:rsidR="00A1468F">
        <w:rPr>
          <w:rFonts w:ascii="Times New Roman" w:eastAsiaTheme="minorEastAsia" w:hAnsi="Times New Roman" w:hint="eastAsia"/>
          <w:sz w:val="24"/>
          <w:szCs w:val="24"/>
        </w:rPr>
        <w:t>5</w:t>
      </w:r>
      <w:r w:rsidR="006A7B86">
        <w:rPr>
          <w:rFonts w:ascii="Times New Roman" w:eastAsiaTheme="minorEastAsia" w:hAnsi="Times New Roman"/>
          <w:sz w:val="24"/>
          <w:szCs w:val="24"/>
        </w:rPr>
        <w:t>月</w:t>
      </w:r>
      <w:r w:rsidR="006A7B86">
        <w:rPr>
          <w:rFonts w:ascii="Times New Roman" w:eastAsiaTheme="minorEastAsia" w:hAnsi="Times New Roman"/>
          <w:sz w:val="24"/>
          <w:szCs w:val="24"/>
        </w:rPr>
        <w:t>2</w:t>
      </w:r>
      <w:r w:rsidR="00A1468F">
        <w:rPr>
          <w:rFonts w:ascii="Times New Roman" w:eastAsiaTheme="minorEastAsia" w:hAnsi="Times New Roman" w:hint="eastAsia"/>
          <w:sz w:val="24"/>
          <w:szCs w:val="24"/>
        </w:rPr>
        <w:t>0</w:t>
      </w:r>
      <w:r w:rsidR="006A7B86">
        <w:rPr>
          <w:rFonts w:ascii="Times New Roman" w:eastAsiaTheme="minorEastAsia" w:hAnsi="Times New Roman"/>
          <w:sz w:val="24"/>
          <w:szCs w:val="24"/>
        </w:rPr>
        <w:t>日</w:t>
      </w:r>
      <w:r w:rsidRPr="005F457C">
        <w:rPr>
          <w:rFonts w:ascii="Times New Roman" w:eastAsiaTheme="minorEastAsia" w:hAnsi="Times New Roman"/>
          <w:sz w:val="24"/>
          <w:szCs w:val="24"/>
        </w:rPr>
        <w:t>起，投资者可在</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办理上述开放式基金的开户、申购、赎回等业务。具体的业务流程、</w:t>
      </w:r>
      <w:r w:rsidR="00FD4269">
        <w:rPr>
          <w:rFonts w:ascii="Times New Roman" w:eastAsiaTheme="minorEastAsia" w:hAnsi="Times New Roman" w:hint="eastAsia"/>
          <w:sz w:val="24"/>
          <w:szCs w:val="24"/>
        </w:rPr>
        <w:t>业务开通情况、</w:t>
      </w:r>
      <w:r w:rsidRPr="005F457C">
        <w:rPr>
          <w:rFonts w:ascii="Times New Roman" w:eastAsiaTheme="minorEastAsia" w:hAnsi="Times New Roman"/>
          <w:sz w:val="24"/>
          <w:szCs w:val="24"/>
        </w:rPr>
        <w:t>办理方式和办理时间等以</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的规定为准。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三、适用投资者范围</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符合法律法规及基金合同规定的投资者。</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四、费率优惠活动</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、费率优惠内容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自</w:t>
      </w:r>
      <w:r w:rsidR="006A7B86">
        <w:rPr>
          <w:rFonts w:ascii="Times New Roman" w:eastAsiaTheme="minorEastAsia" w:hAnsi="Times New Roman"/>
          <w:sz w:val="24"/>
          <w:szCs w:val="24"/>
        </w:rPr>
        <w:t>2026</w:t>
      </w:r>
      <w:r w:rsidR="006A7B86">
        <w:rPr>
          <w:rFonts w:ascii="Times New Roman" w:eastAsiaTheme="minorEastAsia" w:hAnsi="Times New Roman"/>
          <w:sz w:val="24"/>
          <w:szCs w:val="24"/>
        </w:rPr>
        <w:t>年</w:t>
      </w:r>
      <w:r w:rsidR="00A1468F">
        <w:rPr>
          <w:rFonts w:ascii="Times New Roman" w:eastAsiaTheme="minorEastAsia" w:hAnsi="Times New Roman" w:hint="eastAsia"/>
          <w:sz w:val="24"/>
          <w:szCs w:val="24"/>
        </w:rPr>
        <w:t>5</w:t>
      </w:r>
      <w:r w:rsidR="006A7B86">
        <w:rPr>
          <w:rFonts w:ascii="Times New Roman" w:eastAsiaTheme="minorEastAsia" w:hAnsi="Times New Roman"/>
          <w:sz w:val="24"/>
          <w:szCs w:val="24"/>
        </w:rPr>
        <w:t>月</w:t>
      </w:r>
      <w:r w:rsidR="006A7B86">
        <w:rPr>
          <w:rFonts w:ascii="Times New Roman" w:eastAsiaTheme="minorEastAsia" w:hAnsi="Times New Roman"/>
          <w:sz w:val="24"/>
          <w:szCs w:val="24"/>
        </w:rPr>
        <w:t>2</w:t>
      </w:r>
      <w:r w:rsidR="00A1468F">
        <w:rPr>
          <w:rFonts w:ascii="Times New Roman" w:eastAsiaTheme="minorEastAsia" w:hAnsi="Times New Roman" w:hint="eastAsia"/>
          <w:sz w:val="24"/>
          <w:szCs w:val="24"/>
        </w:rPr>
        <w:t>0</w:t>
      </w:r>
      <w:r w:rsidR="006A7B86">
        <w:rPr>
          <w:rFonts w:ascii="Times New Roman" w:eastAsiaTheme="minorEastAsia" w:hAnsi="Times New Roman"/>
          <w:sz w:val="24"/>
          <w:szCs w:val="24"/>
        </w:rPr>
        <w:t>日</w:t>
      </w:r>
      <w:r w:rsidRPr="005F457C">
        <w:rPr>
          <w:rFonts w:ascii="Times New Roman" w:eastAsiaTheme="minorEastAsia" w:hAnsi="Times New Roman"/>
          <w:sz w:val="24"/>
          <w:szCs w:val="24"/>
        </w:rPr>
        <w:t>起，投资者通过</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00CF21AD">
        <w:rPr>
          <w:rFonts w:ascii="Times New Roman" w:eastAsiaTheme="minorEastAsia" w:hAnsi="Times New Roman" w:hint="eastAsia"/>
          <w:sz w:val="24"/>
          <w:szCs w:val="24"/>
        </w:rPr>
        <w:t>（</w:t>
      </w:r>
      <w:r w:rsidRPr="005F457C">
        <w:rPr>
          <w:rFonts w:ascii="Times New Roman" w:eastAsiaTheme="minorEastAsia" w:hAnsi="Times New Roman"/>
          <w:sz w:val="24"/>
          <w:szCs w:val="24"/>
        </w:rPr>
        <w:t>执行固定申购费用的除外</w:t>
      </w:r>
      <w:r w:rsidR="00CF21AD">
        <w:rPr>
          <w:rFonts w:ascii="Times New Roman" w:eastAsiaTheme="minorEastAsia" w:hAnsi="Times New Roman" w:hint="eastAsia"/>
          <w:sz w:val="24"/>
          <w:szCs w:val="24"/>
        </w:rPr>
        <w:t>)</w:t>
      </w:r>
      <w:r w:rsidRPr="005F457C">
        <w:rPr>
          <w:rFonts w:ascii="Times New Roman" w:eastAsiaTheme="minorEastAsia" w:hAnsi="Times New Roman"/>
          <w:sz w:val="24"/>
          <w:szCs w:val="24"/>
        </w:rPr>
        <w:t>，具体折扣费率以</w:t>
      </w:r>
      <w:r w:rsidR="00A1468F">
        <w:rPr>
          <w:rFonts w:ascii="Times New Roman" w:eastAsiaTheme="minorEastAsia" w:hAnsi="Times New Roman"/>
          <w:sz w:val="24"/>
          <w:szCs w:val="24"/>
        </w:rPr>
        <w:t>微众银行</w:t>
      </w:r>
      <w:r w:rsidRPr="005F457C">
        <w:rPr>
          <w:rFonts w:ascii="Times New Roman" w:eastAsiaTheme="minorEastAsia" w:hAnsi="Times New Roman"/>
          <w:kern w:val="0"/>
          <w:sz w:val="24"/>
          <w:szCs w:val="24"/>
        </w:rPr>
        <w:t>的</w:t>
      </w:r>
      <w:r w:rsidRPr="005F457C">
        <w:rPr>
          <w:rFonts w:ascii="Times New Roman" w:eastAsiaTheme="minorEastAsia" w:hAnsi="Times New Roman"/>
          <w:sz w:val="24"/>
          <w:szCs w:val="24"/>
        </w:rPr>
        <w:t>活动为准。基金原费率请详见基金合同、招募说明书（更新）等法律文件，以及本公司发布的最新业务公告。</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费率优惠期限内，如本公司新增通过</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销售的基金产品，其申购业务将同时享有上述费率优惠。</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、费率优惠期限</w:t>
      </w:r>
      <w:r w:rsidRPr="005F457C">
        <w:rPr>
          <w:rFonts w:ascii="Times New Roman" w:eastAsiaTheme="minorEastAsia" w:hAnsi="Times New Roman"/>
          <w:sz w:val="24"/>
          <w:szCs w:val="24"/>
        </w:rPr>
        <w:t xml:space="preserve"> </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以</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官方网站所示公告为准。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五、重要提示</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、投资者欲了解基金的详细信息，请仔细阅读上述开放式基金的基金合同、招募说明书</w:t>
      </w:r>
      <w:r w:rsidR="00EF337C" w:rsidRPr="005F457C">
        <w:rPr>
          <w:rFonts w:ascii="Times New Roman" w:eastAsiaTheme="minorEastAsia" w:hAnsi="Times New Roman"/>
          <w:sz w:val="24"/>
          <w:szCs w:val="24"/>
        </w:rPr>
        <w:t>、</w:t>
      </w:r>
      <w:r w:rsidR="009858DA" w:rsidRPr="005F457C">
        <w:rPr>
          <w:rFonts w:ascii="Times New Roman" w:eastAsiaTheme="minorEastAsia" w:hAnsi="Times New Roman"/>
          <w:sz w:val="24"/>
          <w:szCs w:val="24"/>
        </w:rPr>
        <w:t>基金</w:t>
      </w:r>
      <w:r w:rsidR="00EF337C" w:rsidRPr="005F457C">
        <w:rPr>
          <w:rFonts w:ascii="Times New Roman" w:eastAsiaTheme="minorEastAsia" w:hAnsi="Times New Roman"/>
          <w:sz w:val="24"/>
          <w:szCs w:val="24"/>
        </w:rPr>
        <w:t>产品资料概要</w:t>
      </w:r>
      <w:r w:rsidRPr="005F457C">
        <w:rPr>
          <w:rFonts w:ascii="Times New Roman" w:eastAsiaTheme="minorEastAsia" w:hAnsi="Times New Roman"/>
          <w:sz w:val="24"/>
          <w:szCs w:val="24"/>
        </w:rPr>
        <w:t>及相关法律文件。</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、本次费率优惠活动仅适用于本公司在</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处于正常申购期的基金产品的前端收费模式。</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3</w:t>
      </w:r>
      <w:r w:rsidRPr="005F457C">
        <w:rPr>
          <w:rFonts w:ascii="Times New Roman" w:eastAsiaTheme="minorEastAsia" w:hAnsi="Times New Roman"/>
          <w:sz w:val="24"/>
          <w:szCs w:val="24"/>
        </w:rPr>
        <w:t>、本优惠活动仅适用于本公司产品在</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申购业务的手续费（含定期定额申购业务手续费），不包括基金赎回等其他业务的手续费。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4</w:t>
      </w:r>
      <w:r w:rsidRPr="005F457C">
        <w:rPr>
          <w:rFonts w:ascii="Times New Roman" w:eastAsiaTheme="minorEastAsia" w:hAnsi="Times New Roman"/>
          <w:sz w:val="24"/>
          <w:szCs w:val="24"/>
        </w:rPr>
        <w:t>、基金定投费率优惠活动参与基金产品需已在</w:t>
      </w:r>
      <w:r w:rsidR="00A1468F">
        <w:rPr>
          <w:rFonts w:ascii="Times New Roman" w:eastAsiaTheme="minorEastAsia" w:hAnsi="Times New Roman"/>
          <w:sz w:val="24"/>
          <w:szCs w:val="24"/>
        </w:rPr>
        <w:t>微众银行</w:t>
      </w:r>
      <w:r w:rsidRPr="005F457C">
        <w:rPr>
          <w:rFonts w:ascii="Times New Roman" w:eastAsiaTheme="minorEastAsia" w:hAnsi="Times New Roman"/>
          <w:sz w:val="24"/>
          <w:szCs w:val="24"/>
        </w:rPr>
        <w:t>开通了基金定投业务。</w:t>
      </w:r>
    </w:p>
    <w:p w:rsidR="00E428B6" w:rsidRPr="005F457C" w:rsidRDefault="00C55191" w:rsidP="006A7B86">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5</w:t>
      </w:r>
      <w:r w:rsidRPr="005F457C">
        <w:rPr>
          <w:rFonts w:ascii="Times New Roman" w:eastAsiaTheme="minorEastAsia" w:hAnsi="Times New Roman"/>
          <w:sz w:val="24"/>
          <w:szCs w:val="24"/>
        </w:rPr>
        <w:t>、</w:t>
      </w:r>
      <w:r w:rsidR="003B5C3D" w:rsidRPr="005F457C">
        <w:rPr>
          <w:rFonts w:ascii="Times New Roman" w:eastAsiaTheme="minorEastAsia" w:hAnsi="Times New Roman"/>
          <w:sz w:val="24"/>
          <w:szCs w:val="24"/>
        </w:rPr>
        <w:t>费率优惠活动解释权归</w:t>
      </w:r>
      <w:r w:rsidR="00A1468F">
        <w:rPr>
          <w:rFonts w:ascii="Times New Roman" w:eastAsiaTheme="minorEastAsia" w:hAnsi="Times New Roman"/>
          <w:sz w:val="24"/>
          <w:szCs w:val="24"/>
        </w:rPr>
        <w:t>微众银行</w:t>
      </w:r>
      <w:r w:rsidR="003B5C3D" w:rsidRPr="005F457C">
        <w:rPr>
          <w:rFonts w:ascii="Times New Roman" w:eastAsiaTheme="minorEastAsia" w:hAnsi="Times New Roman"/>
          <w:sz w:val="24"/>
          <w:szCs w:val="24"/>
        </w:rPr>
        <w:t>所有，有关优惠活动的具体规定如有变化，敬请投资者留意前述销售机构的有关公告。</w:t>
      </w:r>
    </w:p>
    <w:p w:rsidR="00E835B8" w:rsidRDefault="006A7B86" w:rsidP="00E835B8">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sidR="00492E37" w:rsidRPr="005F457C">
        <w:rPr>
          <w:rFonts w:ascii="Times New Roman" w:eastAsiaTheme="minorEastAsia" w:hAnsi="Times New Roman"/>
          <w:sz w:val="24"/>
          <w:szCs w:val="24"/>
        </w:rPr>
        <w:t>、</w:t>
      </w:r>
      <w:r w:rsidR="00E835B8" w:rsidRPr="00E835B8">
        <w:rPr>
          <w:rFonts w:ascii="Times New Roman" w:eastAsiaTheme="minorEastAsia" w:hAnsi="Times New Roman" w:hint="eastAsia"/>
          <w:sz w:val="24"/>
          <w:szCs w:val="24"/>
        </w:rPr>
        <w:t>海富通瑞祥一年定期开放债券型证券投资基金、</w:t>
      </w:r>
      <w:r w:rsidR="00E835B8" w:rsidRPr="00E835B8">
        <w:rPr>
          <w:rFonts w:ascii="Times New Roman" w:eastAsiaTheme="minorEastAsia" w:hAnsi="Times New Roman"/>
          <w:sz w:val="24"/>
          <w:szCs w:val="24"/>
        </w:rPr>
        <w:t>海富通一年定期开放债券型证券投资基金</w:t>
      </w:r>
      <w:r w:rsidR="00E835B8" w:rsidRPr="00E835B8">
        <w:rPr>
          <w:rFonts w:ascii="Times New Roman" w:eastAsiaTheme="minorEastAsia" w:hAnsi="Times New Roman" w:hint="eastAsia"/>
          <w:sz w:val="24"/>
          <w:szCs w:val="24"/>
        </w:rPr>
        <w:t>的开放申购赎回安排请见本公司最新业务公告。</w:t>
      </w:r>
    </w:p>
    <w:p w:rsidR="00492E37" w:rsidRPr="005F457C" w:rsidRDefault="00E835B8" w:rsidP="005F457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7</w:t>
      </w:r>
      <w:r>
        <w:rPr>
          <w:rFonts w:ascii="Times New Roman" w:eastAsiaTheme="minorEastAsia" w:hAnsi="Times New Roman" w:hint="eastAsia"/>
          <w:sz w:val="24"/>
          <w:szCs w:val="24"/>
        </w:rPr>
        <w:t>、</w:t>
      </w:r>
      <w:r w:rsidR="003B5C3D" w:rsidRPr="005F457C">
        <w:rPr>
          <w:rFonts w:ascii="Times New Roman" w:eastAsiaTheme="minorEastAsia" w:hAnsi="Times New Roman"/>
          <w:sz w:val="24"/>
          <w:szCs w:val="24"/>
        </w:rPr>
        <w:t>特别提示投资人关注上述基金产品的基金合同、招募说明书等法律文件及基金管理人的风险提示。</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六、投资者可通过以下途径咨询有关详情：</w:t>
      </w:r>
    </w:p>
    <w:p w:rsidR="009B4F38"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w:t>
      </w:r>
      <w:r w:rsidR="00A1468F">
        <w:rPr>
          <w:rFonts w:ascii="Times New Roman" w:eastAsiaTheme="minorEastAsia" w:hAnsi="Times New Roman"/>
          <w:sz w:val="24"/>
          <w:szCs w:val="24"/>
        </w:rPr>
        <w:t>深圳前海微众银行股份有限公司</w:t>
      </w:r>
    </w:p>
    <w:p w:rsidR="00E835B8" w:rsidRPr="00E835B8" w:rsidRDefault="00E835B8" w:rsidP="00E835B8">
      <w:pPr>
        <w:spacing w:line="360" w:lineRule="auto"/>
        <w:ind w:firstLine="420"/>
        <w:rPr>
          <w:rFonts w:ascii="Times New Roman" w:eastAsiaTheme="minorEastAsia" w:hAnsi="Times New Roman"/>
          <w:sz w:val="24"/>
          <w:szCs w:val="24"/>
        </w:rPr>
      </w:pPr>
      <w:r w:rsidRPr="00E835B8">
        <w:rPr>
          <w:rFonts w:ascii="Times New Roman" w:eastAsiaTheme="minorEastAsia" w:hAnsi="Times New Roman" w:hint="eastAsia"/>
          <w:sz w:val="24"/>
          <w:szCs w:val="24"/>
        </w:rPr>
        <w:t>网址：</w:t>
      </w:r>
      <w:r w:rsidRPr="00E835B8">
        <w:rPr>
          <w:rFonts w:ascii="Times New Roman" w:eastAsiaTheme="minorEastAsia" w:hAnsi="Times New Roman" w:hint="eastAsia"/>
          <w:sz w:val="24"/>
          <w:szCs w:val="24"/>
        </w:rPr>
        <w:t>www.webank.com</w:t>
      </w:r>
    </w:p>
    <w:p w:rsidR="00E835B8" w:rsidRDefault="00E835B8" w:rsidP="00E835B8">
      <w:pPr>
        <w:spacing w:line="360" w:lineRule="auto"/>
        <w:ind w:firstLine="420"/>
        <w:rPr>
          <w:rFonts w:ascii="Times New Roman" w:eastAsiaTheme="minorEastAsia" w:hAnsi="Times New Roman"/>
          <w:sz w:val="24"/>
          <w:szCs w:val="24"/>
        </w:rPr>
      </w:pPr>
      <w:r w:rsidRPr="00E835B8">
        <w:rPr>
          <w:rFonts w:ascii="Times New Roman" w:eastAsiaTheme="minorEastAsia" w:hAnsi="Times New Roman" w:hint="eastAsia"/>
          <w:sz w:val="24"/>
          <w:szCs w:val="24"/>
        </w:rPr>
        <w:t>客服电话：</w:t>
      </w:r>
      <w:r w:rsidRPr="00E835B8">
        <w:rPr>
          <w:rFonts w:ascii="Times New Roman" w:eastAsiaTheme="minorEastAsia" w:hAnsi="Times New Roman" w:hint="eastAsia"/>
          <w:sz w:val="24"/>
          <w:szCs w:val="24"/>
        </w:rPr>
        <w:t xml:space="preserve">95384 </w:t>
      </w:r>
    </w:p>
    <w:p w:rsidR="00492E37" w:rsidRPr="005F457C" w:rsidRDefault="00492E37" w:rsidP="00E835B8">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网站：</w:t>
      </w:r>
      <w:r w:rsidRPr="005F457C">
        <w:rPr>
          <w:rFonts w:ascii="Times New Roman" w:eastAsiaTheme="minorEastAsia" w:hAnsi="Times New Roman"/>
          <w:sz w:val="24"/>
          <w:szCs w:val="24"/>
        </w:rPr>
        <w:t>www.hftfund.com</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客户服务电话：</w:t>
      </w:r>
      <w:r w:rsidRPr="005F457C">
        <w:rPr>
          <w:rFonts w:ascii="Times New Roman" w:eastAsiaTheme="minorEastAsia" w:hAnsi="Times New Roman"/>
          <w:sz w:val="24"/>
          <w:szCs w:val="24"/>
        </w:rPr>
        <w:t>40088-40099</w:t>
      </w:r>
      <w:r w:rsidRPr="005F457C">
        <w:rPr>
          <w:rFonts w:ascii="Times New Roman" w:eastAsiaTheme="minorEastAsia" w:hAnsi="Times New Roman"/>
          <w:sz w:val="24"/>
          <w:szCs w:val="24"/>
        </w:rPr>
        <w:t>（免长途话费）</w:t>
      </w:r>
    </w:p>
    <w:p w:rsidR="00492E37"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官方微信服务号：</w:t>
      </w:r>
      <w:r w:rsidRPr="005F457C">
        <w:rPr>
          <w:rFonts w:ascii="Times New Roman" w:eastAsiaTheme="minorEastAsia" w:hAnsi="Times New Roman"/>
          <w:sz w:val="24"/>
          <w:szCs w:val="24"/>
        </w:rPr>
        <w:t>fund_hft</w:t>
      </w:r>
    </w:p>
    <w:p w:rsidR="00E428B6" w:rsidRPr="005F457C" w:rsidRDefault="00E428B6"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本公告的解释权归海富通基金管理有限公司。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p>
    <w:p w:rsidR="00654772" w:rsidRPr="005F457C" w:rsidRDefault="00654772" w:rsidP="005F457C">
      <w:pPr>
        <w:spacing w:line="360" w:lineRule="auto"/>
        <w:ind w:firstLine="420"/>
        <w:rPr>
          <w:rFonts w:ascii="Times New Roman" w:hAnsi="Times New Roman"/>
          <w:sz w:val="24"/>
          <w:szCs w:val="24"/>
          <w:lang/>
        </w:rPr>
      </w:pPr>
      <w:r w:rsidRPr="005F457C">
        <w:rPr>
          <w:rFonts w:ascii="Times New Roman" w:hAnsi="Times New Roman"/>
          <w:sz w:val="24"/>
          <w:szCs w:val="24"/>
        </w:rPr>
        <w:t>风险提示：</w:t>
      </w:r>
      <w:r w:rsidRPr="005F457C">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5F457C">
        <w:rPr>
          <w:rFonts w:ascii="Times New Roman" w:hAnsi="Times New Roman"/>
          <w:sz w:val="24"/>
          <w:szCs w:val="24"/>
          <w:lang/>
        </w:rPr>
        <w:t>“</w:t>
      </w:r>
      <w:r w:rsidRPr="005F457C">
        <w:rPr>
          <w:rFonts w:ascii="Times New Roman" w:hAnsi="Times New Roman"/>
          <w:sz w:val="24"/>
          <w:szCs w:val="24"/>
          <w:lang/>
        </w:rPr>
        <w:t>买者自负</w:t>
      </w:r>
      <w:r w:rsidRPr="005F457C">
        <w:rPr>
          <w:rFonts w:ascii="Times New Roman" w:hAnsi="Times New Roman"/>
          <w:sz w:val="24"/>
          <w:szCs w:val="24"/>
          <w:lang/>
        </w:rPr>
        <w:t>”</w:t>
      </w:r>
      <w:r w:rsidRPr="005F457C">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特此公告。</w:t>
      </w:r>
    </w:p>
    <w:p w:rsidR="00492E37" w:rsidRPr="005F457C" w:rsidRDefault="00492E37" w:rsidP="005F457C">
      <w:pPr>
        <w:widowControl/>
        <w:spacing w:line="360" w:lineRule="auto"/>
        <w:ind w:right="960"/>
        <w:rPr>
          <w:rFonts w:ascii="Times New Roman" w:eastAsiaTheme="minorEastAsia" w:hAnsi="Times New Roman"/>
          <w:color w:val="333333"/>
          <w:kern w:val="0"/>
          <w:sz w:val="24"/>
          <w:szCs w:val="24"/>
        </w:rPr>
      </w:pPr>
    </w:p>
    <w:p w:rsidR="00492E37" w:rsidRPr="005F457C" w:rsidRDefault="00492E37" w:rsidP="005F457C">
      <w:pPr>
        <w:widowControl/>
        <w:spacing w:line="360" w:lineRule="auto"/>
        <w:jc w:val="right"/>
        <w:rPr>
          <w:rFonts w:ascii="Times New Roman" w:eastAsiaTheme="minorEastAsia" w:hAnsi="Times New Roman"/>
          <w:sz w:val="24"/>
          <w:szCs w:val="24"/>
        </w:rPr>
      </w:pPr>
      <w:r w:rsidRPr="005F457C">
        <w:rPr>
          <w:rFonts w:ascii="Times New Roman" w:eastAsiaTheme="minorEastAsia" w:hAnsi="Times New Roman"/>
          <w:color w:val="333333"/>
          <w:kern w:val="0"/>
          <w:sz w:val="24"/>
          <w:szCs w:val="24"/>
        </w:rPr>
        <w:t>    </w:t>
      </w:r>
      <w:r w:rsidRPr="005F457C">
        <w:rPr>
          <w:rFonts w:ascii="Times New Roman" w:eastAsiaTheme="minorEastAsia" w:hAnsi="Times New Roman"/>
          <w:kern w:val="0"/>
          <w:sz w:val="24"/>
          <w:szCs w:val="24"/>
        </w:rPr>
        <w:t>海</w:t>
      </w:r>
      <w:r w:rsidRPr="005F457C">
        <w:rPr>
          <w:rFonts w:ascii="Times New Roman" w:eastAsiaTheme="minorEastAsia" w:hAnsi="Times New Roman"/>
          <w:sz w:val="24"/>
          <w:szCs w:val="24"/>
        </w:rPr>
        <w:t>富通基金管理有限公</w:t>
      </w:r>
      <w:r w:rsidRPr="005F457C">
        <w:rPr>
          <w:rFonts w:ascii="Times New Roman" w:eastAsiaTheme="minorEastAsia" w:hAnsi="Times New Roman"/>
          <w:kern w:val="0"/>
          <w:sz w:val="24"/>
          <w:szCs w:val="24"/>
        </w:rPr>
        <w:t>司</w:t>
      </w:r>
      <w:r w:rsidRPr="005F457C">
        <w:rPr>
          <w:rFonts w:ascii="Times New Roman" w:eastAsiaTheme="minorEastAsia" w:hAnsi="Times New Roman"/>
          <w:kern w:val="0"/>
          <w:sz w:val="24"/>
          <w:szCs w:val="24"/>
        </w:rPr>
        <w:t xml:space="preserve"> </w:t>
      </w:r>
      <w:r w:rsidRPr="005F457C">
        <w:rPr>
          <w:rFonts w:ascii="Times New Roman" w:eastAsiaTheme="minorEastAsia" w:hAnsi="Times New Roman"/>
          <w:kern w:val="0"/>
          <w:sz w:val="24"/>
          <w:szCs w:val="24"/>
        </w:rPr>
        <w:br/>
        <w:t>    202</w:t>
      </w:r>
      <w:r w:rsidR="006A7B86">
        <w:rPr>
          <w:rFonts w:ascii="Times New Roman" w:eastAsiaTheme="minorEastAsia" w:hAnsi="Times New Roman" w:hint="eastAsia"/>
          <w:kern w:val="0"/>
          <w:sz w:val="24"/>
          <w:szCs w:val="24"/>
        </w:rPr>
        <w:t>6</w:t>
      </w:r>
      <w:r w:rsidRPr="005F457C">
        <w:rPr>
          <w:rFonts w:ascii="Times New Roman" w:eastAsiaTheme="minorEastAsia" w:hAnsi="Times New Roman"/>
          <w:kern w:val="0"/>
          <w:sz w:val="24"/>
          <w:szCs w:val="24"/>
        </w:rPr>
        <w:t>年</w:t>
      </w:r>
      <w:r w:rsidR="00E835B8">
        <w:rPr>
          <w:rFonts w:ascii="Times New Roman" w:eastAsiaTheme="minorEastAsia" w:hAnsi="Times New Roman" w:hint="eastAsia"/>
          <w:kern w:val="0"/>
          <w:sz w:val="24"/>
          <w:szCs w:val="24"/>
        </w:rPr>
        <w:t>5</w:t>
      </w:r>
      <w:r w:rsidRPr="005F457C">
        <w:rPr>
          <w:rFonts w:ascii="Times New Roman" w:eastAsiaTheme="minorEastAsia" w:hAnsi="Times New Roman"/>
          <w:kern w:val="0"/>
          <w:sz w:val="24"/>
          <w:szCs w:val="24"/>
        </w:rPr>
        <w:t>月</w:t>
      </w:r>
      <w:r w:rsidR="00E835B8">
        <w:rPr>
          <w:rFonts w:ascii="Times New Roman" w:eastAsiaTheme="minorEastAsia" w:hAnsi="Times New Roman" w:hint="eastAsia"/>
          <w:kern w:val="0"/>
          <w:sz w:val="24"/>
          <w:szCs w:val="24"/>
        </w:rPr>
        <w:t>19</w:t>
      </w:r>
      <w:r w:rsidRPr="005F457C">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 xml:space="preserve"> </w:t>
      </w:r>
    </w:p>
    <w:p w:rsidR="00A86218" w:rsidRPr="00E835B8" w:rsidRDefault="00A86218" w:rsidP="005F457C">
      <w:pPr>
        <w:spacing w:line="360" w:lineRule="auto"/>
        <w:rPr>
          <w:rFonts w:ascii="Times New Roman" w:eastAsiaTheme="minorEastAsia" w:hAnsi="Times New Roman"/>
          <w:sz w:val="24"/>
          <w:szCs w:val="24"/>
        </w:rPr>
      </w:pPr>
    </w:p>
    <w:sectPr w:rsidR="00A86218" w:rsidRPr="00E835B8" w:rsidSect="001127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C6A" w:rsidRDefault="00520C6A" w:rsidP="00BE65CE">
      <w:r>
        <w:separator/>
      </w:r>
    </w:p>
  </w:endnote>
  <w:endnote w:type="continuationSeparator" w:id="0">
    <w:p w:rsidR="00520C6A" w:rsidRDefault="00520C6A" w:rsidP="00BE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C6A" w:rsidRDefault="00520C6A" w:rsidP="00BE65CE">
      <w:r>
        <w:separator/>
      </w:r>
    </w:p>
  </w:footnote>
  <w:footnote w:type="continuationSeparator" w:id="0">
    <w:p w:rsidR="00520C6A" w:rsidRDefault="00520C6A" w:rsidP="00BE6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hybridMultilevel"/>
    <w:tmpl w:val="5D04D222"/>
    <w:lvl w:ilvl="0" w:tplc="9788B326">
      <w:start w:val="1"/>
      <w:numFmt w:val="japaneseCounting"/>
      <w:lvlText w:val="%1、"/>
      <w:lvlJc w:val="left"/>
      <w:pPr>
        <w:ind w:left="800" w:hanging="3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218"/>
    <w:rsid w:val="00077E74"/>
    <w:rsid w:val="0009167C"/>
    <w:rsid w:val="000A377F"/>
    <w:rsid w:val="000B2DED"/>
    <w:rsid w:val="000C2B6E"/>
    <w:rsid w:val="000D1F14"/>
    <w:rsid w:val="000F406E"/>
    <w:rsid w:val="00112749"/>
    <w:rsid w:val="00115369"/>
    <w:rsid w:val="00143423"/>
    <w:rsid w:val="00185518"/>
    <w:rsid w:val="001901F0"/>
    <w:rsid w:val="001A2F6B"/>
    <w:rsid w:val="001D15E6"/>
    <w:rsid w:val="001D4F4E"/>
    <w:rsid w:val="00243E9F"/>
    <w:rsid w:val="00245A3A"/>
    <w:rsid w:val="00253884"/>
    <w:rsid w:val="00260070"/>
    <w:rsid w:val="002631B1"/>
    <w:rsid w:val="00274A7C"/>
    <w:rsid w:val="00280CB2"/>
    <w:rsid w:val="002C1797"/>
    <w:rsid w:val="002F498D"/>
    <w:rsid w:val="00327B91"/>
    <w:rsid w:val="00341F38"/>
    <w:rsid w:val="00345A51"/>
    <w:rsid w:val="0035183E"/>
    <w:rsid w:val="003614B1"/>
    <w:rsid w:val="003618B0"/>
    <w:rsid w:val="0036777F"/>
    <w:rsid w:val="003B5C3D"/>
    <w:rsid w:val="003B6029"/>
    <w:rsid w:val="003C4EB0"/>
    <w:rsid w:val="003D6FD9"/>
    <w:rsid w:val="00412A39"/>
    <w:rsid w:val="00433BC1"/>
    <w:rsid w:val="00444C2A"/>
    <w:rsid w:val="00445C82"/>
    <w:rsid w:val="00451982"/>
    <w:rsid w:val="00456236"/>
    <w:rsid w:val="004761FC"/>
    <w:rsid w:val="00485A5C"/>
    <w:rsid w:val="00492E37"/>
    <w:rsid w:val="00496DAC"/>
    <w:rsid w:val="004A4E88"/>
    <w:rsid w:val="004C6E19"/>
    <w:rsid w:val="004D508D"/>
    <w:rsid w:val="004F1D28"/>
    <w:rsid w:val="004F2837"/>
    <w:rsid w:val="00514B68"/>
    <w:rsid w:val="00520C6A"/>
    <w:rsid w:val="00536179"/>
    <w:rsid w:val="005566F6"/>
    <w:rsid w:val="005750D4"/>
    <w:rsid w:val="00582957"/>
    <w:rsid w:val="0059260F"/>
    <w:rsid w:val="005B5149"/>
    <w:rsid w:val="005B5AE3"/>
    <w:rsid w:val="005B6057"/>
    <w:rsid w:val="005F457C"/>
    <w:rsid w:val="00613431"/>
    <w:rsid w:val="0061763F"/>
    <w:rsid w:val="00632703"/>
    <w:rsid w:val="00640072"/>
    <w:rsid w:val="00640E0E"/>
    <w:rsid w:val="0064500F"/>
    <w:rsid w:val="00654772"/>
    <w:rsid w:val="00662B36"/>
    <w:rsid w:val="006931F1"/>
    <w:rsid w:val="006A3ADA"/>
    <w:rsid w:val="006A7B86"/>
    <w:rsid w:val="007A65BB"/>
    <w:rsid w:val="007F7D08"/>
    <w:rsid w:val="0080344B"/>
    <w:rsid w:val="0080724A"/>
    <w:rsid w:val="00835526"/>
    <w:rsid w:val="00856A39"/>
    <w:rsid w:val="00876CEA"/>
    <w:rsid w:val="00896CFD"/>
    <w:rsid w:val="008A157D"/>
    <w:rsid w:val="008D3889"/>
    <w:rsid w:val="008E04C7"/>
    <w:rsid w:val="008E3EF6"/>
    <w:rsid w:val="00900A1F"/>
    <w:rsid w:val="00907F22"/>
    <w:rsid w:val="009144FB"/>
    <w:rsid w:val="00953FBE"/>
    <w:rsid w:val="009858DA"/>
    <w:rsid w:val="009B4F38"/>
    <w:rsid w:val="00A100BD"/>
    <w:rsid w:val="00A1468F"/>
    <w:rsid w:val="00A152B5"/>
    <w:rsid w:val="00A81078"/>
    <w:rsid w:val="00A86218"/>
    <w:rsid w:val="00AA6D92"/>
    <w:rsid w:val="00AC2EA2"/>
    <w:rsid w:val="00B2542D"/>
    <w:rsid w:val="00B26524"/>
    <w:rsid w:val="00B43F1A"/>
    <w:rsid w:val="00B46124"/>
    <w:rsid w:val="00B66234"/>
    <w:rsid w:val="00BE65CE"/>
    <w:rsid w:val="00BF1D9B"/>
    <w:rsid w:val="00BF511A"/>
    <w:rsid w:val="00C0685A"/>
    <w:rsid w:val="00C42FC7"/>
    <w:rsid w:val="00C55191"/>
    <w:rsid w:val="00C72375"/>
    <w:rsid w:val="00C77F96"/>
    <w:rsid w:val="00C84E2B"/>
    <w:rsid w:val="00CA02D3"/>
    <w:rsid w:val="00CB421B"/>
    <w:rsid w:val="00CF034C"/>
    <w:rsid w:val="00CF21AD"/>
    <w:rsid w:val="00D27D5C"/>
    <w:rsid w:val="00D318C4"/>
    <w:rsid w:val="00D42D00"/>
    <w:rsid w:val="00D539D0"/>
    <w:rsid w:val="00D84BB5"/>
    <w:rsid w:val="00DA33FB"/>
    <w:rsid w:val="00DB7B6B"/>
    <w:rsid w:val="00DC1321"/>
    <w:rsid w:val="00E13E1F"/>
    <w:rsid w:val="00E26A1E"/>
    <w:rsid w:val="00E33E69"/>
    <w:rsid w:val="00E35972"/>
    <w:rsid w:val="00E428B6"/>
    <w:rsid w:val="00E738D0"/>
    <w:rsid w:val="00E835B8"/>
    <w:rsid w:val="00EC311C"/>
    <w:rsid w:val="00ED41CB"/>
    <w:rsid w:val="00EF337C"/>
    <w:rsid w:val="00EF623B"/>
    <w:rsid w:val="00F52ED5"/>
    <w:rsid w:val="00FA274D"/>
    <w:rsid w:val="00FA67C2"/>
    <w:rsid w:val="00FD4269"/>
    <w:rsid w:val="00FE6D77"/>
    <w:rsid w:val="00FF2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78"/>
    <w:pPr>
      <w:widowControl w:val="0"/>
      <w:jc w:val="both"/>
    </w:pPr>
    <w:rPr>
      <w:rFonts w:ascii="Calibri" w:eastAsia="宋体" w:hAnsi="Calibri" w:cs="Times New Roman"/>
    </w:rPr>
  </w:style>
  <w:style w:type="paragraph" w:styleId="1">
    <w:name w:val="heading 1"/>
    <w:basedOn w:val="a"/>
    <w:link w:val="1Char"/>
    <w:uiPriority w:val="9"/>
    <w:qFormat/>
    <w:rsid w:val="001D15E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A15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218"/>
    <w:rPr>
      <w:color w:val="808080"/>
    </w:rPr>
  </w:style>
  <w:style w:type="paragraph" w:styleId="a4">
    <w:name w:val="Normal (Web)"/>
    <w:basedOn w:val="a"/>
    <w:uiPriority w:val="99"/>
    <w:unhideWhenUsed/>
    <w:rsid w:val="00492E37"/>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1D15E6"/>
    <w:rPr>
      <w:rFonts w:ascii="宋体" w:eastAsia="宋体" w:hAnsi="宋体" w:cs="宋体"/>
      <w:b/>
      <w:bCs/>
      <w:kern w:val="36"/>
      <w:sz w:val="48"/>
      <w:szCs w:val="48"/>
    </w:rPr>
  </w:style>
  <w:style w:type="character" w:styleId="a5">
    <w:name w:val="Hyperlink"/>
    <w:basedOn w:val="a0"/>
    <w:uiPriority w:val="99"/>
    <w:unhideWhenUsed/>
    <w:rsid w:val="000F406E"/>
    <w:rPr>
      <w:color w:val="0563C1" w:themeColor="hyperlink"/>
      <w:u w:val="single"/>
    </w:rPr>
  </w:style>
  <w:style w:type="paragraph" w:styleId="a6">
    <w:name w:val="header"/>
    <w:basedOn w:val="a"/>
    <w:link w:val="Char"/>
    <w:uiPriority w:val="99"/>
    <w:unhideWhenUsed/>
    <w:rsid w:val="00BE6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E65CE"/>
    <w:rPr>
      <w:rFonts w:ascii="Calibri" w:eastAsia="宋体" w:hAnsi="Calibri" w:cs="Times New Roman"/>
      <w:sz w:val="18"/>
      <w:szCs w:val="18"/>
    </w:rPr>
  </w:style>
  <w:style w:type="paragraph" w:styleId="a7">
    <w:name w:val="footer"/>
    <w:basedOn w:val="a"/>
    <w:link w:val="Char0"/>
    <w:uiPriority w:val="99"/>
    <w:unhideWhenUsed/>
    <w:rsid w:val="00BE65CE"/>
    <w:pPr>
      <w:tabs>
        <w:tab w:val="center" w:pos="4153"/>
        <w:tab w:val="right" w:pos="8306"/>
      </w:tabs>
      <w:snapToGrid w:val="0"/>
      <w:jc w:val="left"/>
    </w:pPr>
    <w:rPr>
      <w:sz w:val="18"/>
      <w:szCs w:val="18"/>
    </w:rPr>
  </w:style>
  <w:style w:type="character" w:customStyle="1" w:styleId="Char0">
    <w:name w:val="页脚 Char"/>
    <w:basedOn w:val="a0"/>
    <w:link w:val="a7"/>
    <w:uiPriority w:val="99"/>
    <w:rsid w:val="00BE65CE"/>
    <w:rPr>
      <w:rFonts w:ascii="Calibri" w:eastAsia="宋体" w:hAnsi="Calibri" w:cs="Times New Roman"/>
      <w:sz w:val="18"/>
      <w:szCs w:val="18"/>
    </w:rPr>
  </w:style>
  <w:style w:type="paragraph" w:styleId="a8">
    <w:name w:val="Balloon Text"/>
    <w:basedOn w:val="a"/>
    <w:link w:val="Char1"/>
    <w:uiPriority w:val="99"/>
    <w:semiHidden/>
    <w:unhideWhenUsed/>
    <w:rsid w:val="009858DA"/>
    <w:rPr>
      <w:sz w:val="18"/>
      <w:szCs w:val="18"/>
    </w:rPr>
  </w:style>
  <w:style w:type="character" w:customStyle="1" w:styleId="Char1">
    <w:name w:val="批注框文本 Char"/>
    <w:basedOn w:val="a0"/>
    <w:link w:val="a8"/>
    <w:uiPriority w:val="99"/>
    <w:semiHidden/>
    <w:rsid w:val="009858DA"/>
    <w:rPr>
      <w:rFonts w:ascii="Calibri" w:eastAsia="宋体" w:hAnsi="Calibri" w:cs="Times New Roman"/>
      <w:sz w:val="18"/>
      <w:szCs w:val="18"/>
    </w:rPr>
  </w:style>
  <w:style w:type="paragraph" w:styleId="a9">
    <w:name w:val="List Paragraph"/>
    <w:basedOn w:val="a"/>
    <w:uiPriority w:val="34"/>
    <w:qFormat/>
    <w:rsid w:val="009144FB"/>
    <w:pPr>
      <w:ind w:firstLineChars="200" w:firstLine="420"/>
    </w:pPr>
  </w:style>
  <w:style w:type="table" w:styleId="aa">
    <w:name w:val="Table Grid"/>
    <w:basedOn w:val="a1"/>
    <w:uiPriority w:val="39"/>
    <w:rsid w:val="00914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a"/>
    <w:uiPriority w:val="39"/>
    <w:rsid w:val="008E0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B4F38"/>
    <w:rPr>
      <w:color w:val="605E5C"/>
      <w:shd w:val="clear" w:color="auto" w:fill="E1DFDD"/>
    </w:rPr>
  </w:style>
  <w:style w:type="character" w:customStyle="1" w:styleId="2Char">
    <w:name w:val="标题 2 Char"/>
    <w:basedOn w:val="a0"/>
    <w:link w:val="2"/>
    <w:uiPriority w:val="9"/>
    <w:semiHidden/>
    <w:rsid w:val="008A157D"/>
    <w:rPr>
      <w:rFonts w:asciiTheme="majorHAnsi" w:eastAsiaTheme="majorEastAsia" w:hAnsiTheme="majorHAnsi" w:cstheme="majorBidi"/>
      <w:b/>
      <w:bCs/>
      <w:sz w:val="32"/>
      <w:szCs w:val="32"/>
    </w:rPr>
  </w:style>
  <w:style w:type="paragraph" w:styleId="ab">
    <w:name w:val="Revision"/>
    <w:hidden/>
    <w:uiPriority w:val="99"/>
    <w:semiHidden/>
    <w:rsid w:val="005F457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21508942">
      <w:bodyDiv w:val="1"/>
      <w:marLeft w:val="0"/>
      <w:marRight w:val="0"/>
      <w:marTop w:val="0"/>
      <w:marBottom w:val="0"/>
      <w:divBdr>
        <w:top w:val="none" w:sz="0" w:space="0" w:color="auto"/>
        <w:left w:val="none" w:sz="0" w:space="0" w:color="auto"/>
        <w:bottom w:val="none" w:sz="0" w:space="0" w:color="auto"/>
        <w:right w:val="none" w:sz="0" w:space="0" w:color="auto"/>
      </w:divBdr>
    </w:div>
    <w:div w:id="144124368">
      <w:bodyDiv w:val="1"/>
      <w:marLeft w:val="0"/>
      <w:marRight w:val="0"/>
      <w:marTop w:val="0"/>
      <w:marBottom w:val="0"/>
      <w:divBdr>
        <w:top w:val="none" w:sz="0" w:space="0" w:color="auto"/>
        <w:left w:val="none" w:sz="0" w:space="0" w:color="auto"/>
        <w:bottom w:val="none" w:sz="0" w:space="0" w:color="auto"/>
        <w:right w:val="none" w:sz="0" w:space="0" w:color="auto"/>
      </w:divBdr>
    </w:div>
    <w:div w:id="217909583">
      <w:bodyDiv w:val="1"/>
      <w:marLeft w:val="0"/>
      <w:marRight w:val="0"/>
      <w:marTop w:val="0"/>
      <w:marBottom w:val="0"/>
      <w:divBdr>
        <w:top w:val="none" w:sz="0" w:space="0" w:color="auto"/>
        <w:left w:val="none" w:sz="0" w:space="0" w:color="auto"/>
        <w:bottom w:val="none" w:sz="0" w:space="0" w:color="auto"/>
        <w:right w:val="none" w:sz="0" w:space="0" w:color="auto"/>
      </w:divBdr>
    </w:div>
    <w:div w:id="255674016">
      <w:bodyDiv w:val="1"/>
      <w:marLeft w:val="0"/>
      <w:marRight w:val="0"/>
      <w:marTop w:val="0"/>
      <w:marBottom w:val="0"/>
      <w:divBdr>
        <w:top w:val="none" w:sz="0" w:space="0" w:color="auto"/>
        <w:left w:val="none" w:sz="0" w:space="0" w:color="auto"/>
        <w:bottom w:val="none" w:sz="0" w:space="0" w:color="auto"/>
        <w:right w:val="none" w:sz="0" w:space="0" w:color="auto"/>
      </w:divBdr>
    </w:div>
    <w:div w:id="299726005">
      <w:bodyDiv w:val="1"/>
      <w:marLeft w:val="0"/>
      <w:marRight w:val="0"/>
      <w:marTop w:val="0"/>
      <w:marBottom w:val="0"/>
      <w:divBdr>
        <w:top w:val="none" w:sz="0" w:space="0" w:color="auto"/>
        <w:left w:val="none" w:sz="0" w:space="0" w:color="auto"/>
        <w:bottom w:val="none" w:sz="0" w:space="0" w:color="auto"/>
        <w:right w:val="none" w:sz="0" w:space="0" w:color="auto"/>
      </w:divBdr>
    </w:div>
    <w:div w:id="389420519">
      <w:bodyDiv w:val="1"/>
      <w:marLeft w:val="0"/>
      <w:marRight w:val="0"/>
      <w:marTop w:val="0"/>
      <w:marBottom w:val="0"/>
      <w:divBdr>
        <w:top w:val="none" w:sz="0" w:space="0" w:color="auto"/>
        <w:left w:val="none" w:sz="0" w:space="0" w:color="auto"/>
        <w:bottom w:val="none" w:sz="0" w:space="0" w:color="auto"/>
        <w:right w:val="none" w:sz="0" w:space="0" w:color="auto"/>
      </w:divBdr>
    </w:div>
    <w:div w:id="469443177">
      <w:bodyDiv w:val="1"/>
      <w:marLeft w:val="0"/>
      <w:marRight w:val="0"/>
      <w:marTop w:val="0"/>
      <w:marBottom w:val="0"/>
      <w:divBdr>
        <w:top w:val="none" w:sz="0" w:space="0" w:color="auto"/>
        <w:left w:val="none" w:sz="0" w:space="0" w:color="auto"/>
        <w:bottom w:val="none" w:sz="0" w:space="0" w:color="auto"/>
        <w:right w:val="none" w:sz="0" w:space="0" w:color="auto"/>
      </w:divBdr>
    </w:div>
    <w:div w:id="481697151">
      <w:bodyDiv w:val="1"/>
      <w:marLeft w:val="0"/>
      <w:marRight w:val="0"/>
      <w:marTop w:val="0"/>
      <w:marBottom w:val="0"/>
      <w:divBdr>
        <w:top w:val="none" w:sz="0" w:space="0" w:color="auto"/>
        <w:left w:val="none" w:sz="0" w:space="0" w:color="auto"/>
        <w:bottom w:val="none" w:sz="0" w:space="0" w:color="auto"/>
        <w:right w:val="none" w:sz="0" w:space="0" w:color="auto"/>
      </w:divBdr>
    </w:div>
    <w:div w:id="532882406">
      <w:bodyDiv w:val="1"/>
      <w:marLeft w:val="0"/>
      <w:marRight w:val="0"/>
      <w:marTop w:val="0"/>
      <w:marBottom w:val="0"/>
      <w:divBdr>
        <w:top w:val="none" w:sz="0" w:space="0" w:color="auto"/>
        <w:left w:val="none" w:sz="0" w:space="0" w:color="auto"/>
        <w:bottom w:val="none" w:sz="0" w:space="0" w:color="auto"/>
        <w:right w:val="none" w:sz="0" w:space="0" w:color="auto"/>
      </w:divBdr>
    </w:div>
    <w:div w:id="542719663">
      <w:bodyDiv w:val="1"/>
      <w:marLeft w:val="0"/>
      <w:marRight w:val="0"/>
      <w:marTop w:val="0"/>
      <w:marBottom w:val="0"/>
      <w:divBdr>
        <w:top w:val="none" w:sz="0" w:space="0" w:color="auto"/>
        <w:left w:val="none" w:sz="0" w:space="0" w:color="auto"/>
        <w:bottom w:val="none" w:sz="0" w:space="0" w:color="auto"/>
        <w:right w:val="none" w:sz="0" w:space="0" w:color="auto"/>
      </w:divBdr>
      <w:divsChild>
        <w:div w:id="235209301">
          <w:marLeft w:val="0"/>
          <w:marRight w:val="0"/>
          <w:marTop w:val="0"/>
          <w:marBottom w:val="0"/>
          <w:divBdr>
            <w:top w:val="none" w:sz="0" w:space="0" w:color="auto"/>
            <w:left w:val="none" w:sz="0" w:space="0" w:color="auto"/>
            <w:bottom w:val="none" w:sz="0" w:space="0" w:color="auto"/>
            <w:right w:val="none" w:sz="0" w:space="0" w:color="auto"/>
          </w:divBdr>
        </w:div>
        <w:div w:id="2038307843">
          <w:marLeft w:val="0"/>
          <w:marRight w:val="0"/>
          <w:marTop w:val="0"/>
          <w:marBottom w:val="0"/>
          <w:divBdr>
            <w:top w:val="none" w:sz="0" w:space="0" w:color="auto"/>
            <w:left w:val="none" w:sz="0" w:space="0" w:color="auto"/>
            <w:bottom w:val="none" w:sz="0" w:space="0" w:color="auto"/>
            <w:right w:val="none" w:sz="0" w:space="0" w:color="auto"/>
          </w:divBdr>
        </w:div>
      </w:divsChild>
    </w:div>
    <w:div w:id="545261753">
      <w:bodyDiv w:val="1"/>
      <w:marLeft w:val="0"/>
      <w:marRight w:val="0"/>
      <w:marTop w:val="0"/>
      <w:marBottom w:val="0"/>
      <w:divBdr>
        <w:top w:val="none" w:sz="0" w:space="0" w:color="auto"/>
        <w:left w:val="none" w:sz="0" w:space="0" w:color="auto"/>
        <w:bottom w:val="none" w:sz="0" w:space="0" w:color="auto"/>
        <w:right w:val="none" w:sz="0" w:space="0" w:color="auto"/>
      </w:divBdr>
    </w:div>
    <w:div w:id="829907028">
      <w:bodyDiv w:val="1"/>
      <w:marLeft w:val="0"/>
      <w:marRight w:val="0"/>
      <w:marTop w:val="0"/>
      <w:marBottom w:val="0"/>
      <w:divBdr>
        <w:top w:val="none" w:sz="0" w:space="0" w:color="auto"/>
        <w:left w:val="none" w:sz="0" w:space="0" w:color="auto"/>
        <w:bottom w:val="none" w:sz="0" w:space="0" w:color="auto"/>
        <w:right w:val="none" w:sz="0" w:space="0" w:color="auto"/>
      </w:divBdr>
    </w:div>
    <w:div w:id="875237796">
      <w:bodyDiv w:val="1"/>
      <w:marLeft w:val="0"/>
      <w:marRight w:val="0"/>
      <w:marTop w:val="0"/>
      <w:marBottom w:val="0"/>
      <w:divBdr>
        <w:top w:val="none" w:sz="0" w:space="0" w:color="auto"/>
        <w:left w:val="none" w:sz="0" w:space="0" w:color="auto"/>
        <w:bottom w:val="none" w:sz="0" w:space="0" w:color="auto"/>
        <w:right w:val="none" w:sz="0" w:space="0" w:color="auto"/>
      </w:divBdr>
    </w:div>
    <w:div w:id="928194501">
      <w:bodyDiv w:val="1"/>
      <w:marLeft w:val="0"/>
      <w:marRight w:val="0"/>
      <w:marTop w:val="0"/>
      <w:marBottom w:val="0"/>
      <w:divBdr>
        <w:top w:val="none" w:sz="0" w:space="0" w:color="auto"/>
        <w:left w:val="none" w:sz="0" w:space="0" w:color="auto"/>
        <w:bottom w:val="none" w:sz="0" w:space="0" w:color="auto"/>
        <w:right w:val="none" w:sz="0" w:space="0" w:color="auto"/>
      </w:divBdr>
    </w:div>
    <w:div w:id="1047413607">
      <w:bodyDiv w:val="1"/>
      <w:marLeft w:val="0"/>
      <w:marRight w:val="0"/>
      <w:marTop w:val="0"/>
      <w:marBottom w:val="0"/>
      <w:divBdr>
        <w:top w:val="none" w:sz="0" w:space="0" w:color="auto"/>
        <w:left w:val="none" w:sz="0" w:space="0" w:color="auto"/>
        <w:bottom w:val="none" w:sz="0" w:space="0" w:color="auto"/>
        <w:right w:val="none" w:sz="0" w:space="0" w:color="auto"/>
      </w:divBdr>
    </w:div>
    <w:div w:id="1168329759">
      <w:bodyDiv w:val="1"/>
      <w:marLeft w:val="0"/>
      <w:marRight w:val="0"/>
      <w:marTop w:val="0"/>
      <w:marBottom w:val="0"/>
      <w:divBdr>
        <w:top w:val="none" w:sz="0" w:space="0" w:color="auto"/>
        <w:left w:val="none" w:sz="0" w:space="0" w:color="auto"/>
        <w:bottom w:val="none" w:sz="0" w:space="0" w:color="auto"/>
        <w:right w:val="none" w:sz="0" w:space="0" w:color="auto"/>
      </w:divBdr>
    </w:div>
    <w:div w:id="1171211917">
      <w:bodyDiv w:val="1"/>
      <w:marLeft w:val="0"/>
      <w:marRight w:val="0"/>
      <w:marTop w:val="0"/>
      <w:marBottom w:val="0"/>
      <w:divBdr>
        <w:top w:val="none" w:sz="0" w:space="0" w:color="auto"/>
        <w:left w:val="none" w:sz="0" w:space="0" w:color="auto"/>
        <w:bottom w:val="none" w:sz="0" w:space="0" w:color="auto"/>
        <w:right w:val="none" w:sz="0" w:space="0" w:color="auto"/>
      </w:divBdr>
      <w:divsChild>
        <w:div w:id="871841750">
          <w:marLeft w:val="0"/>
          <w:marRight w:val="0"/>
          <w:marTop w:val="0"/>
          <w:marBottom w:val="0"/>
          <w:divBdr>
            <w:top w:val="none" w:sz="0" w:space="0" w:color="auto"/>
            <w:left w:val="none" w:sz="0" w:space="0" w:color="auto"/>
            <w:bottom w:val="none" w:sz="0" w:space="0" w:color="auto"/>
            <w:right w:val="none" w:sz="0" w:space="0" w:color="auto"/>
          </w:divBdr>
        </w:div>
        <w:div w:id="336421224">
          <w:marLeft w:val="0"/>
          <w:marRight w:val="0"/>
          <w:marTop w:val="0"/>
          <w:marBottom w:val="0"/>
          <w:divBdr>
            <w:top w:val="none" w:sz="0" w:space="0" w:color="auto"/>
            <w:left w:val="none" w:sz="0" w:space="0" w:color="auto"/>
            <w:bottom w:val="none" w:sz="0" w:space="0" w:color="auto"/>
            <w:right w:val="none" w:sz="0" w:space="0" w:color="auto"/>
          </w:divBdr>
        </w:div>
      </w:divsChild>
    </w:div>
    <w:div w:id="1189611076">
      <w:bodyDiv w:val="1"/>
      <w:marLeft w:val="0"/>
      <w:marRight w:val="0"/>
      <w:marTop w:val="0"/>
      <w:marBottom w:val="0"/>
      <w:divBdr>
        <w:top w:val="none" w:sz="0" w:space="0" w:color="auto"/>
        <w:left w:val="none" w:sz="0" w:space="0" w:color="auto"/>
        <w:bottom w:val="none" w:sz="0" w:space="0" w:color="auto"/>
        <w:right w:val="none" w:sz="0" w:space="0" w:color="auto"/>
      </w:divBdr>
    </w:div>
    <w:div w:id="1269310538">
      <w:bodyDiv w:val="1"/>
      <w:marLeft w:val="0"/>
      <w:marRight w:val="0"/>
      <w:marTop w:val="0"/>
      <w:marBottom w:val="0"/>
      <w:divBdr>
        <w:top w:val="none" w:sz="0" w:space="0" w:color="auto"/>
        <w:left w:val="none" w:sz="0" w:space="0" w:color="auto"/>
        <w:bottom w:val="none" w:sz="0" w:space="0" w:color="auto"/>
        <w:right w:val="none" w:sz="0" w:space="0" w:color="auto"/>
      </w:divBdr>
    </w:div>
    <w:div w:id="1323507987">
      <w:bodyDiv w:val="1"/>
      <w:marLeft w:val="0"/>
      <w:marRight w:val="0"/>
      <w:marTop w:val="0"/>
      <w:marBottom w:val="0"/>
      <w:divBdr>
        <w:top w:val="none" w:sz="0" w:space="0" w:color="auto"/>
        <w:left w:val="none" w:sz="0" w:space="0" w:color="auto"/>
        <w:bottom w:val="none" w:sz="0" w:space="0" w:color="auto"/>
        <w:right w:val="none" w:sz="0" w:space="0" w:color="auto"/>
      </w:divBdr>
    </w:div>
    <w:div w:id="1449811364">
      <w:bodyDiv w:val="1"/>
      <w:marLeft w:val="0"/>
      <w:marRight w:val="0"/>
      <w:marTop w:val="0"/>
      <w:marBottom w:val="0"/>
      <w:divBdr>
        <w:top w:val="none" w:sz="0" w:space="0" w:color="auto"/>
        <w:left w:val="none" w:sz="0" w:space="0" w:color="auto"/>
        <w:bottom w:val="none" w:sz="0" w:space="0" w:color="auto"/>
        <w:right w:val="none" w:sz="0" w:space="0" w:color="auto"/>
      </w:divBdr>
    </w:div>
    <w:div w:id="1586719699">
      <w:bodyDiv w:val="1"/>
      <w:marLeft w:val="0"/>
      <w:marRight w:val="0"/>
      <w:marTop w:val="0"/>
      <w:marBottom w:val="0"/>
      <w:divBdr>
        <w:top w:val="none" w:sz="0" w:space="0" w:color="auto"/>
        <w:left w:val="none" w:sz="0" w:space="0" w:color="auto"/>
        <w:bottom w:val="none" w:sz="0" w:space="0" w:color="auto"/>
        <w:right w:val="none" w:sz="0" w:space="0" w:color="auto"/>
      </w:divBdr>
    </w:div>
    <w:div w:id="1587375972">
      <w:bodyDiv w:val="1"/>
      <w:marLeft w:val="0"/>
      <w:marRight w:val="0"/>
      <w:marTop w:val="0"/>
      <w:marBottom w:val="0"/>
      <w:divBdr>
        <w:top w:val="none" w:sz="0" w:space="0" w:color="auto"/>
        <w:left w:val="none" w:sz="0" w:space="0" w:color="auto"/>
        <w:bottom w:val="none" w:sz="0" w:space="0" w:color="auto"/>
        <w:right w:val="none" w:sz="0" w:space="0" w:color="auto"/>
      </w:divBdr>
    </w:div>
    <w:div w:id="1610896759">
      <w:bodyDiv w:val="1"/>
      <w:marLeft w:val="0"/>
      <w:marRight w:val="0"/>
      <w:marTop w:val="0"/>
      <w:marBottom w:val="0"/>
      <w:divBdr>
        <w:top w:val="none" w:sz="0" w:space="0" w:color="auto"/>
        <w:left w:val="none" w:sz="0" w:space="0" w:color="auto"/>
        <w:bottom w:val="none" w:sz="0" w:space="0" w:color="auto"/>
        <w:right w:val="none" w:sz="0" w:space="0" w:color="auto"/>
      </w:divBdr>
    </w:div>
    <w:div w:id="1613901073">
      <w:bodyDiv w:val="1"/>
      <w:marLeft w:val="0"/>
      <w:marRight w:val="0"/>
      <w:marTop w:val="0"/>
      <w:marBottom w:val="0"/>
      <w:divBdr>
        <w:top w:val="none" w:sz="0" w:space="0" w:color="auto"/>
        <w:left w:val="none" w:sz="0" w:space="0" w:color="auto"/>
        <w:bottom w:val="none" w:sz="0" w:space="0" w:color="auto"/>
        <w:right w:val="none" w:sz="0" w:space="0" w:color="auto"/>
      </w:divBdr>
    </w:div>
    <w:div w:id="1614551207">
      <w:bodyDiv w:val="1"/>
      <w:marLeft w:val="0"/>
      <w:marRight w:val="0"/>
      <w:marTop w:val="0"/>
      <w:marBottom w:val="0"/>
      <w:divBdr>
        <w:top w:val="none" w:sz="0" w:space="0" w:color="auto"/>
        <w:left w:val="none" w:sz="0" w:space="0" w:color="auto"/>
        <w:bottom w:val="none" w:sz="0" w:space="0" w:color="auto"/>
        <w:right w:val="none" w:sz="0" w:space="0" w:color="auto"/>
      </w:divBdr>
    </w:div>
    <w:div w:id="1626233346">
      <w:bodyDiv w:val="1"/>
      <w:marLeft w:val="0"/>
      <w:marRight w:val="0"/>
      <w:marTop w:val="0"/>
      <w:marBottom w:val="0"/>
      <w:divBdr>
        <w:top w:val="none" w:sz="0" w:space="0" w:color="auto"/>
        <w:left w:val="none" w:sz="0" w:space="0" w:color="auto"/>
        <w:bottom w:val="none" w:sz="0" w:space="0" w:color="auto"/>
        <w:right w:val="none" w:sz="0" w:space="0" w:color="auto"/>
      </w:divBdr>
    </w:div>
    <w:div w:id="1761833109">
      <w:bodyDiv w:val="1"/>
      <w:marLeft w:val="0"/>
      <w:marRight w:val="0"/>
      <w:marTop w:val="0"/>
      <w:marBottom w:val="0"/>
      <w:divBdr>
        <w:top w:val="none" w:sz="0" w:space="0" w:color="auto"/>
        <w:left w:val="none" w:sz="0" w:space="0" w:color="auto"/>
        <w:bottom w:val="none" w:sz="0" w:space="0" w:color="auto"/>
        <w:right w:val="none" w:sz="0" w:space="0" w:color="auto"/>
      </w:divBdr>
    </w:div>
    <w:div w:id="1832599621">
      <w:bodyDiv w:val="1"/>
      <w:marLeft w:val="0"/>
      <w:marRight w:val="0"/>
      <w:marTop w:val="0"/>
      <w:marBottom w:val="0"/>
      <w:divBdr>
        <w:top w:val="none" w:sz="0" w:space="0" w:color="auto"/>
        <w:left w:val="none" w:sz="0" w:space="0" w:color="auto"/>
        <w:bottom w:val="none" w:sz="0" w:space="0" w:color="auto"/>
        <w:right w:val="none" w:sz="0" w:space="0" w:color="auto"/>
      </w:divBdr>
    </w:div>
    <w:div w:id="18523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E8D9-9BA8-482F-8C20-1B5D19F3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李仪</dc:creator>
  <cp:keywords/>
  <dc:description/>
  <cp:lastModifiedBy>ZHONGM</cp:lastModifiedBy>
  <cp:revision>2</cp:revision>
  <dcterms:created xsi:type="dcterms:W3CDTF">2026-05-18T16:01:00Z</dcterms:created>
  <dcterms:modified xsi:type="dcterms:W3CDTF">2026-05-18T16:01:00Z</dcterms:modified>
</cp:coreProperties>
</file>