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0D" w:rsidRDefault="00BE0C0D">
      <w:pPr>
        <w:jc w:val="center"/>
        <w:rPr>
          <w:rFonts w:hint="eastAsia"/>
          <w:b/>
          <w:sz w:val="24"/>
        </w:rPr>
      </w:pPr>
      <w:r>
        <w:rPr>
          <w:rFonts w:hint="eastAsia"/>
          <w:b/>
          <w:sz w:val="24"/>
        </w:rPr>
        <w:t>汇丰晋信基金管理有限公司关于新增万家财富为旗下开放式基金代销机构的公告</w:t>
      </w:r>
    </w:p>
    <w:p w:rsidR="00BE0C0D" w:rsidRDefault="00BE0C0D">
      <w:pPr>
        <w:spacing w:line="560" w:lineRule="exact"/>
        <w:jc w:val="center"/>
        <w:rPr>
          <w:color w:val="000000"/>
          <w:sz w:val="24"/>
        </w:rPr>
      </w:pPr>
    </w:p>
    <w:p w:rsidR="00BE0C0D" w:rsidRDefault="00BE0C0D">
      <w:pPr>
        <w:tabs>
          <w:tab w:val="left" w:pos="720"/>
        </w:tabs>
        <w:ind w:firstLineChars="200" w:firstLine="504"/>
        <w:rPr>
          <w:color w:val="000000"/>
          <w:sz w:val="24"/>
        </w:rPr>
      </w:pPr>
      <w:r>
        <w:rPr>
          <w:rFonts w:hint="eastAsia"/>
          <w:color w:val="000000"/>
          <w:sz w:val="24"/>
        </w:rPr>
        <w:t>根据汇丰晋信基金管理有限公司（以下简称“本公司”）与</w:t>
      </w:r>
      <w:r w:rsidR="009879D8" w:rsidRPr="009879D8">
        <w:rPr>
          <w:rFonts w:hint="eastAsia"/>
          <w:color w:val="000000"/>
          <w:sz w:val="24"/>
        </w:rPr>
        <w:t>万家财富基金销售（天津）有限公司</w:t>
      </w:r>
      <w:r>
        <w:rPr>
          <w:rFonts w:hint="eastAsia"/>
          <w:sz w:val="24"/>
        </w:rPr>
        <w:t>（以下简称“</w:t>
      </w:r>
      <w:r>
        <w:rPr>
          <w:color w:val="000000"/>
          <w:sz w:val="24"/>
        </w:rPr>
        <w:t>万家财富</w:t>
      </w:r>
      <w:r>
        <w:rPr>
          <w:rFonts w:hint="eastAsia"/>
          <w:sz w:val="24"/>
        </w:rPr>
        <w:t>”）</w:t>
      </w:r>
      <w:r>
        <w:rPr>
          <w:rFonts w:hint="eastAsia"/>
          <w:color w:val="000000"/>
          <w:sz w:val="24"/>
        </w:rPr>
        <w:t>签署的开放式基金销售服务代理协议，自</w:t>
      </w:r>
      <w:r>
        <w:rPr>
          <w:rFonts w:hint="eastAsia"/>
          <w:color w:val="000000"/>
          <w:sz w:val="24"/>
        </w:rPr>
        <w:t>2026</w:t>
      </w:r>
      <w:r>
        <w:rPr>
          <w:rFonts w:hint="eastAsia"/>
          <w:color w:val="000000"/>
          <w:sz w:val="24"/>
        </w:rPr>
        <w:t>年</w:t>
      </w:r>
      <w:r>
        <w:rPr>
          <w:rFonts w:hint="eastAsia"/>
          <w:color w:val="000000"/>
          <w:sz w:val="24"/>
        </w:rPr>
        <w:t>5</w:t>
      </w:r>
      <w:r>
        <w:rPr>
          <w:rFonts w:hint="eastAsia"/>
          <w:color w:val="000000"/>
          <w:sz w:val="24"/>
        </w:rPr>
        <w:t>月</w:t>
      </w:r>
      <w:r>
        <w:rPr>
          <w:color w:val="000000"/>
          <w:sz w:val="24"/>
        </w:rPr>
        <w:t>18</w:t>
      </w:r>
      <w:r>
        <w:rPr>
          <w:rFonts w:hint="eastAsia"/>
          <w:color w:val="000000"/>
          <w:sz w:val="24"/>
        </w:rPr>
        <w:t>日起，本公司新增</w:t>
      </w:r>
      <w:r>
        <w:rPr>
          <w:color w:val="000000"/>
          <w:sz w:val="24"/>
        </w:rPr>
        <w:t>万家财富</w:t>
      </w:r>
      <w:r>
        <w:rPr>
          <w:rFonts w:hint="eastAsia"/>
          <w:color w:val="000000"/>
          <w:sz w:val="24"/>
        </w:rPr>
        <w:t>为旗下部分开放式基金的销售机构。现将有关事宜公告如下：</w:t>
      </w:r>
    </w:p>
    <w:p w:rsidR="00BE0C0D" w:rsidRDefault="00BE0C0D">
      <w:pPr>
        <w:autoSpaceDE w:val="0"/>
        <w:autoSpaceDN w:val="0"/>
        <w:adjustRightInd w:val="0"/>
        <w:spacing w:before="240" w:line="360" w:lineRule="auto"/>
        <w:ind w:firstLineChars="236" w:firstLine="594"/>
        <w:jc w:val="left"/>
        <w:rPr>
          <w:rFonts w:ascii="宋体" w:hAnsi="宋体"/>
          <w:sz w:val="24"/>
        </w:rPr>
      </w:pPr>
      <w:r>
        <w:rPr>
          <w:rFonts w:ascii="宋体" w:hAnsi="宋体" w:hint="eastAsia"/>
          <w:sz w:val="24"/>
        </w:rPr>
        <w:t>一、适用基金范围</w:t>
      </w:r>
    </w:p>
    <w:p w:rsidR="00BE0C0D" w:rsidRDefault="00BE0C0D">
      <w:pPr>
        <w:ind w:firstLineChars="200" w:firstLine="504"/>
        <w:rPr>
          <w:color w:val="000000"/>
          <w:sz w:val="24"/>
        </w:rPr>
      </w:pPr>
      <w:r>
        <w:rPr>
          <w:rFonts w:hint="eastAsia"/>
          <w:color w:val="000000"/>
          <w:sz w:val="24"/>
        </w:rPr>
        <w:t>投资者可在</w:t>
      </w:r>
      <w:r>
        <w:rPr>
          <w:color w:val="000000"/>
          <w:sz w:val="24"/>
        </w:rPr>
        <w:t>万家财富</w:t>
      </w:r>
      <w:r>
        <w:rPr>
          <w:rFonts w:hint="eastAsia"/>
          <w:color w:val="000000"/>
          <w:sz w:val="24"/>
        </w:rPr>
        <w:t>进行</w:t>
      </w:r>
      <w:r>
        <w:rPr>
          <w:rFonts w:ascii="宋体" w:hAnsi="宋体" w:hint="eastAsia"/>
          <w:color w:val="000000"/>
          <w:sz w:val="24"/>
        </w:rPr>
        <w:t>旗下开放式基金</w:t>
      </w:r>
      <w:r>
        <w:rPr>
          <w:rFonts w:hint="eastAsia"/>
          <w:color w:val="000000"/>
          <w:sz w:val="24"/>
        </w:rPr>
        <w:t>的开户、申购、赎回及其他业务，具体办理程序应遵循</w:t>
      </w:r>
      <w:r>
        <w:rPr>
          <w:color w:val="000000"/>
          <w:sz w:val="24"/>
        </w:rPr>
        <w:t>万家财富</w:t>
      </w:r>
      <w:r>
        <w:rPr>
          <w:rFonts w:hint="eastAsia"/>
          <w:color w:val="000000"/>
          <w:sz w:val="24"/>
        </w:rPr>
        <w:t>的相关规定。</w:t>
      </w:r>
    </w:p>
    <w:tbl>
      <w:tblPr>
        <w:tblW w:w="487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5"/>
        <w:gridCol w:w="5448"/>
        <w:gridCol w:w="1782"/>
      </w:tblGrid>
      <w:tr w:rsidR="00BE0C0D">
        <w:trPr>
          <w:jc w:val="center"/>
        </w:trPr>
        <w:tc>
          <w:tcPr>
            <w:tcW w:w="857" w:type="pct"/>
            <w:vAlign w:val="center"/>
          </w:tcPr>
          <w:p w:rsidR="00BE0C0D" w:rsidRDefault="00BE0C0D">
            <w:pPr>
              <w:snapToGrid w:val="0"/>
              <w:spacing w:beforeLines="50" w:line="360" w:lineRule="auto"/>
              <w:jc w:val="center"/>
              <w:rPr>
                <w:b/>
                <w:color w:val="000000"/>
                <w:sz w:val="24"/>
              </w:rPr>
            </w:pPr>
            <w:r>
              <w:rPr>
                <w:rFonts w:hint="eastAsia"/>
                <w:b/>
                <w:color w:val="000000"/>
                <w:sz w:val="24"/>
              </w:rPr>
              <w:t>序号</w:t>
            </w:r>
          </w:p>
        </w:tc>
        <w:tc>
          <w:tcPr>
            <w:tcW w:w="3122" w:type="pct"/>
            <w:vAlign w:val="center"/>
          </w:tcPr>
          <w:p w:rsidR="00BE0C0D" w:rsidRDefault="00BE0C0D">
            <w:pPr>
              <w:snapToGrid w:val="0"/>
              <w:spacing w:beforeLines="50" w:line="360" w:lineRule="auto"/>
              <w:jc w:val="center"/>
              <w:rPr>
                <w:b/>
                <w:color w:val="000000"/>
                <w:sz w:val="24"/>
              </w:rPr>
            </w:pPr>
            <w:r>
              <w:rPr>
                <w:b/>
                <w:color w:val="000000"/>
                <w:sz w:val="24"/>
              </w:rPr>
              <w:t>基金名称</w:t>
            </w:r>
          </w:p>
        </w:tc>
        <w:tc>
          <w:tcPr>
            <w:tcW w:w="1021" w:type="pct"/>
            <w:vAlign w:val="center"/>
          </w:tcPr>
          <w:p w:rsidR="00BE0C0D" w:rsidRDefault="00BE0C0D">
            <w:pPr>
              <w:snapToGrid w:val="0"/>
              <w:spacing w:beforeLines="50" w:line="360" w:lineRule="auto"/>
              <w:jc w:val="center"/>
              <w:rPr>
                <w:rFonts w:hint="eastAsia"/>
                <w:b/>
                <w:color w:val="000000"/>
                <w:sz w:val="24"/>
              </w:rPr>
            </w:pPr>
            <w:r>
              <w:rPr>
                <w:rFonts w:hint="eastAsia"/>
                <w:b/>
                <w:color w:val="000000"/>
                <w:sz w:val="24"/>
              </w:rPr>
              <w:t>基金代码</w:t>
            </w:r>
          </w:p>
        </w:tc>
      </w:tr>
      <w:tr w:rsidR="00BE0C0D">
        <w:trPr>
          <w:jc w:val="center"/>
        </w:trPr>
        <w:tc>
          <w:tcPr>
            <w:tcW w:w="857" w:type="pct"/>
            <w:vAlign w:val="center"/>
          </w:tcPr>
          <w:p w:rsidR="00BE0C0D" w:rsidRDefault="00BE0C0D">
            <w:pPr>
              <w:snapToGrid w:val="0"/>
              <w:spacing w:beforeLines="50" w:line="360" w:lineRule="auto"/>
              <w:jc w:val="center"/>
              <w:rPr>
                <w:b/>
                <w:color w:val="000000"/>
                <w:szCs w:val="21"/>
              </w:rPr>
            </w:pPr>
            <w:r>
              <w:rPr>
                <w:rFonts w:eastAsia="等线"/>
                <w:color w:val="000000"/>
                <w:szCs w:val="21"/>
              </w:rPr>
              <w:t>1</w:t>
            </w:r>
          </w:p>
        </w:tc>
        <w:tc>
          <w:tcPr>
            <w:tcW w:w="3122" w:type="pct"/>
            <w:vAlign w:val="center"/>
          </w:tcPr>
          <w:p w:rsidR="00BE0C0D" w:rsidRDefault="00BE0C0D">
            <w:pPr>
              <w:snapToGrid w:val="0"/>
              <w:spacing w:beforeLines="50" w:line="360" w:lineRule="auto"/>
              <w:jc w:val="center"/>
              <w:rPr>
                <w:b/>
                <w:color w:val="000000"/>
                <w:sz w:val="24"/>
              </w:rPr>
            </w:pPr>
            <w:r>
              <w:rPr>
                <w:rFonts w:ascii="宋体" w:hAnsi="宋体" w:hint="eastAsia"/>
                <w:color w:val="000000"/>
                <w:szCs w:val="21"/>
              </w:rPr>
              <w:t xml:space="preserve">汇丰晋信 2016 生命周期开放式证券投资基金 </w:t>
            </w:r>
            <w:r>
              <w:rPr>
                <w:rFonts w:ascii="宋体" w:hAnsi="宋体"/>
                <w:color w:val="000000"/>
                <w:szCs w:val="21"/>
              </w:rPr>
              <w:t>A</w:t>
            </w:r>
            <w:r>
              <w:rPr>
                <w:rFonts w:ascii="宋体" w:hAnsi="宋体" w:hint="eastAsia"/>
                <w:color w:val="000000"/>
                <w:szCs w:val="21"/>
              </w:rPr>
              <w:t>类</w:t>
            </w:r>
          </w:p>
        </w:tc>
        <w:tc>
          <w:tcPr>
            <w:tcW w:w="1021" w:type="pct"/>
            <w:vAlign w:val="center"/>
          </w:tcPr>
          <w:p w:rsidR="00BE0C0D" w:rsidRDefault="00BE0C0D">
            <w:pPr>
              <w:snapToGrid w:val="0"/>
              <w:spacing w:beforeLines="50" w:line="360" w:lineRule="auto"/>
              <w:jc w:val="center"/>
              <w:rPr>
                <w:rFonts w:hint="eastAsia"/>
                <w:b/>
                <w:color w:val="000000"/>
                <w:sz w:val="24"/>
              </w:rPr>
            </w:pPr>
            <w:r>
              <w:rPr>
                <w:rFonts w:ascii="宋体" w:hAnsi="宋体" w:hint="eastAsia"/>
                <w:color w:val="000000"/>
                <w:szCs w:val="21"/>
              </w:rPr>
              <w:t>540001</w:t>
            </w:r>
          </w:p>
        </w:tc>
      </w:tr>
      <w:tr w:rsidR="00BE0C0D">
        <w:trPr>
          <w:jc w:val="center"/>
        </w:trPr>
        <w:tc>
          <w:tcPr>
            <w:tcW w:w="857" w:type="pct"/>
            <w:vAlign w:val="center"/>
          </w:tcPr>
          <w:p w:rsidR="00BE0C0D" w:rsidRDefault="00BE0C0D">
            <w:pPr>
              <w:snapToGrid w:val="0"/>
              <w:spacing w:beforeLines="50" w:line="360" w:lineRule="auto"/>
              <w:jc w:val="center"/>
              <w:rPr>
                <w:color w:val="000000"/>
                <w:szCs w:val="21"/>
              </w:rPr>
            </w:pPr>
            <w:r>
              <w:rPr>
                <w:rFonts w:eastAsia="等线"/>
                <w:color w:val="000000"/>
                <w:szCs w:val="21"/>
              </w:rPr>
              <w:t>2</w:t>
            </w:r>
          </w:p>
        </w:tc>
        <w:tc>
          <w:tcPr>
            <w:tcW w:w="3122" w:type="pct"/>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 2016 生命周期开放式证券投资基金 C 类</w:t>
            </w:r>
          </w:p>
        </w:tc>
        <w:tc>
          <w:tcPr>
            <w:tcW w:w="1021" w:type="pct"/>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019242</w:t>
            </w:r>
          </w:p>
        </w:tc>
      </w:tr>
      <w:tr w:rsidR="00BE0C0D">
        <w:trPr>
          <w:jc w:val="center"/>
        </w:trPr>
        <w:tc>
          <w:tcPr>
            <w:tcW w:w="857" w:type="pct"/>
            <w:vAlign w:val="center"/>
          </w:tcPr>
          <w:p w:rsidR="00BE0C0D" w:rsidRDefault="00BE0C0D">
            <w:pPr>
              <w:snapToGrid w:val="0"/>
              <w:spacing w:beforeLines="50" w:line="360" w:lineRule="auto"/>
              <w:jc w:val="center"/>
              <w:rPr>
                <w:rFonts w:eastAsia="等线"/>
                <w:color w:val="000000"/>
                <w:szCs w:val="21"/>
              </w:rPr>
            </w:pPr>
            <w:r>
              <w:rPr>
                <w:rFonts w:eastAsia="等线"/>
                <w:color w:val="000000"/>
                <w:szCs w:val="21"/>
              </w:rPr>
              <w:t>3</w:t>
            </w:r>
          </w:p>
        </w:tc>
        <w:tc>
          <w:tcPr>
            <w:tcW w:w="3122" w:type="pct"/>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 2016 生命周期开放式证券投资基金 D类</w:t>
            </w:r>
          </w:p>
        </w:tc>
        <w:tc>
          <w:tcPr>
            <w:tcW w:w="1021" w:type="pct"/>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023667</w:t>
            </w:r>
          </w:p>
        </w:tc>
      </w:tr>
      <w:tr w:rsidR="00BE0C0D">
        <w:trPr>
          <w:jc w:val="center"/>
        </w:trPr>
        <w:tc>
          <w:tcPr>
            <w:tcW w:w="857" w:type="pct"/>
            <w:vAlign w:val="center"/>
          </w:tcPr>
          <w:p w:rsidR="00BE0C0D" w:rsidRDefault="00BE0C0D">
            <w:pPr>
              <w:snapToGrid w:val="0"/>
              <w:spacing w:beforeLines="50" w:line="360" w:lineRule="auto"/>
              <w:jc w:val="center"/>
              <w:rPr>
                <w:color w:val="000000"/>
                <w:szCs w:val="21"/>
              </w:rPr>
            </w:pPr>
            <w:r>
              <w:rPr>
                <w:rFonts w:eastAsia="等线"/>
                <w:color w:val="000000"/>
                <w:szCs w:val="21"/>
              </w:rPr>
              <w:t>4</w:t>
            </w:r>
          </w:p>
        </w:tc>
        <w:tc>
          <w:tcPr>
            <w:tcW w:w="3122" w:type="pct"/>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汇丰晋信龙腾混合型证券投资基金</w:t>
            </w:r>
            <w:r>
              <w:rPr>
                <w:rFonts w:ascii="宋体" w:hAnsi="宋体"/>
                <w:color w:val="000000"/>
                <w:szCs w:val="21"/>
              </w:rPr>
              <w:t>A</w:t>
            </w:r>
            <w:r>
              <w:rPr>
                <w:rFonts w:ascii="宋体" w:hAnsi="宋体" w:hint="eastAsia"/>
                <w:color w:val="000000"/>
                <w:szCs w:val="21"/>
              </w:rPr>
              <w:t>类</w:t>
            </w:r>
          </w:p>
        </w:tc>
        <w:tc>
          <w:tcPr>
            <w:tcW w:w="1021" w:type="pct"/>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540002</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汇丰晋信龙腾混合型证券投资基金</w:t>
            </w:r>
            <w:r>
              <w:rPr>
                <w:rFonts w:ascii="宋体" w:hAnsi="宋体"/>
                <w:color w:val="000000"/>
                <w:szCs w:val="21"/>
              </w:rPr>
              <w:t>C</w:t>
            </w:r>
            <w:r>
              <w:rPr>
                <w:rFonts w:ascii="宋体" w:hAnsi="宋体" w:hint="eastAsia"/>
                <w:color w:val="000000"/>
                <w:szCs w:val="21"/>
              </w:rPr>
              <w:t>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019244</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6</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汇丰晋信动态策略混合型证券投资基金A类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540003</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7</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汇丰晋信动态策略混合型证券投资基金C类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016335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lastRenderedPageBreak/>
              <w:t>8</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hyperlink r:id="rId6" w:tgtFrame="_blank" w:history="1">
              <w:r>
                <w:rPr>
                  <w:rFonts w:ascii="宋体" w:hAnsi="宋体" w:hint="eastAsia"/>
                  <w:color w:val="000000"/>
                  <w:szCs w:val="21"/>
                </w:rPr>
                <w:t>汇丰晋信2026生命周期证券投资基金</w:t>
              </w:r>
            </w:hyperlink>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540004</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9</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汇丰晋信平稳增利中短债债券型证券投资基金A类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540005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10</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汇丰晋信平稳增利中短债债券型证券投资基金C类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541005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11</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汇丰晋信平稳增利中短债债券型证券投资基金</w:t>
            </w:r>
            <w:r>
              <w:rPr>
                <w:rFonts w:ascii="宋体" w:hAnsi="宋体"/>
                <w:color w:val="000000"/>
                <w:szCs w:val="21"/>
              </w:rPr>
              <w:t>D</w:t>
            </w:r>
            <w:r>
              <w:rPr>
                <w:rFonts w:ascii="宋体" w:hAnsi="宋体" w:hint="eastAsia"/>
                <w:color w:val="000000"/>
                <w:szCs w:val="21"/>
              </w:rPr>
              <w:t>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021226</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12</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汇丰晋信大盘股票型证券投资基金</w:t>
            </w:r>
            <w:r>
              <w:rPr>
                <w:rFonts w:ascii="宋体" w:hAnsi="宋体"/>
                <w:color w:val="000000"/>
                <w:szCs w:val="21"/>
              </w:rPr>
              <w:t>A</w:t>
            </w:r>
            <w:r>
              <w:rPr>
                <w:rFonts w:ascii="宋体" w:hAnsi="宋体" w:hint="eastAsia"/>
                <w:color w:val="000000"/>
                <w:szCs w:val="21"/>
              </w:rPr>
              <w:t>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540006</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13</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汇丰晋信大盘股票型证券投资基金</w:t>
            </w:r>
            <w:r>
              <w:rPr>
                <w:rFonts w:ascii="宋体" w:hAnsi="宋体"/>
                <w:color w:val="000000"/>
                <w:szCs w:val="21"/>
              </w:rPr>
              <w:t>C</w:t>
            </w:r>
            <w:r>
              <w:rPr>
                <w:rFonts w:ascii="宋体" w:hAnsi="宋体" w:hint="eastAsia"/>
                <w:color w:val="000000"/>
                <w:szCs w:val="21"/>
              </w:rPr>
              <w:t>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019243</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14</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汇丰晋信中小盘股票型证券投资基金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540007</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15</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汇丰晋信低碳先锋股票型证券投资基金A类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540008</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16</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汇丰晋信低碳先锋股票型证券投资基金C类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013511</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17</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汇丰晋信消费红利股票型证券投资基金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540009</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18</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汇丰晋信科技先锋股票型证券投资基金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540010</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19</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汇丰晋信货币市场基金A类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540011</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20</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汇丰晋信货币市场基金B类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541011</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21</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汇丰晋信恒生A股行业龙头指数证券投资基金A类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540012</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22</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汇丰晋信恒生A股行业龙头指数证券投资基金C类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001149</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23</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汇丰晋信双核策略混合型证券投资基金A类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000849</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24</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汇丰晋信双核策略混合型证券投资基金C类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000850</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25</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汇丰晋信新动力混合型证券投资基金A类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000965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26</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汇丰晋信新动力混合型证券投资基金</w:t>
            </w:r>
            <w:r>
              <w:rPr>
                <w:rFonts w:ascii="宋体" w:hAnsi="宋体"/>
                <w:color w:val="000000"/>
                <w:szCs w:val="21"/>
              </w:rPr>
              <w:t>C</w:t>
            </w:r>
            <w:r>
              <w:rPr>
                <w:rFonts w:ascii="宋体" w:hAnsi="宋体" w:hint="eastAsia"/>
                <w:color w:val="000000"/>
                <w:szCs w:val="21"/>
              </w:rPr>
              <w:t>类</w:t>
            </w:r>
          </w:p>
        </w:tc>
        <w:tc>
          <w:tcPr>
            <w:tcW w:w="1021" w:type="pct"/>
            <w:tcBorders>
              <w:top w:val="nil"/>
              <w:left w:val="nil"/>
              <w:bottom w:val="single" w:sz="4" w:space="0" w:color="auto"/>
              <w:right w:val="single" w:sz="4" w:space="0" w:color="auto"/>
            </w:tcBorders>
            <w:vAlign w:val="center"/>
          </w:tcPr>
          <w:p w:rsidR="00BE0C0D" w:rsidRDefault="00BE0C0D">
            <w:pPr>
              <w:widowControl/>
              <w:snapToGrid w:val="0"/>
              <w:spacing w:beforeLines="50" w:line="360" w:lineRule="auto"/>
              <w:jc w:val="center"/>
              <w:rPr>
                <w:rFonts w:ascii="宋体" w:hAnsi="宋体" w:hint="eastAsia"/>
                <w:color w:val="000000"/>
                <w:szCs w:val="21"/>
              </w:rPr>
            </w:pPr>
            <w:r>
              <w:rPr>
                <w:rFonts w:ascii="宋体" w:hAnsi="宋体" w:hint="eastAsia"/>
                <w:color w:val="000000"/>
                <w:szCs w:val="21"/>
              </w:rPr>
              <w:t>020503</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27</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汇丰晋信智造先锋股票型证券投资基金A类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001643</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28</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汇丰晋信智造先锋股票型证券投资基金C类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001644</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29</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汇丰晋信沪港深股票型证券投资基金A类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002332</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30</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汇丰晋信沪港深股票型证券投资基金C类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002333</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31</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汇丰晋信大盘波动精选股票型证券投资基金A类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002334</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32</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汇丰晋信大盘波动精选股票型证券投资基金C类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002335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33</w:t>
            </w:r>
          </w:p>
        </w:tc>
        <w:tc>
          <w:tcPr>
            <w:tcW w:w="3122" w:type="pct"/>
            <w:tcBorders>
              <w:top w:val="nil"/>
              <w:left w:val="nil"/>
              <w:bottom w:val="single" w:sz="4" w:space="0" w:color="auto"/>
              <w:right w:val="single" w:sz="4" w:space="0" w:color="auto"/>
            </w:tcBorders>
            <w:vAlign w:val="center"/>
          </w:tcPr>
          <w:p w:rsidR="00BE0C0D" w:rsidRDefault="00BE0C0D">
            <w:pPr>
              <w:widowControl/>
              <w:snapToGrid w:val="0"/>
              <w:spacing w:beforeLines="50" w:line="360" w:lineRule="auto"/>
              <w:jc w:val="center"/>
              <w:rPr>
                <w:rFonts w:ascii="宋体" w:hAnsi="宋体"/>
                <w:color w:val="000000"/>
                <w:szCs w:val="21"/>
              </w:rPr>
            </w:pPr>
            <w:r>
              <w:rPr>
                <w:rFonts w:ascii="宋体" w:hAnsi="宋体" w:hint="eastAsia"/>
                <w:color w:val="000000"/>
                <w:szCs w:val="21"/>
              </w:rPr>
              <w:t>汇丰晋信价值先锋股票型证券投资基金A类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004350</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34</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汇丰晋信价值先锋股票型证券投资基金C类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015364</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35</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汇丰晋信珠三角区域发展混合型证券投资基金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004351</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36</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汇丰晋信港股通精选股票型证券投资基金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006781</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37</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汇丰晋信港股通双核策略混合型证券投资基金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007291</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38</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汇丰晋信慧盈混合型证券投资基金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009475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39</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汇丰晋信中小盘低波动策略股票型证券投资基金A类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009658</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40</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汇丰晋信中小盘低波动策略股票型证券投资基金C类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009775</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41</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汇丰晋信创新先锋股票型证券投资基金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color w:val="000000"/>
                <w:szCs w:val="21"/>
              </w:rPr>
              <w:t>011077</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42</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汇丰晋信核心成长混合型证券投资基金A类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011578</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43</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汇丰晋信核心成长混合型证券投资基金C类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011579</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44</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汇丰晋信医疗先锋混合型证券投资基金A类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012358</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45</w:t>
            </w:r>
          </w:p>
        </w:tc>
        <w:tc>
          <w:tcPr>
            <w:tcW w:w="3122"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汇丰晋信医疗先锋混合型证券投资基金C类</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012359</w:t>
            </w:r>
          </w:p>
        </w:tc>
      </w:tr>
      <w:tr w:rsidR="00BE0C0D">
        <w:trPr>
          <w:jc w:val="center"/>
        </w:trPr>
        <w:tc>
          <w:tcPr>
            <w:tcW w:w="857" w:type="pct"/>
            <w:tcBorders>
              <w:top w:val="nil"/>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46</w:t>
            </w:r>
          </w:p>
        </w:tc>
        <w:tc>
          <w:tcPr>
            <w:tcW w:w="3122" w:type="pct"/>
            <w:tcBorders>
              <w:top w:val="nil"/>
              <w:left w:val="nil"/>
              <w:bottom w:val="single" w:sz="4" w:space="0" w:color="auto"/>
              <w:right w:val="single" w:sz="4" w:space="0" w:color="auto"/>
            </w:tcBorders>
            <w:vAlign w:val="center"/>
          </w:tcPr>
          <w:p w:rsidR="00BE0C0D" w:rsidRDefault="00BE0C0D">
            <w:pPr>
              <w:widowControl/>
              <w:snapToGrid w:val="0"/>
              <w:spacing w:beforeLines="50" w:line="360" w:lineRule="auto"/>
              <w:jc w:val="center"/>
              <w:rPr>
                <w:rFonts w:ascii="宋体" w:hAnsi="宋体"/>
                <w:color w:val="000000"/>
                <w:szCs w:val="21"/>
              </w:rPr>
            </w:pPr>
            <w:r>
              <w:rPr>
                <w:rFonts w:ascii="宋体" w:hAnsi="宋体" w:hint="eastAsia"/>
                <w:color w:val="000000"/>
                <w:szCs w:val="21"/>
              </w:rPr>
              <w:t>汇丰晋信研究精选混合型证券投资基金</w:t>
            </w:r>
          </w:p>
        </w:tc>
        <w:tc>
          <w:tcPr>
            <w:tcW w:w="1021" w:type="pct"/>
            <w:tcBorders>
              <w:top w:val="nil"/>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014423</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47</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汇丰晋信慧悦混合型证券投资基金</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013824</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48</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汇丰晋信时代先锋混合型证券投资基金A类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014917</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49</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汇丰晋信时代先锋混合型证券投资基金C类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014918</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50</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汇丰晋信丰盈债券型证券投资基金A类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014443</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51</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汇丰晋信丰盈债券型证券投资基金C类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014444</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52</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汇丰晋信策略优选混合型证券投资基金A类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016174</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53</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汇丰晋信策略优选混合型证券投资基金C类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016175</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54</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汇丰晋信龙头优势混合型证券投资基金A类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016285</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55</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汇丰晋信龙头优势混合型证券投资基金</w:t>
            </w:r>
            <w:r>
              <w:rPr>
                <w:rFonts w:ascii="宋体" w:hAnsi="宋体"/>
                <w:color w:val="000000"/>
                <w:szCs w:val="21"/>
              </w:rPr>
              <w:t>C</w:t>
            </w:r>
            <w:r>
              <w:rPr>
                <w:rFonts w:ascii="宋体" w:hAnsi="宋体" w:hint="eastAsia"/>
                <w:color w:val="000000"/>
                <w:szCs w:val="21"/>
              </w:rPr>
              <w:t>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color w:val="000000"/>
                <w:szCs w:val="21"/>
              </w:rPr>
              <w:t>016286</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56</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汇丰晋信中证同业存单AAA指数7天持有期证券投资基金</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019017</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57</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汇丰晋信慧鑫六个月持有期债券型证券投资基金A类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019673</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58</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汇丰晋信慧鑫六个月持有期债券型证券投资基金C类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019674</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59</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汇丰晋信养老目标日期2036一年持有期混合型基金中基金(FOF)A类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020230</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60</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汇丰晋信绿色债券型证券投资基金A类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022479</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61</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汇丰晋信绿色债券型证券投资基金C类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color w:val="000000"/>
                <w:szCs w:val="21"/>
              </w:rPr>
            </w:pPr>
            <w:r>
              <w:rPr>
                <w:rFonts w:ascii="宋体" w:hAnsi="宋体" w:hint="eastAsia"/>
                <w:color w:val="000000"/>
                <w:szCs w:val="21"/>
              </w:rPr>
              <w:t>022480</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62</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汇丰晋信景气优选混合型证券投资基金A类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022195</w:t>
            </w:r>
          </w:p>
        </w:tc>
      </w:tr>
      <w:tr w:rsidR="00BE0C0D">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BE0C0D" w:rsidRDefault="00BE0C0D">
            <w:pPr>
              <w:snapToGrid w:val="0"/>
              <w:spacing w:beforeLines="50" w:line="360" w:lineRule="auto"/>
              <w:jc w:val="center"/>
              <w:rPr>
                <w:color w:val="000000"/>
                <w:szCs w:val="21"/>
              </w:rPr>
            </w:pPr>
            <w:r>
              <w:rPr>
                <w:rFonts w:eastAsia="等线"/>
                <w:color w:val="000000"/>
                <w:szCs w:val="21"/>
              </w:rPr>
              <w:t>63</w:t>
            </w:r>
          </w:p>
        </w:tc>
        <w:tc>
          <w:tcPr>
            <w:tcW w:w="3122"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汇丰晋信景气优选混合型证券投资基金C类</w:t>
            </w:r>
          </w:p>
        </w:tc>
        <w:tc>
          <w:tcPr>
            <w:tcW w:w="1021" w:type="pct"/>
            <w:tcBorders>
              <w:top w:val="single" w:sz="4" w:space="0" w:color="auto"/>
              <w:left w:val="nil"/>
              <w:bottom w:val="single" w:sz="4" w:space="0" w:color="auto"/>
              <w:right w:val="single" w:sz="4" w:space="0" w:color="auto"/>
            </w:tcBorders>
            <w:vAlign w:val="center"/>
          </w:tcPr>
          <w:p w:rsidR="00BE0C0D" w:rsidRDefault="00BE0C0D">
            <w:pPr>
              <w:snapToGrid w:val="0"/>
              <w:spacing w:beforeLines="50" w:line="360" w:lineRule="auto"/>
              <w:jc w:val="center"/>
              <w:rPr>
                <w:rFonts w:ascii="宋体" w:hAnsi="宋体" w:hint="eastAsia"/>
                <w:color w:val="000000"/>
                <w:szCs w:val="21"/>
              </w:rPr>
            </w:pPr>
            <w:r>
              <w:rPr>
                <w:rFonts w:ascii="宋体" w:hAnsi="宋体" w:hint="eastAsia"/>
                <w:color w:val="000000"/>
                <w:szCs w:val="21"/>
              </w:rPr>
              <w:t>022196</w:t>
            </w:r>
          </w:p>
        </w:tc>
      </w:tr>
      <w:tr w:rsidR="001C5665" w:rsidTr="00655EA8">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1C5665" w:rsidRDefault="001C5665" w:rsidP="001C5665">
            <w:pPr>
              <w:snapToGrid w:val="0"/>
              <w:spacing w:beforeLines="50" w:line="360" w:lineRule="auto"/>
              <w:jc w:val="center"/>
              <w:rPr>
                <w:rFonts w:eastAsia="等线"/>
                <w:color w:val="000000"/>
                <w:szCs w:val="21"/>
              </w:rPr>
            </w:pPr>
            <w:r>
              <w:rPr>
                <w:rFonts w:eastAsia="等线"/>
                <w:color w:val="000000"/>
                <w:szCs w:val="21"/>
              </w:rPr>
              <w:t>64</w:t>
            </w:r>
          </w:p>
        </w:tc>
        <w:tc>
          <w:tcPr>
            <w:tcW w:w="3122" w:type="pct"/>
            <w:tcBorders>
              <w:top w:val="single" w:sz="4" w:space="0" w:color="auto"/>
              <w:left w:val="nil"/>
              <w:bottom w:val="single" w:sz="4" w:space="0" w:color="auto"/>
              <w:right w:val="single" w:sz="4" w:space="0" w:color="auto"/>
            </w:tcBorders>
          </w:tcPr>
          <w:p w:rsidR="001C5665" w:rsidRDefault="001C5665" w:rsidP="001C5665">
            <w:pPr>
              <w:snapToGrid w:val="0"/>
              <w:spacing w:beforeLines="50" w:line="360" w:lineRule="auto"/>
              <w:jc w:val="center"/>
              <w:rPr>
                <w:rFonts w:ascii="宋体" w:hAnsi="宋体" w:hint="eastAsia"/>
                <w:color w:val="000000"/>
                <w:szCs w:val="21"/>
              </w:rPr>
            </w:pPr>
            <w:r>
              <w:rPr>
                <w:rFonts w:hint="eastAsia"/>
              </w:rPr>
              <w:t>汇丰晋信港股通核心资产股票型发起式证券投资基金</w:t>
            </w:r>
            <w:r>
              <w:rPr>
                <w:rFonts w:hint="eastAsia"/>
              </w:rPr>
              <w:t>A</w:t>
            </w:r>
            <w:r>
              <w:rPr>
                <w:rFonts w:hint="eastAsia"/>
              </w:rPr>
              <w:t>类</w:t>
            </w:r>
          </w:p>
        </w:tc>
        <w:tc>
          <w:tcPr>
            <w:tcW w:w="1021" w:type="pct"/>
            <w:tcBorders>
              <w:top w:val="single" w:sz="4" w:space="0" w:color="auto"/>
              <w:left w:val="nil"/>
              <w:bottom w:val="single" w:sz="4" w:space="0" w:color="auto"/>
              <w:right w:val="single" w:sz="4" w:space="0" w:color="auto"/>
            </w:tcBorders>
            <w:vAlign w:val="center"/>
          </w:tcPr>
          <w:p w:rsidR="001C5665" w:rsidRDefault="007943DF"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012360</w:t>
            </w:r>
          </w:p>
        </w:tc>
      </w:tr>
      <w:tr w:rsidR="001C5665" w:rsidTr="00655EA8">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1C5665" w:rsidRDefault="001C5665" w:rsidP="001C5665">
            <w:pPr>
              <w:snapToGrid w:val="0"/>
              <w:spacing w:beforeLines="50" w:line="360" w:lineRule="auto"/>
              <w:jc w:val="center"/>
              <w:rPr>
                <w:rFonts w:eastAsia="等线"/>
                <w:color w:val="000000"/>
                <w:szCs w:val="21"/>
              </w:rPr>
            </w:pPr>
            <w:r>
              <w:rPr>
                <w:rFonts w:eastAsia="等线" w:hint="eastAsia"/>
                <w:color w:val="000000"/>
                <w:szCs w:val="21"/>
              </w:rPr>
              <w:t>65</w:t>
            </w:r>
          </w:p>
        </w:tc>
        <w:tc>
          <w:tcPr>
            <w:tcW w:w="3122" w:type="pct"/>
            <w:tcBorders>
              <w:top w:val="single" w:sz="4" w:space="0" w:color="auto"/>
              <w:left w:val="nil"/>
              <w:bottom w:val="single" w:sz="4" w:space="0" w:color="auto"/>
              <w:right w:val="single" w:sz="4" w:space="0" w:color="auto"/>
            </w:tcBorders>
          </w:tcPr>
          <w:p w:rsidR="001C5665" w:rsidRDefault="001C5665" w:rsidP="001C5665">
            <w:pPr>
              <w:snapToGrid w:val="0"/>
              <w:spacing w:beforeLines="50" w:line="360" w:lineRule="auto"/>
              <w:jc w:val="center"/>
              <w:rPr>
                <w:rFonts w:ascii="宋体" w:hAnsi="宋体" w:hint="eastAsia"/>
                <w:color w:val="000000"/>
                <w:szCs w:val="21"/>
              </w:rPr>
            </w:pPr>
            <w:r>
              <w:rPr>
                <w:rFonts w:hint="eastAsia"/>
              </w:rPr>
              <w:t>汇丰晋信港股通核心资产股票型发起式证券投资基金</w:t>
            </w:r>
            <w:r>
              <w:rPr>
                <w:rFonts w:hint="eastAsia"/>
              </w:rPr>
              <w:t>C</w:t>
            </w:r>
            <w:r>
              <w:rPr>
                <w:rFonts w:hint="eastAsia"/>
              </w:rPr>
              <w:t>类</w:t>
            </w:r>
          </w:p>
        </w:tc>
        <w:tc>
          <w:tcPr>
            <w:tcW w:w="1021" w:type="pct"/>
            <w:tcBorders>
              <w:top w:val="single" w:sz="4" w:space="0" w:color="auto"/>
              <w:left w:val="nil"/>
              <w:bottom w:val="single" w:sz="4" w:space="0" w:color="auto"/>
              <w:right w:val="single" w:sz="4" w:space="0" w:color="auto"/>
            </w:tcBorders>
            <w:vAlign w:val="center"/>
          </w:tcPr>
          <w:p w:rsidR="001C5665" w:rsidRDefault="007943DF"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012361</w:t>
            </w:r>
          </w:p>
        </w:tc>
      </w:tr>
      <w:tr w:rsidR="001C5665">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1C5665" w:rsidRDefault="001C5665" w:rsidP="001C5665">
            <w:pPr>
              <w:snapToGrid w:val="0"/>
              <w:spacing w:beforeLines="50" w:line="360" w:lineRule="auto"/>
              <w:jc w:val="center"/>
              <w:rPr>
                <w:color w:val="000000"/>
                <w:szCs w:val="21"/>
              </w:rPr>
            </w:pPr>
            <w:r>
              <w:rPr>
                <w:rFonts w:eastAsia="等线" w:hint="eastAsia"/>
                <w:color w:val="000000"/>
                <w:szCs w:val="21"/>
              </w:rPr>
              <w:t>66</w:t>
            </w:r>
          </w:p>
        </w:tc>
        <w:tc>
          <w:tcPr>
            <w:tcW w:w="3122"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color w:val="000000"/>
                <w:szCs w:val="21"/>
              </w:rPr>
            </w:pPr>
            <w:r>
              <w:rPr>
                <w:rFonts w:ascii="宋体" w:hAnsi="宋体" w:hint="eastAsia"/>
                <w:color w:val="000000"/>
                <w:szCs w:val="21"/>
              </w:rPr>
              <w:t>汇丰晋信多元稳健配置3个月持有期混合型基金中基金（FOF）A类</w:t>
            </w:r>
          </w:p>
        </w:tc>
        <w:tc>
          <w:tcPr>
            <w:tcW w:w="1021"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color w:val="000000"/>
                <w:szCs w:val="21"/>
              </w:rPr>
            </w:pPr>
            <w:r>
              <w:rPr>
                <w:rFonts w:ascii="宋体" w:hAnsi="宋体" w:hint="eastAsia"/>
                <w:color w:val="000000"/>
                <w:szCs w:val="21"/>
              </w:rPr>
              <w:t>025972</w:t>
            </w:r>
          </w:p>
        </w:tc>
      </w:tr>
      <w:tr w:rsidR="001C5665">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1C5665" w:rsidRDefault="001C5665" w:rsidP="001C5665">
            <w:pPr>
              <w:snapToGrid w:val="0"/>
              <w:spacing w:beforeLines="50" w:line="360" w:lineRule="auto"/>
              <w:jc w:val="center"/>
              <w:rPr>
                <w:color w:val="000000"/>
                <w:szCs w:val="21"/>
              </w:rPr>
            </w:pPr>
            <w:r>
              <w:rPr>
                <w:rFonts w:eastAsia="等线" w:hint="eastAsia"/>
                <w:color w:val="000000"/>
                <w:szCs w:val="21"/>
              </w:rPr>
              <w:t>67</w:t>
            </w:r>
          </w:p>
        </w:tc>
        <w:tc>
          <w:tcPr>
            <w:tcW w:w="3122"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汇丰晋信多元稳健配置3个月持有期混合型基金中基金（FOF）C类</w:t>
            </w:r>
          </w:p>
        </w:tc>
        <w:tc>
          <w:tcPr>
            <w:tcW w:w="1021"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025973</w:t>
            </w:r>
          </w:p>
        </w:tc>
      </w:tr>
      <w:tr w:rsidR="001C5665">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1C5665" w:rsidRDefault="001C5665" w:rsidP="001C5665">
            <w:pPr>
              <w:snapToGrid w:val="0"/>
              <w:spacing w:beforeLines="50" w:line="360" w:lineRule="auto"/>
              <w:jc w:val="center"/>
              <w:rPr>
                <w:rFonts w:eastAsia="等线" w:hint="eastAsia"/>
                <w:color w:val="000000"/>
                <w:szCs w:val="21"/>
              </w:rPr>
            </w:pPr>
            <w:r>
              <w:rPr>
                <w:rFonts w:eastAsia="等线" w:hint="eastAsia"/>
                <w:color w:val="000000"/>
                <w:szCs w:val="21"/>
              </w:rPr>
              <w:t>68</w:t>
            </w:r>
          </w:p>
        </w:tc>
        <w:tc>
          <w:tcPr>
            <w:tcW w:w="3122"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汇丰晋信周期优选股票型证券投资基金A类</w:t>
            </w:r>
          </w:p>
        </w:tc>
        <w:tc>
          <w:tcPr>
            <w:tcW w:w="1021"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026124</w:t>
            </w:r>
          </w:p>
        </w:tc>
      </w:tr>
      <w:tr w:rsidR="001C5665">
        <w:trPr>
          <w:jc w:val="center"/>
        </w:trPr>
        <w:tc>
          <w:tcPr>
            <w:tcW w:w="857" w:type="pct"/>
            <w:tcBorders>
              <w:top w:val="single" w:sz="4" w:space="0" w:color="auto"/>
              <w:left w:val="single" w:sz="4" w:space="0" w:color="auto"/>
              <w:bottom w:val="single" w:sz="4" w:space="0" w:color="auto"/>
              <w:right w:val="single" w:sz="4" w:space="0" w:color="auto"/>
            </w:tcBorders>
            <w:vAlign w:val="center"/>
          </w:tcPr>
          <w:p w:rsidR="001C5665" w:rsidRDefault="001C5665" w:rsidP="001C5665">
            <w:pPr>
              <w:snapToGrid w:val="0"/>
              <w:spacing w:beforeLines="50" w:line="360" w:lineRule="auto"/>
              <w:jc w:val="center"/>
              <w:rPr>
                <w:rFonts w:eastAsia="等线" w:hint="eastAsia"/>
                <w:color w:val="000000"/>
                <w:szCs w:val="21"/>
              </w:rPr>
            </w:pPr>
            <w:r>
              <w:rPr>
                <w:rFonts w:eastAsia="等线" w:hint="eastAsia"/>
                <w:color w:val="000000"/>
                <w:szCs w:val="21"/>
              </w:rPr>
              <w:t>69</w:t>
            </w:r>
          </w:p>
        </w:tc>
        <w:tc>
          <w:tcPr>
            <w:tcW w:w="3122"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汇丰晋信周期优选股票型证券投资基金C类</w:t>
            </w:r>
          </w:p>
        </w:tc>
        <w:tc>
          <w:tcPr>
            <w:tcW w:w="1021" w:type="pct"/>
            <w:tcBorders>
              <w:top w:val="single" w:sz="4" w:space="0" w:color="auto"/>
              <w:left w:val="nil"/>
              <w:bottom w:val="single" w:sz="4" w:space="0" w:color="auto"/>
              <w:right w:val="single" w:sz="4" w:space="0" w:color="auto"/>
            </w:tcBorders>
            <w:vAlign w:val="center"/>
          </w:tcPr>
          <w:p w:rsidR="001C5665" w:rsidRDefault="001C5665" w:rsidP="001C5665">
            <w:pPr>
              <w:snapToGrid w:val="0"/>
              <w:spacing w:beforeLines="50" w:line="360" w:lineRule="auto"/>
              <w:jc w:val="center"/>
              <w:rPr>
                <w:rFonts w:ascii="宋体" w:hAnsi="宋体" w:hint="eastAsia"/>
                <w:color w:val="000000"/>
                <w:szCs w:val="21"/>
              </w:rPr>
            </w:pPr>
            <w:r>
              <w:rPr>
                <w:rFonts w:ascii="宋体" w:hAnsi="宋体" w:hint="eastAsia"/>
                <w:color w:val="000000"/>
                <w:szCs w:val="21"/>
              </w:rPr>
              <w:t>026125</w:t>
            </w:r>
          </w:p>
        </w:tc>
      </w:tr>
    </w:tbl>
    <w:p w:rsidR="00BE0C0D" w:rsidRDefault="00BE0C0D">
      <w:pPr>
        <w:rPr>
          <w:rFonts w:hint="eastAsia"/>
          <w:color w:val="000000"/>
          <w:sz w:val="24"/>
        </w:rPr>
      </w:pPr>
    </w:p>
    <w:p w:rsidR="00BE0C0D" w:rsidRDefault="00BE0C0D">
      <w:pPr>
        <w:ind w:firstLineChars="200" w:firstLine="504"/>
        <w:rPr>
          <w:rFonts w:ascii="宋体" w:hAnsi="宋体" w:hint="eastAsia"/>
          <w:sz w:val="24"/>
        </w:rPr>
      </w:pPr>
      <w:r>
        <w:rPr>
          <w:rFonts w:ascii="宋体" w:hAnsi="宋体" w:hint="eastAsia"/>
          <w:sz w:val="24"/>
        </w:rPr>
        <w:t>二、投资者可通过以下途径咨询详情</w:t>
      </w:r>
    </w:p>
    <w:p w:rsidR="00BE0C0D" w:rsidRDefault="00BE0C0D">
      <w:pPr>
        <w:ind w:firstLineChars="200" w:firstLine="504"/>
        <w:rPr>
          <w:rFonts w:ascii="宋体" w:hAnsi="宋体" w:hint="eastAsia"/>
          <w:sz w:val="24"/>
        </w:rPr>
      </w:pPr>
      <w:r>
        <w:rPr>
          <w:rFonts w:ascii="宋体" w:hAnsi="宋体" w:hint="eastAsia"/>
          <w:sz w:val="24"/>
        </w:rPr>
        <w:t>（1）</w:t>
      </w:r>
      <w:r w:rsidR="009879D8" w:rsidRPr="009879D8">
        <w:rPr>
          <w:rFonts w:ascii="宋体" w:hAnsi="宋体" w:hint="eastAsia"/>
          <w:sz w:val="24"/>
        </w:rPr>
        <w:t>万家财富基金销售（天津）有限公司</w:t>
      </w:r>
    </w:p>
    <w:p w:rsidR="00BE0C0D" w:rsidRDefault="00BE0C0D">
      <w:pPr>
        <w:ind w:firstLineChars="200" w:firstLine="504"/>
        <w:rPr>
          <w:rFonts w:ascii="宋体" w:hAnsi="宋体" w:hint="eastAsia"/>
          <w:sz w:val="24"/>
        </w:rPr>
      </w:pPr>
      <w:r>
        <w:rPr>
          <w:rFonts w:ascii="宋体" w:hAnsi="宋体" w:hint="eastAsia"/>
          <w:sz w:val="24"/>
        </w:rPr>
        <w:t>网址：www.wanjiawealth.com</w:t>
      </w:r>
    </w:p>
    <w:p w:rsidR="00BE0C0D" w:rsidRDefault="00BE0C0D">
      <w:pPr>
        <w:ind w:firstLineChars="200" w:firstLine="504"/>
        <w:rPr>
          <w:rFonts w:ascii="宋体" w:hAnsi="宋体"/>
          <w:sz w:val="24"/>
        </w:rPr>
      </w:pPr>
      <w:r>
        <w:rPr>
          <w:rFonts w:ascii="宋体" w:hAnsi="宋体" w:hint="eastAsia"/>
          <w:sz w:val="24"/>
        </w:rPr>
        <w:t>联系电话：400-888-0800 转 3</w:t>
      </w:r>
    </w:p>
    <w:p w:rsidR="00BE0C0D" w:rsidRDefault="00BE0C0D">
      <w:pPr>
        <w:ind w:firstLineChars="200" w:firstLine="504"/>
        <w:rPr>
          <w:rFonts w:ascii="宋体" w:hAnsi="宋体"/>
          <w:sz w:val="24"/>
        </w:rPr>
      </w:pPr>
    </w:p>
    <w:p w:rsidR="00BE0C0D" w:rsidRDefault="00BE0C0D">
      <w:pPr>
        <w:ind w:firstLineChars="200" w:firstLine="504"/>
        <w:rPr>
          <w:rFonts w:ascii="宋体" w:hAnsi="宋体" w:hint="eastAsia"/>
          <w:sz w:val="24"/>
        </w:rPr>
      </w:pPr>
      <w:r>
        <w:rPr>
          <w:rFonts w:ascii="宋体" w:hAnsi="宋体" w:hint="eastAsia"/>
          <w:sz w:val="24"/>
        </w:rPr>
        <w:t>（2）汇丰晋信基金管理有限公司</w:t>
      </w:r>
    </w:p>
    <w:p w:rsidR="00BE0C0D" w:rsidRDefault="00BE0C0D">
      <w:pPr>
        <w:ind w:firstLineChars="200" w:firstLine="504"/>
        <w:rPr>
          <w:rFonts w:ascii="宋体" w:hAnsi="宋体" w:hint="eastAsia"/>
          <w:sz w:val="24"/>
        </w:rPr>
      </w:pPr>
      <w:r>
        <w:rPr>
          <w:rFonts w:ascii="宋体" w:hAnsi="宋体" w:hint="eastAsia"/>
          <w:sz w:val="24"/>
        </w:rPr>
        <w:t>公司网站：</w:t>
      </w:r>
      <w:hyperlink r:id="rId7" w:history="1">
        <w:r>
          <w:rPr>
            <w:rFonts w:ascii="宋体" w:hAnsi="宋体" w:hint="eastAsia"/>
            <w:sz w:val="24"/>
          </w:rPr>
          <w:t>www.hsbcjt.cn</w:t>
        </w:r>
      </w:hyperlink>
    </w:p>
    <w:p w:rsidR="00DB3C03" w:rsidRDefault="00BE0C0D" w:rsidP="00DB3C03">
      <w:pPr>
        <w:ind w:firstLineChars="200" w:firstLine="504"/>
        <w:rPr>
          <w:rFonts w:ascii="宋体" w:hAnsi="宋体" w:hint="eastAsia"/>
          <w:sz w:val="24"/>
        </w:rPr>
      </w:pPr>
      <w:r>
        <w:rPr>
          <w:rFonts w:ascii="宋体" w:hAnsi="宋体" w:hint="eastAsia"/>
          <w:sz w:val="24"/>
        </w:rPr>
        <w:t>客户服务电话：021-20376888</w:t>
      </w:r>
    </w:p>
    <w:p w:rsidR="00BE0C0D" w:rsidRDefault="00BE0C0D">
      <w:pPr>
        <w:autoSpaceDE w:val="0"/>
        <w:autoSpaceDN w:val="0"/>
        <w:adjustRightInd w:val="0"/>
        <w:spacing w:before="240" w:line="360" w:lineRule="auto"/>
        <w:ind w:firstLineChars="236" w:firstLine="594"/>
        <w:jc w:val="left"/>
        <w:rPr>
          <w:rFonts w:ascii="宋体" w:hAnsi="宋体" w:hint="eastAsia"/>
          <w:sz w:val="24"/>
        </w:rPr>
      </w:pPr>
      <w:r>
        <w:rPr>
          <w:rFonts w:ascii="宋体" w:hAnsi="宋体" w:hint="eastAsia"/>
          <w:sz w:val="24"/>
        </w:rPr>
        <w:t>三、</w:t>
      </w:r>
      <w:r>
        <w:rPr>
          <w:rFonts w:ascii="宋体" w:hAnsi="宋体"/>
          <w:sz w:val="24"/>
        </w:rPr>
        <w:t>其他需要提示的事项</w:t>
      </w:r>
    </w:p>
    <w:p w:rsidR="00DB3C03" w:rsidRDefault="00BE0C0D">
      <w:pPr>
        <w:tabs>
          <w:tab w:val="left" w:pos="720"/>
        </w:tabs>
        <w:ind w:firstLineChars="200" w:firstLine="504"/>
        <w:rPr>
          <w:sz w:val="24"/>
        </w:rPr>
      </w:pPr>
      <w:r>
        <w:rPr>
          <w:rFonts w:hint="eastAsia"/>
          <w:sz w:val="24"/>
        </w:rPr>
        <w:t>（</w:t>
      </w:r>
      <w:r>
        <w:rPr>
          <w:rFonts w:hint="eastAsia"/>
          <w:sz w:val="24"/>
        </w:rPr>
        <w:t>1</w:t>
      </w:r>
      <w:r>
        <w:rPr>
          <w:rFonts w:hint="eastAsia"/>
          <w:sz w:val="24"/>
        </w:rPr>
        <w:t>）</w:t>
      </w:r>
      <w:r w:rsidR="00DB3C03" w:rsidRPr="00DB3C03">
        <w:rPr>
          <w:rFonts w:hint="eastAsia"/>
          <w:sz w:val="24"/>
        </w:rPr>
        <w:t>自</w:t>
      </w:r>
      <w:r w:rsidR="00DB3C03" w:rsidRPr="00DB3C03">
        <w:rPr>
          <w:rFonts w:hint="eastAsia"/>
          <w:sz w:val="24"/>
        </w:rPr>
        <w:t>202</w:t>
      </w:r>
      <w:r w:rsidR="00A422B4">
        <w:rPr>
          <w:rFonts w:hint="eastAsia"/>
          <w:sz w:val="24"/>
        </w:rPr>
        <w:t>6</w:t>
      </w:r>
      <w:r w:rsidR="00DB3C03" w:rsidRPr="00DB3C03">
        <w:rPr>
          <w:rFonts w:hint="eastAsia"/>
          <w:sz w:val="24"/>
        </w:rPr>
        <w:t>年</w:t>
      </w:r>
      <w:r w:rsidR="00A422B4">
        <w:rPr>
          <w:rFonts w:hint="eastAsia"/>
          <w:sz w:val="24"/>
        </w:rPr>
        <w:t>5</w:t>
      </w:r>
      <w:r w:rsidR="00DB3C03" w:rsidRPr="00DB3C03">
        <w:rPr>
          <w:rFonts w:hint="eastAsia"/>
          <w:sz w:val="24"/>
        </w:rPr>
        <w:t>月</w:t>
      </w:r>
      <w:r w:rsidR="00A422B4">
        <w:rPr>
          <w:rFonts w:hint="eastAsia"/>
          <w:sz w:val="24"/>
        </w:rPr>
        <w:t>18</w:t>
      </w:r>
      <w:r w:rsidR="00DB3C03" w:rsidRPr="00DB3C03">
        <w:rPr>
          <w:rFonts w:hint="eastAsia"/>
          <w:sz w:val="24"/>
        </w:rPr>
        <w:t>日起，本公司有权拒绝个人投资者在</w:t>
      </w:r>
      <w:r w:rsidR="00DB3C03">
        <w:rPr>
          <w:rFonts w:ascii="宋体" w:hAnsi="宋体" w:hint="eastAsia"/>
          <w:sz w:val="24"/>
        </w:rPr>
        <w:t>万家财富</w:t>
      </w:r>
      <w:r w:rsidR="00DB3C03" w:rsidRPr="00DB3C03">
        <w:rPr>
          <w:rFonts w:hint="eastAsia"/>
          <w:sz w:val="24"/>
        </w:rPr>
        <w:t>单日累计申购（含普通定期定额投资及转换转入）汇丰晋信货币市场基金</w:t>
      </w:r>
      <w:r w:rsidR="00DB3C03" w:rsidRPr="00DB3C03">
        <w:rPr>
          <w:rFonts w:hint="eastAsia"/>
          <w:sz w:val="24"/>
        </w:rPr>
        <w:t>B</w:t>
      </w:r>
      <w:r w:rsidR="00DB3C03" w:rsidRPr="00DB3C03">
        <w:rPr>
          <w:rFonts w:hint="eastAsia"/>
          <w:sz w:val="24"/>
        </w:rPr>
        <w:t>类基金份额超过</w:t>
      </w:r>
      <w:r w:rsidR="00DB3C03" w:rsidRPr="00DB3C03">
        <w:rPr>
          <w:rFonts w:hint="eastAsia"/>
          <w:sz w:val="24"/>
        </w:rPr>
        <w:t>500</w:t>
      </w:r>
      <w:r w:rsidR="00DB3C03" w:rsidRPr="00DB3C03">
        <w:rPr>
          <w:rFonts w:hint="eastAsia"/>
          <w:sz w:val="24"/>
        </w:rPr>
        <w:t>万元的申请，有权拒绝机构投资者在</w:t>
      </w:r>
      <w:r w:rsidR="00DB3C03">
        <w:rPr>
          <w:rFonts w:ascii="宋体" w:hAnsi="宋体" w:hint="eastAsia"/>
          <w:sz w:val="24"/>
        </w:rPr>
        <w:t>万家财富</w:t>
      </w:r>
      <w:r w:rsidR="00DB3C03" w:rsidRPr="00DB3C03">
        <w:rPr>
          <w:rFonts w:hint="eastAsia"/>
          <w:sz w:val="24"/>
        </w:rPr>
        <w:t>单日累计申购（含普通定期定额投资及转换转入）汇丰晋信货币市场基金</w:t>
      </w:r>
      <w:r w:rsidR="00DB3C03" w:rsidRPr="00DB3C03">
        <w:rPr>
          <w:rFonts w:hint="eastAsia"/>
          <w:sz w:val="24"/>
        </w:rPr>
        <w:t>B</w:t>
      </w:r>
      <w:r w:rsidR="00DB3C03" w:rsidRPr="00DB3C03">
        <w:rPr>
          <w:rFonts w:hint="eastAsia"/>
          <w:sz w:val="24"/>
        </w:rPr>
        <w:t>类基金份额超过</w:t>
      </w:r>
      <w:r w:rsidR="00DB3C03" w:rsidRPr="00DB3C03">
        <w:rPr>
          <w:rFonts w:hint="eastAsia"/>
          <w:sz w:val="24"/>
        </w:rPr>
        <w:t>100</w:t>
      </w:r>
      <w:r w:rsidR="00DB3C03" w:rsidRPr="00DB3C03">
        <w:rPr>
          <w:rFonts w:hint="eastAsia"/>
          <w:sz w:val="24"/>
        </w:rPr>
        <w:t>万元的申请。对于投资者提交的申请，本基金管理人将根据基金资产运作情况进行评估。</w:t>
      </w:r>
    </w:p>
    <w:p w:rsidR="00BE0C0D" w:rsidRDefault="00DB3C03">
      <w:pPr>
        <w:tabs>
          <w:tab w:val="left" w:pos="720"/>
        </w:tabs>
        <w:ind w:firstLineChars="200" w:firstLine="504"/>
        <w:rPr>
          <w:sz w:val="24"/>
        </w:rPr>
      </w:pPr>
      <w:r>
        <w:rPr>
          <w:rFonts w:hint="eastAsia"/>
          <w:sz w:val="24"/>
        </w:rPr>
        <w:t>（</w:t>
      </w:r>
      <w:r>
        <w:rPr>
          <w:rFonts w:hint="eastAsia"/>
          <w:sz w:val="24"/>
        </w:rPr>
        <w:t>2</w:t>
      </w:r>
      <w:r>
        <w:rPr>
          <w:rFonts w:hint="eastAsia"/>
          <w:sz w:val="24"/>
        </w:rPr>
        <w:t>）</w:t>
      </w:r>
      <w:r w:rsidR="00BE0C0D">
        <w:rPr>
          <w:rFonts w:hint="eastAsia"/>
          <w:sz w:val="24"/>
        </w:rPr>
        <w:t>本公告仅对本公司新增</w:t>
      </w:r>
      <w:r w:rsidR="00BE0C0D">
        <w:rPr>
          <w:rFonts w:ascii="宋体" w:hAnsi="宋体" w:hint="eastAsia"/>
          <w:sz w:val="24"/>
        </w:rPr>
        <w:t>万家财富</w:t>
      </w:r>
      <w:r w:rsidR="00BE0C0D">
        <w:rPr>
          <w:rFonts w:hint="eastAsia"/>
          <w:sz w:val="24"/>
        </w:rPr>
        <w:t>为旗下部分开放式基金代销机构予以说明。代销机构是否支持办理本基金的定期定额投资及转换业务以代销机构规定为准，具体业务规则请遵循各代销机构的具体规则执行。代销机构可以在不违反法律法规规定及基金合同约定的情形下根据市场情况制定基金促销计划，定期或不定期地开展基金促销活动，具体促销安排和业务规则以代销机构的规定和执行为准。投资者欲了解基金的详细情况，请仔细阅读基金合同、最新的招募说明书等相关基金法律文件。</w:t>
      </w:r>
    </w:p>
    <w:p w:rsidR="00BE0C0D" w:rsidRDefault="00BE0C0D">
      <w:pPr>
        <w:ind w:firstLineChars="200" w:firstLine="504"/>
        <w:rPr>
          <w:sz w:val="24"/>
        </w:rPr>
      </w:pPr>
      <w:r>
        <w:rPr>
          <w:rFonts w:hint="eastAsia"/>
          <w:sz w:val="24"/>
        </w:rPr>
        <w:t>（</w:t>
      </w:r>
      <w:r w:rsidR="00DB3C03">
        <w:rPr>
          <w:rFonts w:hint="eastAsia"/>
          <w:sz w:val="24"/>
        </w:rPr>
        <w:t>3</w:t>
      </w:r>
      <w:r>
        <w:rPr>
          <w:rFonts w:hint="eastAsia"/>
          <w:sz w:val="24"/>
        </w:rPr>
        <w:t>）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基金前认真考虑、谨慎决策。</w:t>
      </w:r>
    </w:p>
    <w:p w:rsidR="00BE0C0D" w:rsidRDefault="00BE0C0D">
      <w:pPr>
        <w:ind w:firstLineChars="200" w:firstLine="504"/>
        <w:rPr>
          <w:rFonts w:hint="eastAsia"/>
          <w:sz w:val="24"/>
        </w:rPr>
      </w:pPr>
      <w:r>
        <w:rPr>
          <w:rFonts w:hint="eastAsia"/>
          <w:sz w:val="24"/>
        </w:rPr>
        <w:t>通过港股通机制参与香港股票市场交易的公募基金会面临港股通机制下因投资环境、投资标的、市场制度以及交易规则等差异带来的特有风险，包括港股市场股价波动较大的风险（港股市场实行</w:t>
      </w:r>
      <w:r>
        <w:rPr>
          <w:rFonts w:hint="eastAsia"/>
          <w:sz w:val="24"/>
        </w:rPr>
        <w:t>T+0</w:t>
      </w:r>
      <w:r>
        <w:rPr>
          <w:rFonts w:hint="eastAsia"/>
          <w:sz w:val="24"/>
        </w:rPr>
        <w:t>回转交易，且对个股不设涨跌幅限制，港股股价可能表示出比</w:t>
      </w:r>
      <w:r>
        <w:rPr>
          <w:rFonts w:hint="eastAsia"/>
          <w:sz w:val="24"/>
        </w:rPr>
        <w:t>A</w:t>
      </w:r>
      <w:r>
        <w:rPr>
          <w:rFonts w:hint="eastAsia"/>
          <w:sz w:val="24"/>
        </w:rPr>
        <w:t>股更为剧烈的股价波动）、汇率风险</w:t>
      </w:r>
      <w:r>
        <w:rPr>
          <w:rFonts w:hint="eastAsia"/>
          <w:sz w:val="24"/>
        </w:rPr>
        <w:t>(</w:t>
      </w:r>
      <w:r>
        <w:rPr>
          <w:rFonts w:hint="eastAsia"/>
          <w:sz w:val="24"/>
        </w:rPr>
        <w:t>汇率波动可能对基金的投资收益造成损失</w:t>
      </w:r>
      <w:r>
        <w:rPr>
          <w:rFonts w:hint="eastAsia"/>
          <w:sz w:val="24"/>
        </w:rPr>
        <w:t>)</w:t>
      </w:r>
      <w:r>
        <w:rPr>
          <w:rFonts w:hint="eastAsia"/>
          <w:sz w:val="24"/>
        </w:rPr>
        <w:t>、港股通机制下交易日不连贯可能带来的风险（在内地开市香港休市的情形下，港股通不能正常交易，港股不能及时卖出，可能带来一定的流动风险）等。基金可根据投资策略需要或不同配置地市场环境的变化，选择将部分基金资产投资于港股或选择不将基金资产投资于港股，基金资产并非必然投资港股。</w:t>
      </w:r>
    </w:p>
    <w:p w:rsidR="00BE0C0D" w:rsidRDefault="00BE0C0D">
      <w:pPr>
        <w:ind w:firstLineChars="200" w:firstLine="504"/>
        <w:rPr>
          <w:rFonts w:hint="eastAsia"/>
          <w:sz w:val="24"/>
        </w:rPr>
      </w:pPr>
      <w:r>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BE0C0D" w:rsidRDefault="00BE0C0D">
      <w:pPr>
        <w:rPr>
          <w:rFonts w:hint="eastAsia"/>
          <w:sz w:val="24"/>
        </w:rPr>
      </w:pPr>
    </w:p>
    <w:p w:rsidR="00BE0C0D" w:rsidRDefault="00BE0C0D">
      <w:pPr>
        <w:ind w:firstLineChars="200" w:firstLine="504"/>
        <w:rPr>
          <w:rFonts w:hint="eastAsia"/>
          <w:sz w:val="24"/>
        </w:rPr>
      </w:pPr>
      <w:r>
        <w:rPr>
          <w:rFonts w:hint="eastAsia"/>
          <w:sz w:val="24"/>
        </w:rPr>
        <w:t>特此公告。</w:t>
      </w:r>
    </w:p>
    <w:p w:rsidR="00BE0C0D" w:rsidRDefault="00BE0C0D">
      <w:pPr>
        <w:ind w:firstLineChars="200" w:firstLine="504"/>
        <w:rPr>
          <w:rFonts w:hint="eastAsia"/>
          <w:sz w:val="24"/>
        </w:rPr>
      </w:pPr>
    </w:p>
    <w:p w:rsidR="00BE0C0D" w:rsidRDefault="00BE0C0D">
      <w:pPr>
        <w:wordWrap w:val="0"/>
        <w:jc w:val="right"/>
        <w:rPr>
          <w:rFonts w:hint="eastAsia"/>
          <w:sz w:val="24"/>
        </w:rPr>
      </w:pPr>
      <w:r>
        <w:rPr>
          <w:rFonts w:hint="eastAsia"/>
          <w:sz w:val="24"/>
        </w:rPr>
        <w:t xml:space="preserve">  </w:t>
      </w:r>
      <w:r>
        <w:rPr>
          <w:rFonts w:hint="eastAsia"/>
          <w:sz w:val="24"/>
        </w:rPr>
        <w:t>汇丰晋信基金管理有限公司</w:t>
      </w:r>
      <w:r>
        <w:rPr>
          <w:rFonts w:hint="eastAsia"/>
          <w:sz w:val="24"/>
        </w:rPr>
        <w:t xml:space="preserve"> </w:t>
      </w:r>
    </w:p>
    <w:p w:rsidR="00BE0C0D" w:rsidRDefault="00BE0C0D">
      <w:pPr>
        <w:jc w:val="right"/>
        <w:rPr>
          <w:rFonts w:hint="eastAsia"/>
          <w:sz w:val="24"/>
        </w:rPr>
      </w:pPr>
      <w:r>
        <w:rPr>
          <w:rFonts w:hint="eastAsia"/>
          <w:sz w:val="24"/>
        </w:rPr>
        <w:t xml:space="preserve">     </w:t>
      </w:r>
    </w:p>
    <w:p w:rsidR="00BE0C0D" w:rsidRDefault="00BE0C0D">
      <w:pPr>
        <w:wordWrap w:val="0"/>
        <w:jc w:val="right"/>
        <w:rPr>
          <w:rFonts w:hint="eastAsia"/>
        </w:rPr>
      </w:pPr>
      <w:r>
        <w:rPr>
          <w:rFonts w:ascii="宋体" w:hAnsi="宋体"/>
          <w:sz w:val="24"/>
        </w:rPr>
        <w:t>20</w:t>
      </w:r>
      <w:r>
        <w:rPr>
          <w:rFonts w:ascii="宋体" w:hAnsi="宋体" w:hint="eastAsia"/>
          <w:sz w:val="24"/>
        </w:rPr>
        <w:t>2</w:t>
      </w:r>
      <w:r>
        <w:rPr>
          <w:rFonts w:ascii="宋体" w:hAnsi="宋体"/>
          <w:sz w:val="24"/>
        </w:rPr>
        <w:t>6年5月18日</w:t>
      </w:r>
      <w:r>
        <w:rPr>
          <w:rFonts w:hint="eastAsia"/>
          <w:sz w:val="24"/>
        </w:rPr>
        <w:t xml:space="preserve"> </w:t>
      </w:r>
    </w:p>
    <w:sectPr w:rsidR="00BE0C0D">
      <w:headerReference w:type="default" r:id="rId8"/>
      <w:footerReference w:type="default" r:id="rId9"/>
      <w:pgSz w:w="11907" w:h="16840"/>
      <w:pgMar w:top="2098" w:right="1588" w:bottom="2098" w:left="1588" w:header="851" w:footer="1701"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1D3" w:rsidRDefault="00CD21D3">
      <w:r>
        <w:separator/>
      </w:r>
    </w:p>
  </w:endnote>
  <w:endnote w:type="continuationSeparator" w:id="0">
    <w:p w:rsidR="00CD21D3" w:rsidRDefault="00CD2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0D" w:rsidRDefault="00BE0C0D">
    <w:pPr>
      <w:pStyle w:val="a6"/>
    </w:pPr>
    <w:r>
      <w:rPr>
        <w:lang w:val="en-US" w:eastAsia="zh-CN"/>
      </w:rPr>
      <w:pict>
        <v:shapetype id="_x0000_t202" coordsize="21600,21600" o:spt="202" path="m,l,21600r21600,l21600,xe">
          <v:stroke joinstyle="miter"/>
          <v:path gradientshapeok="t" o:connecttype="rect"/>
        </v:shapetype>
        <v:shape id="MSIPCMcd294b02a5ea8189b6dede5b" o:spid="_x0000_s1025" type="#_x0000_t202" alt="{&quot;HashCode&quot;:-805422396,&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inset=",0,,0">
            <w:txbxContent>
              <w:p w:rsidR="00BE0C0D" w:rsidRDefault="00BE0C0D">
                <w:pPr>
                  <w:jc w:val="center"/>
                  <w:rPr>
                    <w:rFonts w:ascii="Calibri" w:hAnsi="Calibri" w:cs="Calibri"/>
                    <w:color w:val="000000"/>
                    <w:sz w:val="20"/>
                  </w:rPr>
                </w:pPr>
                <w:r>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1D3" w:rsidRDefault="00CD21D3">
      <w:r>
        <w:separator/>
      </w:r>
    </w:p>
  </w:footnote>
  <w:footnote w:type="continuationSeparator" w:id="0">
    <w:p w:rsidR="00CD21D3" w:rsidRDefault="00CD2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0D" w:rsidRDefault="00BE0C0D">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218"/>
    <w:rsid w:val="000001BF"/>
    <w:rsid w:val="00003B35"/>
    <w:rsid w:val="000076D5"/>
    <w:rsid w:val="00010718"/>
    <w:rsid w:val="000108EA"/>
    <w:rsid w:val="0001517B"/>
    <w:rsid w:val="00022F75"/>
    <w:rsid w:val="00030BFB"/>
    <w:rsid w:val="00033E4D"/>
    <w:rsid w:val="00035C27"/>
    <w:rsid w:val="00036D99"/>
    <w:rsid w:val="00042B8B"/>
    <w:rsid w:val="00045334"/>
    <w:rsid w:val="00052F1E"/>
    <w:rsid w:val="00061AC2"/>
    <w:rsid w:val="00064221"/>
    <w:rsid w:val="00066EAA"/>
    <w:rsid w:val="00075954"/>
    <w:rsid w:val="000779B3"/>
    <w:rsid w:val="00091265"/>
    <w:rsid w:val="000A314D"/>
    <w:rsid w:val="000A6EB1"/>
    <w:rsid w:val="000B7A71"/>
    <w:rsid w:val="000D79F8"/>
    <w:rsid w:val="000E06D6"/>
    <w:rsid w:val="000E3984"/>
    <w:rsid w:val="000F2F23"/>
    <w:rsid w:val="000F6E91"/>
    <w:rsid w:val="00101986"/>
    <w:rsid w:val="001106DB"/>
    <w:rsid w:val="00112F74"/>
    <w:rsid w:val="00121497"/>
    <w:rsid w:val="00122BFE"/>
    <w:rsid w:val="00133218"/>
    <w:rsid w:val="001343FA"/>
    <w:rsid w:val="001404E5"/>
    <w:rsid w:val="0014251D"/>
    <w:rsid w:val="00143FED"/>
    <w:rsid w:val="001469D5"/>
    <w:rsid w:val="0014764F"/>
    <w:rsid w:val="0015190E"/>
    <w:rsid w:val="00161AC9"/>
    <w:rsid w:val="00172A62"/>
    <w:rsid w:val="00174621"/>
    <w:rsid w:val="0017776F"/>
    <w:rsid w:val="00182D7E"/>
    <w:rsid w:val="001A14B6"/>
    <w:rsid w:val="001A2AC0"/>
    <w:rsid w:val="001B1551"/>
    <w:rsid w:val="001B1EEF"/>
    <w:rsid w:val="001B32CB"/>
    <w:rsid w:val="001C5665"/>
    <w:rsid w:val="001D3656"/>
    <w:rsid w:val="001D5732"/>
    <w:rsid w:val="001E57EE"/>
    <w:rsid w:val="001F1FA4"/>
    <w:rsid w:val="001F6E55"/>
    <w:rsid w:val="001F7396"/>
    <w:rsid w:val="001F7793"/>
    <w:rsid w:val="001F7D2A"/>
    <w:rsid w:val="002024E2"/>
    <w:rsid w:val="002107DA"/>
    <w:rsid w:val="00212325"/>
    <w:rsid w:val="00224696"/>
    <w:rsid w:val="00231000"/>
    <w:rsid w:val="00232A05"/>
    <w:rsid w:val="00236A4A"/>
    <w:rsid w:val="00240891"/>
    <w:rsid w:val="00242E10"/>
    <w:rsid w:val="0024785E"/>
    <w:rsid w:val="002535CF"/>
    <w:rsid w:val="00266931"/>
    <w:rsid w:val="00267B99"/>
    <w:rsid w:val="00267E5E"/>
    <w:rsid w:val="00267ED3"/>
    <w:rsid w:val="00284639"/>
    <w:rsid w:val="0028670B"/>
    <w:rsid w:val="0028781E"/>
    <w:rsid w:val="00291135"/>
    <w:rsid w:val="002A2C4C"/>
    <w:rsid w:val="002A771D"/>
    <w:rsid w:val="002B34C0"/>
    <w:rsid w:val="002B6EAF"/>
    <w:rsid w:val="002C529B"/>
    <w:rsid w:val="002C6AFD"/>
    <w:rsid w:val="002E3962"/>
    <w:rsid w:val="002E6F77"/>
    <w:rsid w:val="002F137A"/>
    <w:rsid w:val="002F788F"/>
    <w:rsid w:val="0030079B"/>
    <w:rsid w:val="00317982"/>
    <w:rsid w:val="00323B9C"/>
    <w:rsid w:val="00325376"/>
    <w:rsid w:val="0032663A"/>
    <w:rsid w:val="00333C32"/>
    <w:rsid w:val="0033409D"/>
    <w:rsid w:val="0033440C"/>
    <w:rsid w:val="00335D91"/>
    <w:rsid w:val="0033781D"/>
    <w:rsid w:val="00341A17"/>
    <w:rsid w:val="00343340"/>
    <w:rsid w:val="00345423"/>
    <w:rsid w:val="00345D7A"/>
    <w:rsid w:val="00362903"/>
    <w:rsid w:val="003639B9"/>
    <w:rsid w:val="00366542"/>
    <w:rsid w:val="0037281D"/>
    <w:rsid w:val="00374830"/>
    <w:rsid w:val="003849C9"/>
    <w:rsid w:val="00385F69"/>
    <w:rsid w:val="00391AAC"/>
    <w:rsid w:val="003925BD"/>
    <w:rsid w:val="0039564E"/>
    <w:rsid w:val="003A558A"/>
    <w:rsid w:val="003B510A"/>
    <w:rsid w:val="003C26E5"/>
    <w:rsid w:val="003F6C24"/>
    <w:rsid w:val="00404964"/>
    <w:rsid w:val="00404F1E"/>
    <w:rsid w:val="00416249"/>
    <w:rsid w:val="00423D3D"/>
    <w:rsid w:val="00424BF5"/>
    <w:rsid w:val="004345CD"/>
    <w:rsid w:val="00436A7C"/>
    <w:rsid w:val="004422BB"/>
    <w:rsid w:val="0044241D"/>
    <w:rsid w:val="00447559"/>
    <w:rsid w:val="00447595"/>
    <w:rsid w:val="00447F85"/>
    <w:rsid w:val="004552A1"/>
    <w:rsid w:val="00456401"/>
    <w:rsid w:val="00462C39"/>
    <w:rsid w:val="00463849"/>
    <w:rsid w:val="00471425"/>
    <w:rsid w:val="00483043"/>
    <w:rsid w:val="004850D2"/>
    <w:rsid w:val="004867B0"/>
    <w:rsid w:val="004A5044"/>
    <w:rsid w:val="004B4355"/>
    <w:rsid w:val="004B4E72"/>
    <w:rsid w:val="004C18AB"/>
    <w:rsid w:val="004C2860"/>
    <w:rsid w:val="004C32ED"/>
    <w:rsid w:val="004C5260"/>
    <w:rsid w:val="004D0D81"/>
    <w:rsid w:val="004D3E09"/>
    <w:rsid w:val="004D4314"/>
    <w:rsid w:val="004E720E"/>
    <w:rsid w:val="004F3032"/>
    <w:rsid w:val="005210BE"/>
    <w:rsid w:val="00531F17"/>
    <w:rsid w:val="00532679"/>
    <w:rsid w:val="00537BF7"/>
    <w:rsid w:val="00562141"/>
    <w:rsid w:val="00573506"/>
    <w:rsid w:val="00585A16"/>
    <w:rsid w:val="005A47A5"/>
    <w:rsid w:val="005B4EE0"/>
    <w:rsid w:val="005B679E"/>
    <w:rsid w:val="005C59A1"/>
    <w:rsid w:val="005D0962"/>
    <w:rsid w:val="005D3749"/>
    <w:rsid w:val="005D5A57"/>
    <w:rsid w:val="005E3938"/>
    <w:rsid w:val="005E44B7"/>
    <w:rsid w:val="005E7464"/>
    <w:rsid w:val="005F35A1"/>
    <w:rsid w:val="00615BA8"/>
    <w:rsid w:val="00623C5B"/>
    <w:rsid w:val="00625D40"/>
    <w:rsid w:val="006266AA"/>
    <w:rsid w:val="00626A11"/>
    <w:rsid w:val="00627686"/>
    <w:rsid w:val="0063091B"/>
    <w:rsid w:val="00632555"/>
    <w:rsid w:val="00634A1D"/>
    <w:rsid w:val="00634EEE"/>
    <w:rsid w:val="0064419A"/>
    <w:rsid w:val="00644B31"/>
    <w:rsid w:val="00651D93"/>
    <w:rsid w:val="00651E92"/>
    <w:rsid w:val="00655EA8"/>
    <w:rsid w:val="00663F0D"/>
    <w:rsid w:val="00683DD2"/>
    <w:rsid w:val="00690319"/>
    <w:rsid w:val="00695D88"/>
    <w:rsid w:val="006A721E"/>
    <w:rsid w:val="006B1FD5"/>
    <w:rsid w:val="006C14FD"/>
    <w:rsid w:val="006C743B"/>
    <w:rsid w:val="006D56F6"/>
    <w:rsid w:val="006F25F6"/>
    <w:rsid w:val="006F4383"/>
    <w:rsid w:val="00702504"/>
    <w:rsid w:val="00713DB1"/>
    <w:rsid w:val="007172E6"/>
    <w:rsid w:val="00725378"/>
    <w:rsid w:val="007277EF"/>
    <w:rsid w:val="007311AE"/>
    <w:rsid w:val="00737943"/>
    <w:rsid w:val="00742AC1"/>
    <w:rsid w:val="007445EF"/>
    <w:rsid w:val="007453F1"/>
    <w:rsid w:val="00745B32"/>
    <w:rsid w:val="00752129"/>
    <w:rsid w:val="0075732A"/>
    <w:rsid w:val="007624CB"/>
    <w:rsid w:val="00762ABA"/>
    <w:rsid w:val="00764A43"/>
    <w:rsid w:val="00764D1D"/>
    <w:rsid w:val="00787A58"/>
    <w:rsid w:val="0079427B"/>
    <w:rsid w:val="007943DF"/>
    <w:rsid w:val="007A44D9"/>
    <w:rsid w:val="007A6AE8"/>
    <w:rsid w:val="007B22DB"/>
    <w:rsid w:val="007B2E08"/>
    <w:rsid w:val="007B3811"/>
    <w:rsid w:val="007C2479"/>
    <w:rsid w:val="007D1983"/>
    <w:rsid w:val="007D4EA3"/>
    <w:rsid w:val="007E0A18"/>
    <w:rsid w:val="007E15E8"/>
    <w:rsid w:val="007E4C39"/>
    <w:rsid w:val="007F2F52"/>
    <w:rsid w:val="007F452A"/>
    <w:rsid w:val="007F7A20"/>
    <w:rsid w:val="00802838"/>
    <w:rsid w:val="00812AAE"/>
    <w:rsid w:val="008157C1"/>
    <w:rsid w:val="00827C85"/>
    <w:rsid w:val="0084021D"/>
    <w:rsid w:val="00840F26"/>
    <w:rsid w:val="00841B16"/>
    <w:rsid w:val="00842CEF"/>
    <w:rsid w:val="00846675"/>
    <w:rsid w:val="00851779"/>
    <w:rsid w:val="00851DB2"/>
    <w:rsid w:val="0085359A"/>
    <w:rsid w:val="00864ACC"/>
    <w:rsid w:val="00871373"/>
    <w:rsid w:val="00871E0A"/>
    <w:rsid w:val="00872036"/>
    <w:rsid w:val="00872688"/>
    <w:rsid w:val="0087590A"/>
    <w:rsid w:val="00881C76"/>
    <w:rsid w:val="00886B29"/>
    <w:rsid w:val="008927F6"/>
    <w:rsid w:val="0089333C"/>
    <w:rsid w:val="00896FBD"/>
    <w:rsid w:val="0089786B"/>
    <w:rsid w:val="008A12A9"/>
    <w:rsid w:val="008A589D"/>
    <w:rsid w:val="008A5F84"/>
    <w:rsid w:val="008B49B7"/>
    <w:rsid w:val="008C7D88"/>
    <w:rsid w:val="008D24EB"/>
    <w:rsid w:val="008D68B0"/>
    <w:rsid w:val="008D74D2"/>
    <w:rsid w:val="0090144D"/>
    <w:rsid w:val="00912349"/>
    <w:rsid w:val="009145B7"/>
    <w:rsid w:val="00917A6E"/>
    <w:rsid w:val="00920324"/>
    <w:rsid w:val="00922ACE"/>
    <w:rsid w:val="00923C20"/>
    <w:rsid w:val="00925441"/>
    <w:rsid w:val="00935216"/>
    <w:rsid w:val="00935AD8"/>
    <w:rsid w:val="00937E0C"/>
    <w:rsid w:val="00947607"/>
    <w:rsid w:val="00950F29"/>
    <w:rsid w:val="009659C6"/>
    <w:rsid w:val="00972325"/>
    <w:rsid w:val="00973218"/>
    <w:rsid w:val="009865AA"/>
    <w:rsid w:val="009879D8"/>
    <w:rsid w:val="00993306"/>
    <w:rsid w:val="00993AF8"/>
    <w:rsid w:val="009A05AB"/>
    <w:rsid w:val="009A2039"/>
    <w:rsid w:val="009A4599"/>
    <w:rsid w:val="009B0A92"/>
    <w:rsid w:val="009B4071"/>
    <w:rsid w:val="009C2C0C"/>
    <w:rsid w:val="009D0542"/>
    <w:rsid w:val="009D5BE1"/>
    <w:rsid w:val="00A046D2"/>
    <w:rsid w:val="00A13756"/>
    <w:rsid w:val="00A15490"/>
    <w:rsid w:val="00A15FE7"/>
    <w:rsid w:val="00A169B4"/>
    <w:rsid w:val="00A20F96"/>
    <w:rsid w:val="00A22AB4"/>
    <w:rsid w:val="00A242F7"/>
    <w:rsid w:val="00A2669A"/>
    <w:rsid w:val="00A31E12"/>
    <w:rsid w:val="00A40572"/>
    <w:rsid w:val="00A413E9"/>
    <w:rsid w:val="00A422B4"/>
    <w:rsid w:val="00A44A3F"/>
    <w:rsid w:val="00A52369"/>
    <w:rsid w:val="00A60788"/>
    <w:rsid w:val="00A60ABB"/>
    <w:rsid w:val="00A6525B"/>
    <w:rsid w:val="00A65B08"/>
    <w:rsid w:val="00A82F8F"/>
    <w:rsid w:val="00A83B75"/>
    <w:rsid w:val="00A862D4"/>
    <w:rsid w:val="00A90D09"/>
    <w:rsid w:val="00A948C5"/>
    <w:rsid w:val="00AA2232"/>
    <w:rsid w:val="00AA4C6E"/>
    <w:rsid w:val="00AA5BA3"/>
    <w:rsid w:val="00AD2933"/>
    <w:rsid w:val="00AD5D40"/>
    <w:rsid w:val="00AF1946"/>
    <w:rsid w:val="00AF5A6A"/>
    <w:rsid w:val="00B13294"/>
    <w:rsid w:val="00B16A92"/>
    <w:rsid w:val="00B17B0F"/>
    <w:rsid w:val="00B21DFA"/>
    <w:rsid w:val="00B23D72"/>
    <w:rsid w:val="00B2466D"/>
    <w:rsid w:val="00B246F1"/>
    <w:rsid w:val="00B403DE"/>
    <w:rsid w:val="00B40CBB"/>
    <w:rsid w:val="00B53B98"/>
    <w:rsid w:val="00B54BE0"/>
    <w:rsid w:val="00B55D04"/>
    <w:rsid w:val="00B656BF"/>
    <w:rsid w:val="00B730D8"/>
    <w:rsid w:val="00B77744"/>
    <w:rsid w:val="00B827EF"/>
    <w:rsid w:val="00B85F65"/>
    <w:rsid w:val="00B9024B"/>
    <w:rsid w:val="00B9182E"/>
    <w:rsid w:val="00B93E86"/>
    <w:rsid w:val="00B95541"/>
    <w:rsid w:val="00BA04D1"/>
    <w:rsid w:val="00BA3664"/>
    <w:rsid w:val="00BA6441"/>
    <w:rsid w:val="00BB0A3B"/>
    <w:rsid w:val="00BB455D"/>
    <w:rsid w:val="00BB6E57"/>
    <w:rsid w:val="00BB741B"/>
    <w:rsid w:val="00BE08BB"/>
    <w:rsid w:val="00BE0C0D"/>
    <w:rsid w:val="00BE1F1C"/>
    <w:rsid w:val="00BE50C3"/>
    <w:rsid w:val="00C02C6B"/>
    <w:rsid w:val="00C06EEA"/>
    <w:rsid w:val="00C32CFF"/>
    <w:rsid w:val="00C348FE"/>
    <w:rsid w:val="00C435A8"/>
    <w:rsid w:val="00C46632"/>
    <w:rsid w:val="00C517FA"/>
    <w:rsid w:val="00C546A5"/>
    <w:rsid w:val="00C61898"/>
    <w:rsid w:val="00C636A2"/>
    <w:rsid w:val="00C63F6E"/>
    <w:rsid w:val="00C65BE0"/>
    <w:rsid w:val="00C66F27"/>
    <w:rsid w:val="00C675DB"/>
    <w:rsid w:val="00C73BFC"/>
    <w:rsid w:val="00C81637"/>
    <w:rsid w:val="00C90775"/>
    <w:rsid w:val="00C9714F"/>
    <w:rsid w:val="00CA3F60"/>
    <w:rsid w:val="00CB309C"/>
    <w:rsid w:val="00CC6822"/>
    <w:rsid w:val="00CD21D3"/>
    <w:rsid w:val="00CD3DA2"/>
    <w:rsid w:val="00CE06F0"/>
    <w:rsid w:val="00CF732B"/>
    <w:rsid w:val="00CF77D1"/>
    <w:rsid w:val="00D071A9"/>
    <w:rsid w:val="00D15E98"/>
    <w:rsid w:val="00D22EC5"/>
    <w:rsid w:val="00D31428"/>
    <w:rsid w:val="00D41014"/>
    <w:rsid w:val="00D4146A"/>
    <w:rsid w:val="00D41865"/>
    <w:rsid w:val="00D42991"/>
    <w:rsid w:val="00D43457"/>
    <w:rsid w:val="00D56EAD"/>
    <w:rsid w:val="00D570D7"/>
    <w:rsid w:val="00D67B13"/>
    <w:rsid w:val="00D746C8"/>
    <w:rsid w:val="00D82BB1"/>
    <w:rsid w:val="00D86D0D"/>
    <w:rsid w:val="00D87FDC"/>
    <w:rsid w:val="00DA4272"/>
    <w:rsid w:val="00DA51AA"/>
    <w:rsid w:val="00DB3C03"/>
    <w:rsid w:val="00DB3C18"/>
    <w:rsid w:val="00DB4EFC"/>
    <w:rsid w:val="00DB545C"/>
    <w:rsid w:val="00DB7C2D"/>
    <w:rsid w:val="00DC23D5"/>
    <w:rsid w:val="00DE0D4D"/>
    <w:rsid w:val="00DE20BC"/>
    <w:rsid w:val="00DF753F"/>
    <w:rsid w:val="00E011F8"/>
    <w:rsid w:val="00E13D0C"/>
    <w:rsid w:val="00E20CE0"/>
    <w:rsid w:val="00E46DA7"/>
    <w:rsid w:val="00E50AD8"/>
    <w:rsid w:val="00E51F2E"/>
    <w:rsid w:val="00E544D5"/>
    <w:rsid w:val="00E6211F"/>
    <w:rsid w:val="00E63283"/>
    <w:rsid w:val="00E710B7"/>
    <w:rsid w:val="00E71AA7"/>
    <w:rsid w:val="00E72D75"/>
    <w:rsid w:val="00E802E6"/>
    <w:rsid w:val="00E9171B"/>
    <w:rsid w:val="00EA4B74"/>
    <w:rsid w:val="00EB1740"/>
    <w:rsid w:val="00EC06F9"/>
    <w:rsid w:val="00EC6B4E"/>
    <w:rsid w:val="00EC7314"/>
    <w:rsid w:val="00ED0070"/>
    <w:rsid w:val="00ED2056"/>
    <w:rsid w:val="00ED3F4C"/>
    <w:rsid w:val="00EE6E60"/>
    <w:rsid w:val="00EF0A8F"/>
    <w:rsid w:val="00EF7B66"/>
    <w:rsid w:val="00EF7FF2"/>
    <w:rsid w:val="00F13EDD"/>
    <w:rsid w:val="00F22738"/>
    <w:rsid w:val="00F2462E"/>
    <w:rsid w:val="00F27741"/>
    <w:rsid w:val="00F43362"/>
    <w:rsid w:val="00F44351"/>
    <w:rsid w:val="00F444A9"/>
    <w:rsid w:val="00F53490"/>
    <w:rsid w:val="00F56A1C"/>
    <w:rsid w:val="00F615C2"/>
    <w:rsid w:val="00F6544A"/>
    <w:rsid w:val="00F6603C"/>
    <w:rsid w:val="00F749B5"/>
    <w:rsid w:val="00F870B5"/>
    <w:rsid w:val="00F93A14"/>
    <w:rsid w:val="00FB29F5"/>
    <w:rsid w:val="00FB48C9"/>
    <w:rsid w:val="00FB7DA1"/>
    <w:rsid w:val="00FC36DF"/>
    <w:rsid w:val="00FC5B2C"/>
    <w:rsid w:val="00FD079F"/>
    <w:rsid w:val="00FD0A8A"/>
    <w:rsid w:val="00FD4545"/>
    <w:rsid w:val="00FF57D4"/>
    <w:rsid w:val="48F15287"/>
    <w:rsid w:val="7A1D5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Date"/>
    <w:basedOn w:val="a"/>
    <w:next w:val="a"/>
    <w:link w:val="Char0"/>
    <w:pPr>
      <w:ind w:leftChars="2500" w:left="100"/>
    </w:pPr>
  </w:style>
  <w:style w:type="character" w:customStyle="1" w:styleId="Char0">
    <w:name w:val="日期 Char"/>
    <w:link w:val="a4"/>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semiHidden/>
    <w:rPr>
      <w:b/>
      <w:bCs/>
    </w:rPr>
  </w:style>
  <w:style w:type="character" w:styleId="a9">
    <w:name w:val="Hyperlink"/>
    <w:rPr>
      <w:color w:val="0000FF"/>
      <w:u w:val="single"/>
    </w:rPr>
  </w:style>
  <w:style w:type="character" w:styleId="aa">
    <w:name w:val="annotation reference"/>
    <w:rPr>
      <w:sz w:val="21"/>
      <w:szCs w:val="21"/>
    </w:rPr>
  </w:style>
  <w:style w:type="character" w:customStyle="1" w:styleId="txtcontent11">
    <w:name w:val="txtcontent11"/>
    <w:rPr>
      <w:rFonts w:ascii="ˎ̥" w:hAnsi="ˎ̥" w:hint="default"/>
      <w:b w:val="0"/>
      <w:bCs w:val="0"/>
      <w:color w:val="000000"/>
      <w:sz w:val="21"/>
      <w:szCs w:val="21"/>
    </w:rPr>
  </w:style>
  <w:style w:type="paragraph" w:customStyle="1" w:styleId="ParaChar">
    <w:name w:val="默认段落字体 Para Char"/>
    <w:basedOn w:val="a"/>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styleId="ab">
    <w:name w:val="Revisio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sbcjt.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bcjt.cn/upload/file/202410/25/JKWxP5K7mzXMzFgT.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Office Word</Application>
  <DocSecurity>4</DocSecurity>
  <PresentationFormat/>
  <Lines>27</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汇丰晋信基金管理有限公司关于新增万家财富为旗下开放式基金代销机构的公告</vt:lpstr>
    </vt:vector>
  </TitlesOfParts>
  <Manager/>
  <Company>HSBCJT</Company>
  <LinksUpToDate>false</LinksUpToDate>
  <CharactersWithSpaces>3838</CharactersWithSpaces>
  <SharedDoc>false</SharedDoc>
  <HLinks>
    <vt:vector size="12" baseType="variant">
      <vt:variant>
        <vt:i4>720983</vt:i4>
      </vt:variant>
      <vt:variant>
        <vt:i4>3</vt:i4>
      </vt:variant>
      <vt:variant>
        <vt:i4>0</vt:i4>
      </vt:variant>
      <vt:variant>
        <vt:i4>5</vt:i4>
      </vt:variant>
      <vt:variant>
        <vt:lpwstr>http://www.hsbcjt.cn/</vt:lpwstr>
      </vt:variant>
      <vt:variant>
        <vt:lpwstr/>
      </vt:variant>
      <vt:variant>
        <vt:i4>1376340</vt:i4>
      </vt:variant>
      <vt:variant>
        <vt:i4>0</vt:i4>
      </vt:variant>
      <vt:variant>
        <vt:i4>0</vt:i4>
      </vt:variant>
      <vt:variant>
        <vt:i4>5</vt:i4>
      </vt:variant>
      <vt:variant>
        <vt:lpwstr>https://www.hsbcjt.cn/upload/file/202410/25/JKWxP5K7mzXMzFgT.pdf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汇丰晋信基金管理有限公司关于新增万家财富为旗下开放式基金代销机构的公告</dc:title>
  <dc:subject/>
  <dc:creator>Cindy Zhou</dc:creator>
  <cp:keywords>PUBLIC -</cp:keywords>
  <dc:description>PUBLIC -</dc:description>
  <cp:lastModifiedBy>ZHONGM</cp:lastModifiedBy>
  <cp:revision>2</cp:revision>
  <cp:lastPrinted>2026-05-15T07:24:00Z</cp:lastPrinted>
  <dcterms:created xsi:type="dcterms:W3CDTF">2026-05-17T16:00:00Z</dcterms:created>
  <dcterms:modified xsi:type="dcterms:W3CDTF">2026-05-17T16:00:00Z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KSOProductBuildVer">
    <vt:lpwstr>2052-12.1.0.22529</vt:lpwstr>
  </property>
  <property fmtid="{D5CDD505-2E9C-101B-9397-08002B2CF9AE}" pid="5" name="MSIP_Label_3486a02c-2dfb-4efe-823f-aa2d1f0e6ab7_Enabled">
    <vt:lpwstr>true</vt:lpwstr>
  </property>
  <property fmtid="{D5CDD505-2E9C-101B-9397-08002B2CF9AE}" pid="6" name="MSIP_Label_3486a02c-2dfb-4efe-823f-aa2d1f0e6ab7_SetDate">
    <vt:lpwstr>2024-12-17T07:04:28Z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cf109488-fc72-45a0-8c87-439e6a5a6e39</vt:lpwstr>
  </property>
  <property fmtid="{D5CDD505-2E9C-101B-9397-08002B2CF9AE}" pid="11" name="MSIP_Label_3486a02c-2dfb-4efe-823f-aa2d1f0e6ab7_ContentBits">
    <vt:lpwstr>2</vt:lpwstr>
  </property>
  <property fmtid="{D5CDD505-2E9C-101B-9397-08002B2CF9AE}" pid="12" name="Classification">
    <vt:lpwstr>PUBLIC</vt:lpwstr>
  </property>
  <property fmtid="{D5CDD505-2E9C-101B-9397-08002B2CF9AE}" pid="13" name="ICV">
    <vt:lpwstr>CE5018F9560142F78CF9679F2CFEC047_12</vt:lpwstr>
  </property>
</Properties>
</file>