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5EB8">
      <w:pPr>
        <w:pStyle w:val="1"/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cs="宋体" w:hint="eastAsia"/>
          <w:bCs w:val="0"/>
          <w:color w:val="000000"/>
          <w:sz w:val="28"/>
          <w:szCs w:val="28"/>
        </w:rPr>
        <w:t>关于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恢复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中信建投智多鑫货币市场基金管理费适用费率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的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公告</w:t>
      </w:r>
    </w:p>
    <w:p w:rsidR="00000000" w:rsidRDefault="00265EB8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</w:rPr>
        <w:t>一、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管理费调整方案</w:t>
      </w:r>
    </w:p>
    <w:tbl>
      <w:tblPr>
        <w:tblW w:w="8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2"/>
        <w:gridCol w:w="5968"/>
      </w:tblGrid>
      <w:tr w:rsidR="00000000">
        <w:trPr>
          <w:trHeight w:val="471"/>
          <w:jc w:val="center"/>
        </w:trPr>
        <w:tc>
          <w:tcPr>
            <w:tcW w:w="2672" w:type="dxa"/>
          </w:tcPr>
          <w:p w:rsidR="00000000" w:rsidRDefault="00265EB8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968" w:type="dxa"/>
          </w:tcPr>
          <w:p w:rsidR="00000000" w:rsidRDefault="00265EB8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中信建投智多鑫货币市场基金（以下简称“本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”）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025233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基金管理人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中信建投基金管理有限公司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基金托管人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中国证券登记结算有限责任公司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中华人民共和国证券投资基金法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公开募集证券投资基金运作管理办法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《公开募集证券投资基金信息披露管理办法》（以下简称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《信息披露办法》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《中信建投智多鑫货币市场基金基金合同》（以下简称《基金合同》）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建投智多鑫货币市场基金招募说明书》（以下简称《招募说明书》）及其更新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265EB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管理费恢复起始日期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调整原因</w:t>
            </w:r>
          </w:p>
        </w:tc>
        <w:tc>
          <w:tcPr>
            <w:tcW w:w="5968" w:type="dxa"/>
          </w:tcPr>
          <w:p w:rsidR="00000000" w:rsidRDefault="00265E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合同》和《招募说明书》中关于管理费的相关约定：“当以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的管理费计算的七日年化暂估收益率小于或等于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倍活期存款利率，基金管理人将调整管理费为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0.30%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，以降低每万份基金暂估净收益为负并引发销售机构交收透支的风险，直至该类风险消除，基金管理人方可恢复计提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的管理费。基金管理人应在费率调整后依照《信息披露办法》的有关规定在规定媒介上公告。”</w:t>
            </w:r>
          </w:p>
          <w:p w:rsidR="00000000" w:rsidRDefault="00265EB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日，前述情形已消除，管理费恢复至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000000" w:rsidRDefault="00265EB8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bCs w:val="0"/>
          <w:color w:val="000000"/>
          <w:sz w:val="24"/>
          <w:szCs w:val="24"/>
        </w:rPr>
      </w:pPr>
      <w:bookmarkStart w:id="0" w:name="_Toc275961424"/>
      <w:r>
        <w:rPr>
          <w:rFonts w:ascii="宋体" w:eastAsia="宋体" w:hAnsi="宋体" w:cs="宋体" w:hint="eastAsia"/>
          <w:bCs w:val="0"/>
          <w:color w:val="000000"/>
          <w:sz w:val="24"/>
          <w:szCs w:val="24"/>
        </w:rPr>
        <w:lastRenderedPageBreak/>
        <w:t>二、其他需要提示的事项</w:t>
      </w:r>
      <w:bookmarkEnd w:id="0"/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、投资者可通过下列渠道了解相关信息：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基金管理有限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全国统一服务热线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4009-108-108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（免长途话费）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网站：</w:t>
      </w:r>
      <w:hyperlink r:id="rId5" w:history="1">
        <w:r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www.cfund108.com</w:t>
        </w:r>
      </w:hyperlink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）销售机构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中信建投证券股份有限公司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客户服务电话：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95587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www.csc108.com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投资于货币市场工具，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和七日年化暂估收益率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会因货币市场波动等因素产生波动，因此，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管理人有权根据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运作情况调整后续管理费，敬请投资者关注相关风险。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、风险提示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一定盈利，也不保证最低收益。投资者购买本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并不等于将资金作为存款存放在银行或存款类金融机构。本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公布的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日年化暂估收益率，不作为对投资者进行收益分配的依据，与分红日实际每万份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净收益和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日年化收益率可能存在差异。投资有风险，投资者在投资本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之前，请仔细阅读本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的招募说明书、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产品资料概要等信息披露文件，全面认识本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的风险收益特征和产品特性，并充分考虑自身的风险承受能力，理性判断市场，自主判断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的投资价值，自主做出投资决策，自行承担投资风险。</w:t>
      </w:r>
    </w:p>
    <w:p w:rsidR="00000000" w:rsidRDefault="00265EB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000000" w:rsidRDefault="00265EB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000000" w:rsidRDefault="00265EB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中信建投基金管理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000000" w:rsidRDefault="00265EB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B2CC"/>
    <w:multiLevelType w:val="multilevel"/>
    <w:tmpl w:val="5F8EB2CC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709" w:hanging="425"/>
      </w:pPr>
      <w:rPr>
        <w:sz w:val="21"/>
        <w:szCs w:val="21"/>
      </w:rPr>
    </w:lvl>
    <w:lvl w:ilvl="1">
      <w:start w:val="1"/>
      <w:numFmt w:val="chineseCountingThousand"/>
      <w:lvlText w:val="(%2)"/>
      <w:lvlJc w:val="left"/>
      <w:pPr>
        <w:tabs>
          <w:tab w:val="num" w:pos="0"/>
        </w:tabs>
        <w:ind w:left="454" w:hanging="454"/>
      </w:pPr>
      <w:rPr>
        <w:sz w:val="21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5B"/>
    <w:rsid w:val="00082691"/>
    <w:rsid w:val="00096042"/>
    <w:rsid w:val="000A3075"/>
    <w:rsid w:val="000B3B5A"/>
    <w:rsid w:val="0010682A"/>
    <w:rsid w:val="001071B2"/>
    <w:rsid w:val="00114508"/>
    <w:rsid w:val="00132AE6"/>
    <w:rsid w:val="0013354D"/>
    <w:rsid w:val="0015371F"/>
    <w:rsid w:val="001628F5"/>
    <w:rsid w:val="0016762A"/>
    <w:rsid w:val="00184B34"/>
    <w:rsid w:val="001970BB"/>
    <w:rsid w:val="001B066B"/>
    <w:rsid w:val="001C6C4A"/>
    <w:rsid w:val="001D2CD5"/>
    <w:rsid w:val="001E755E"/>
    <w:rsid w:val="001F1F38"/>
    <w:rsid w:val="00256AE6"/>
    <w:rsid w:val="00265EB8"/>
    <w:rsid w:val="00287059"/>
    <w:rsid w:val="0034364D"/>
    <w:rsid w:val="0034439B"/>
    <w:rsid w:val="0035615C"/>
    <w:rsid w:val="00362CC6"/>
    <w:rsid w:val="0037319E"/>
    <w:rsid w:val="00394667"/>
    <w:rsid w:val="003B00EA"/>
    <w:rsid w:val="003B6AC3"/>
    <w:rsid w:val="003E3EFF"/>
    <w:rsid w:val="00405B14"/>
    <w:rsid w:val="00422F1E"/>
    <w:rsid w:val="00443D74"/>
    <w:rsid w:val="0044660E"/>
    <w:rsid w:val="00461EF3"/>
    <w:rsid w:val="00476712"/>
    <w:rsid w:val="004771EF"/>
    <w:rsid w:val="00482271"/>
    <w:rsid w:val="00493936"/>
    <w:rsid w:val="004B2602"/>
    <w:rsid w:val="004B45DE"/>
    <w:rsid w:val="004C633E"/>
    <w:rsid w:val="004D630F"/>
    <w:rsid w:val="004E1F32"/>
    <w:rsid w:val="005162A8"/>
    <w:rsid w:val="00520BF7"/>
    <w:rsid w:val="00522CBD"/>
    <w:rsid w:val="00560569"/>
    <w:rsid w:val="00575A46"/>
    <w:rsid w:val="005824D7"/>
    <w:rsid w:val="005B341A"/>
    <w:rsid w:val="005B3F76"/>
    <w:rsid w:val="005D2441"/>
    <w:rsid w:val="005E5D31"/>
    <w:rsid w:val="006205E6"/>
    <w:rsid w:val="00626828"/>
    <w:rsid w:val="00646B9E"/>
    <w:rsid w:val="00670261"/>
    <w:rsid w:val="006858CA"/>
    <w:rsid w:val="006A6E96"/>
    <w:rsid w:val="006D3174"/>
    <w:rsid w:val="006E07CE"/>
    <w:rsid w:val="006F5081"/>
    <w:rsid w:val="007250D6"/>
    <w:rsid w:val="00751747"/>
    <w:rsid w:val="00760C76"/>
    <w:rsid w:val="0076336E"/>
    <w:rsid w:val="007B1608"/>
    <w:rsid w:val="007C3614"/>
    <w:rsid w:val="007C7666"/>
    <w:rsid w:val="007F7F29"/>
    <w:rsid w:val="0080182A"/>
    <w:rsid w:val="00816538"/>
    <w:rsid w:val="008175C2"/>
    <w:rsid w:val="00823F79"/>
    <w:rsid w:val="0086595E"/>
    <w:rsid w:val="00881D21"/>
    <w:rsid w:val="00884A61"/>
    <w:rsid w:val="008C0A5B"/>
    <w:rsid w:val="0094462B"/>
    <w:rsid w:val="00985FEA"/>
    <w:rsid w:val="009A033B"/>
    <w:rsid w:val="009A4543"/>
    <w:rsid w:val="009D2EFC"/>
    <w:rsid w:val="009D606C"/>
    <w:rsid w:val="009D70C8"/>
    <w:rsid w:val="009F375D"/>
    <w:rsid w:val="00A300D3"/>
    <w:rsid w:val="00A3162C"/>
    <w:rsid w:val="00A34B0A"/>
    <w:rsid w:val="00A60825"/>
    <w:rsid w:val="00AA75B7"/>
    <w:rsid w:val="00AD6B45"/>
    <w:rsid w:val="00AF4CEC"/>
    <w:rsid w:val="00B37CCD"/>
    <w:rsid w:val="00B476BA"/>
    <w:rsid w:val="00B5631E"/>
    <w:rsid w:val="00B71667"/>
    <w:rsid w:val="00BA2AEF"/>
    <w:rsid w:val="00BA4E57"/>
    <w:rsid w:val="00BB2875"/>
    <w:rsid w:val="00BE6EB9"/>
    <w:rsid w:val="00C371C9"/>
    <w:rsid w:val="00C57F80"/>
    <w:rsid w:val="00C72407"/>
    <w:rsid w:val="00C7747B"/>
    <w:rsid w:val="00C8246E"/>
    <w:rsid w:val="00C90D86"/>
    <w:rsid w:val="00CA5713"/>
    <w:rsid w:val="00CF4BCE"/>
    <w:rsid w:val="00D03504"/>
    <w:rsid w:val="00D15E84"/>
    <w:rsid w:val="00D22CC0"/>
    <w:rsid w:val="00D23760"/>
    <w:rsid w:val="00D3628E"/>
    <w:rsid w:val="00D77092"/>
    <w:rsid w:val="00D80187"/>
    <w:rsid w:val="00D9137B"/>
    <w:rsid w:val="00DB3572"/>
    <w:rsid w:val="00DD399F"/>
    <w:rsid w:val="00DE2E40"/>
    <w:rsid w:val="00DF149E"/>
    <w:rsid w:val="00DF1BFE"/>
    <w:rsid w:val="00DF4A40"/>
    <w:rsid w:val="00DF775C"/>
    <w:rsid w:val="00E04385"/>
    <w:rsid w:val="00E43F32"/>
    <w:rsid w:val="00E45530"/>
    <w:rsid w:val="00E456F4"/>
    <w:rsid w:val="00E5659B"/>
    <w:rsid w:val="00E64D3C"/>
    <w:rsid w:val="00EA5740"/>
    <w:rsid w:val="00ED3BA4"/>
    <w:rsid w:val="00ED4FEE"/>
    <w:rsid w:val="00EF447E"/>
    <w:rsid w:val="00F35BFC"/>
    <w:rsid w:val="00F5556D"/>
    <w:rsid w:val="00F80469"/>
    <w:rsid w:val="00F902BE"/>
    <w:rsid w:val="00FC19DC"/>
    <w:rsid w:val="00FD1724"/>
    <w:rsid w:val="00FE3E59"/>
    <w:rsid w:val="00FE6665"/>
    <w:rsid w:val="00FF53CC"/>
    <w:rsid w:val="01716BD5"/>
    <w:rsid w:val="01A647EE"/>
    <w:rsid w:val="03430BF7"/>
    <w:rsid w:val="05305BB7"/>
    <w:rsid w:val="05947E23"/>
    <w:rsid w:val="06C174E7"/>
    <w:rsid w:val="07036991"/>
    <w:rsid w:val="08A3063C"/>
    <w:rsid w:val="09F43460"/>
    <w:rsid w:val="0C9A6A8E"/>
    <w:rsid w:val="0E235EC0"/>
    <w:rsid w:val="0E277EA1"/>
    <w:rsid w:val="106907B9"/>
    <w:rsid w:val="144D173F"/>
    <w:rsid w:val="154D73BC"/>
    <w:rsid w:val="158D5B76"/>
    <w:rsid w:val="1AF953E3"/>
    <w:rsid w:val="1E367E99"/>
    <w:rsid w:val="21FB0AB6"/>
    <w:rsid w:val="226C0499"/>
    <w:rsid w:val="22C94040"/>
    <w:rsid w:val="242C0E74"/>
    <w:rsid w:val="24B06F41"/>
    <w:rsid w:val="25C118A5"/>
    <w:rsid w:val="260203F2"/>
    <w:rsid w:val="27F6629D"/>
    <w:rsid w:val="2B915BCE"/>
    <w:rsid w:val="2BB51544"/>
    <w:rsid w:val="32DB0C08"/>
    <w:rsid w:val="335A665E"/>
    <w:rsid w:val="34D40B86"/>
    <w:rsid w:val="37F85FEE"/>
    <w:rsid w:val="38E77CF9"/>
    <w:rsid w:val="39912669"/>
    <w:rsid w:val="3AA156D2"/>
    <w:rsid w:val="3B3321A9"/>
    <w:rsid w:val="3C8577D9"/>
    <w:rsid w:val="4488337C"/>
    <w:rsid w:val="44A83C31"/>
    <w:rsid w:val="45F62B0D"/>
    <w:rsid w:val="4CAF5937"/>
    <w:rsid w:val="54DF7E0D"/>
    <w:rsid w:val="55101EDC"/>
    <w:rsid w:val="5A200EDE"/>
    <w:rsid w:val="5D6A35D0"/>
    <w:rsid w:val="5E0377AC"/>
    <w:rsid w:val="60261FB8"/>
    <w:rsid w:val="614A68D0"/>
    <w:rsid w:val="64995D5E"/>
    <w:rsid w:val="67A376E5"/>
    <w:rsid w:val="6B2028CD"/>
    <w:rsid w:val="70ED2B61"/>
    <w:rsid w:val="7277186F"/>
    <w:rsid w:val="731B4280"/>
    <w:rsid w:val="73687B35"/>
    <w:rsid w:val="7D53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08" w:lineRule="auto"/>
      <w:outlineLvl w:val="2"/>
    </w:pPr>
    <w:rPr>
      <w:b/>
      <w:kern w:val="0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/>
      <w:b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方正仿宋简体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paragraph" w:styleId="a7">
    <w:name w:val="Subtitle"/>
    <w:basedOn w:val="2"/>
    <w:next w:val="3"/>
    <w:qFormat/>
    <w:pPr>
      <w:spacing w:before="240" w:after="60" w:line="312" w:lineRule="auto"/>
      <w:jc w:val="left"/>
    </w:pPr>
    <w:rPr>
      <w:rFonts w:eastAsia="宋体"/>
      <w:kern w:val="24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customStyle="1" w:styleId="Char3">
    <w:name w:val="批注主题 Char"/>
    <w:link w:val="a8"/>
    <w:uiPriority w:val="99"/>
    <w:semiHidden/>
    <w:qFormat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uiPriority w:val="9"/>
    <w:semiHidden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XBRLTitle2">
    <w:name w:val="XBRLTitle2"/>
    <w:basedOn w:val="a7"/>
    <w:next w:val="4"/>
    <w:pPr>
      <w:keepNext w:val="0"/>
      <w:keepLines w:val="0"/>
      <w:numPr>
        <w:ilvl w:val="1"/>
        <w:numId w:val="1"/>
      </w:numPr>
      <w:tabs>
        <w:tab w:val="left" w:pos="0"/>
      </w:tabs>
      <w:spacing w:beforeLines="50" w:after="0"/>
    </w:pPr>
    <w:rPr>
      <w:rFonts w:ascii="宋体" w:hint="eastAsia"/>
    </w:rPr>
  </w:style>
  <w:style w:type="paragraph" w:styleId="aa">
    <w:name w:val="Revision"/>
    <w:uiPriority w:val="99"/>
    <w:unhideWhenUsed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xzzcgl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songbt</dc:creator>
  <cp:keywords/>
  <cp:lastModifiedBy>ZHONGM</cp:lastModifiedBy>
  <cp:revision>2</cp:revision>
  <cp:lastPrinted>2024-10-08T02:54:00Z</cp:lastPrinted>
  <dcterms:created xsi:type="dcterms:W3CDTF">2026-05-17T16:01:00Z</dcterms:created>
  <dcterms:modified xsi:type="dcterms:W3CDTF">2026-05-17T16:01:00Z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1EB21DE6B2D84AA9817F2EE0999E3F6B</vt:lpwstr>
  </property>
</Properties>
</file>