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A4" w:rsidRPr="001F12D1" w:rsidRDefault="008757A5" w:rsidP="00141CA4">
      <w:pPr>
        <w:pStyle w:val="font14"/>
        <w:jc w:val="center"/>
        <w:rPr>
          <w:rFonts w:asciiTheme="majorEastAsia" w:eastAsiaTheme="majorEastAsia" w:hAnsiTheme="majorEastAsia"/>
        </w:rPr>
      </w:pPr>
      <w:r w:rsidRPr="001F12D1">
        <w:rPr>
          <w:rStyle w:val="a8"/>
          <w:rFonts w:asciiTheme="majorEastAsia" w:eastAsiaTheme="majorEastAsia" w:hAnsiTheme="majorEastAsia" w:hint="eastAsia"/>
          <w:sz w:val="24"/>
          <w:szCs w:val="24"/>
        </w:rPr>
        <w:t>易方达基金管理有限公司</w:t>
      </w:r>
      <w:r w:rsidRPr="00C251FE">
        <w:rPr>
          <w:rStyle w:val="a8"/>
          <w:rFonts w:asciiTheme="majorEastAsia" w:eastAsiaTheme="majorEastAsia" w:hAnsiTheme="majorEastAsia" w:hint="eastAsia"/>
          <w:sz w:val="24"/>
          <w:szCs w:val="24"/>
        </w:rPr>
        <w:t>关于旗下基金关联交易事项的公告</w:t>
      </w:r>
    </w:p>
    <w:p w:rsidR="00EA1C9E" w:rsidRDefault="008757A5" w:rsidP="00D51FD3">
      <w:pPr>
        <w:pStyle w:val="Default"/>
        <w:spacing w:line="360" w:lineRule="auto"/>
        <w:ind w:firstLineChars="210" w:firstLine="504"/>
        <w:rPr>
          <w:rFonts w:asciiTheme="majorEastAsia" w:eastAsiaTheme="majorEastAsia" w:hAnsiTheme="majorEastAsia"/>
        </w:rPr>
      </w:pPr>
      <w:r w:rsidRPr="006B6352">
        <w:rPr>
          <w:rFonts w:asciiTheme="majorEastAsia" w:eastAsiaTheme="majorEastAsia" w:hAnsiTheme="majorEastAsia" w:hint="eastAsia"/>
        </w:rPr>
        <w:t>根据《公开募集证券投资基金运作管理办法》《公开募集证券投资基金信息披露管理办法》及相关法律法规、基金合同及招募说明书等规定，在履行规定审批程序并经基金托管人同意后，</w:t>
      </w:r>
      <w:r>
        <w:rPr>
          <w:rFonts w:asciiTheme="majorEastAsia" w:eastAsiaTheme="majorEastAsia" w:hAnsiTheme="majorEastAsia" w:hint="eastAsia"/>
        </w:rPr>
        <w:t>易方达基金管理有限公司旗下部分</w:t>
      </w:r>
      <w:r w:rsidR="003B4F45">
        <w:rPr>
          <w:rFonts w:asciiTheme="majorEastAsia" w:eastAsiaTheme="majorEastAsia" w:hAnsiTheme="majorEastAsia" w:hint="eastAsia"/>
        </w:rPr>
        <w:t>公募</w:t>
      </w:r>
      <w:r>
        <w:rPr>
          <w:rFonts w:asciiTheme="majorEastAsia" w:eastAsiaTheme="majorEastAsia" w:hAnsiTheme="majorEastAsia" w:hint="eastAsia"/>
        </w:rPr>
        <w:t>基金</w:t>
      </w:r>
      <w:r w:rsidRPr="001F12D1">
        <w:rPr>
          <w:rFonts w:asciiTheme="majorEastAsia" w:eastAsiaTheme="majorEastAsia" w:hAnsiTheme="majorEastAsia" w:hint="eastAsia"/>
        </w:rPr>
        <w:t>参</w:t>
      </w:r>
      <w:r w:rsidRPr="00923081">
        <w:rPr>
          <w:rFonts w:asciiTheme="majorEastAsia" w:eastAsiaTheme="majorEastAsia" w:hAnsiTheme="majorEastAsia" w:hint="eastAsia"/>
        </w:rPr>
        <w:t>与</w:t>
      </w:r>
      <w:r w:rsidRPr="001F12D1">
        <w:rPr>
          <w:rFonts w:asciiTheme="majorEastAsia" w:eastAsiaTheme="majorEastAsia" w:hAnsiTheme="majorEastAsia" w:hint="eastAsia"/>
        </w:rPr>
        <w:t>了</w:t>
      </w:r>
      <w:r w:rsidR="00085335" w:rsidRPr="00085335">
        <w:rPr>
          <w:rFonts w:asciiTheme="majorEastAsia" w:eastAsiaTheme="majorEastAsia" w:hAnsiTheme="majorEastAsia" w:hint="eastAsia"/>
        </w:rPr>
        <w:t>泉州嘉德利电子材料股份公司</w:t>
      </w:r>
      <w:r w:rsidRPr="00A54315">
        <w:rPr>
          <w:rFonts w:asciiTheme="majorEastAsia" w:eastAsiaTheme="majorEastAsia" w:hAnsiTheme="majorEastAsia" w:hint="eastAsia"/>
          <w:bCs/>
        </w:rPr>
        <w:t>（以下简称“</w:t>
      </w:r>
      <w:r w:rsidR="00085335" w:rsidRPr="00085335">
        <w:rPr>
          <w:rFonts w:asciiTheme="majorEastAsia" w:eastAsiaTheme="majorEastAsia" w:hAnsiTheme="majorEastAsia" w:hint="eastAsia"/>
        </w:rPr>
        <w:t>嘉德利</w:t>
      </w:r>
      <w:r w:rsidRPr="00A54315">
        <w:rPr>
          <w:rFonts w:asciiTheme="majorEastAsia" w:eastAsiaTheme="majorEastAsia" w:hAnsiTheme="majorEastAsia" w:hint="eastAsia"/>
          <w:bCs/>
        </w:rPr>
        <w:t>”）</w:t>
      </w:r>
      <w:r w:rsidRPr="001F12D1">
        <w:rPr>
          <w:rFonts w:asciiTheme="majorEastAsia" w:eastAsiaTheme="majorEastAsia" w:hAnsiTheme="majorEastAsia" w:hint="eastAsia"/>
        </w:rPr>
        <w:t>首次公开发行股票的</w:t>
      </w:r>
      <w:r w:rsidR="00D51FD3">
        <w:rPr>
          <w:rFonts w:asciiTheme="majorEastAsia" w:eastAsiaTheme="majorEastAsia" w:hAnsiTheme="majorEastAsia" w:hint="eastAsia"/>
        </w:rPr>
        <w:t>网下</w:t>
      </w:r>
      <w:r w:rsidRPr="001F12D1">
        <w:rPr>
          <w:rFonts w:asciiTheme="majorEastAsia" w:eastAsiaTheme="majorEastAsia" w:hAnsiTheme="majorEastAsia" w:hint="eastAsia"/>
        </w:rPr>
        <w:t>申购</w:t>
      </w:r>
      <w:r>
        <w:rPr>
          <w:rFonts w:asciiTheme="majorEastAsia" w:eastAsiaTheme="majorEastAsia" w:hAnsiTheme="majorEastAsia" w:hint="eastAsia"/>
        </w:rPr>
        <w:t>。</w:t>
      </w:r>
      <w:r w:rsidR="00085335" w:rsidRPr="00085335">
        <w:rPr>
          <w:rFonts w:asciiTheme="majorEastAsia" w:eastAsiaTheme="majorEastAsia" w:hAnsiTheme="majorEastAsia" w:hint="eastAsia"/>
        </w:rPr>
        <w:t>嘉德利</w:t>
      </w:r>
      <w:r w:rsidRPr="001F12D1">
        <w:rPr>
          <w:rFonts w:asciiTheme="majorEastAsia" w:eastAsiaTheme="majorEastAsia" w:hAnsiTheme="majorEastAsia" w:hint="eastAsia"/>
        </w:rPr>
        <w:t>本次发行</w:t>
      </w:r>
      <w:r w:rsidR="00D51FD3">
        <w:rPr>
          <w:rFonts w:asciiTheme="majorEastAsia" w:eastAsiaTheme="majorEastAsia" w:hAnsiTheme="majorEastAsia" w:hint="eastAsia"/>
        </w:rPr>
        <w:t>的</w:t>
      </w:r>
      <w:r w:rsidR="000A66A8" w:rsidRPr="00225437">
        <w:rPr>
          <w:rFonts w:asciiTheme="majorEastAsia" w:eastAsiaTheme="majorEastAsia" w:hAnsiTheme="majorEastAsia" w:hint="eastAsia"/>
        </w:rPr>
        <w:t>主承销商</w:t>
      </w:r>
      <w:r w:rsidR="000A66A8" w:rsidRPr="001F2973">
        <w:rPr>
          <w:rFonts w:asciiTheme="majorEastAsia" w:eastAsiaTheme="majorEastAsia" w:hAnsiTheme="majorEastAsia" w:hint="eastAsia"/>
        </w:rPr>
        <w:t>广发证券股份有限公司</w:t>
      </w:r>
      <w:r w:rsidR="000A66A8">
        <w:rPr>
          <w:rFonts w:asciiTheme="majorEastAsia" w:eastAsiaTheme="majorEastAsia" w:hAnsiTheme="majorEastAsia" w:hint="eastAsia"/>
        </w:rPr>
        <w:t>为基金管理人的非控股股东</w:t>
      </w:r>
      <w:r w:rsidR="00E32581" w:rsidRPr="00E32581">
        <w:rPr>
          <w:rFonts w:asciiTheme="majorEastAsia" w:eastAsiaTheme="majorEastAsia" w:hAnsiTheme="majorEastAsia" w:hint="eastAsia"/>
        </w:rPr>
        <w:t>。</w:t>
      </w:r>
      <w:r w:rsidR="00085335" w:rsidRPr="00085335">
        <w:rPr>
          <w:rFonts w:asciiTheme="majorEastAsia" w:eastAsiaTheme="majorEastAsia" w:hAnsiTheme="majorEastAsia" w:hint="eastAsia"/>
        </w:rPr>
        <w:t>嘉德利</w:t>
      </w:r>
      <w:r w:rsidR="001F2973" w:rsidRPr="001F2973">
        <w:rPr>
          <w:rFonts w:asciiTheme="majorEastAsia" w:eastAsiaTheme="majorEastAsia" w:hAnsiTheme="majorEastAsia" w:hint="eastAsia"/>
        </w:rPr>
        <w:t>本次发行价格为</w:t>
      </w:r>
      <w:r w:rsidR="00085335" w:rsidRPr="00085335">
        <w:rPr>
          <w:rFonts w:asciiTheme="majorEastAsia" w:eastAsiaTheme="majorEastAsia" w:hAnsiTheme="majorEastAsia"/>
        </w:rPr>
        <w:t>15.76</w:t>
      </w:r>
      <w:r w:rsidR="001F2973" w:rsidRPr="001F2973">
        <w:rPr>
          <w:rFonts w:asciiTheme="majorEastAsia" w:eastAsiaTheme="majorEastAsia" w:hAnsiTheme="majorEastAsia" w:hint="eastAsia"/>
        </w:rPr>
        <w:t>元/股，由</w:t>
      </w:r>
      <w:r w:rsidR="00085335" w:rsidRPr="00085335">
        <w:rPr>
          <w:rFonts w:asciiTheme="majorEastAsia" w:eastAsiaTheme="majorEastAsia" w:hAnsiTheme="majorEastAsia" w:hint="eastAsia"/>
        </w:rPr>
        <w:t>发行人与保荐人（主承销商）根据网下发行询价报价情况，综合评估</w:t>
      </w:r>
      <w:r w:rsidR="00085335">
        <w:rPr>
          <w:rFonts w:asciiTheme="majorEastAsia" w:eastAsiaTheme="majorEastAsia" w:hAnsiTheme="majorEastAsia" w:hint="eastAsia"/>
        </w:rPr>
        <w:t>发行人</w:t>
      </w:r>
      <w:r w:rsidR="00085335" w:rsidRPr="00085335">
        <w:rPr>
          <w:rFonts w:asciiTheme="majorEastAsia" w:eastAsiaTheme="majorEastAsia" w:hAnsiTheme="majorEastAsia" w:hint="eastAsia"/>
        </w:rPr>
        <w:t>合理投资价值、可比公司二级市场估值水平、所属行业二级市场估值水平等方面，充分考虑网下投资者有效申购倍数、市场情况、募集资金需求及承销风险等因素</w:t>
      </w:r>
      <w:r w:rsidR="001F2973" w:rsidRPr="001F2973">
        <w:rPr>
          <w:rFonts w:asciiTheme="majorEastAsia" w:eastAsiaTheme="majorEastAsia" w:hAnsiTheme="majorEastAsia" w:hint="eastAsia"/>
        </w:rPr>
        <w:t>协商确定。</w:t>
      </w:r>
    </w:p>
    <w:p w:rsidR="00141CA4" w:rsidRDefault="008757A5" w:rsidP="00141CA4">
      <w:pPr>
        <w:pStyle w:val="Default"/>
        <w:spacing w:line="360" w:lineRule="auto"/>
        <w:ind w:firstLineChars="210" w:firstLine="504"/>
        <w:rPr>
          <w:rFonts w:asciiTheme="majorEastAsia" w:eastAsiaTheme="majorEastAsia" w:hAnsiTheme="majorEastAsia"/>
        </w:rPr>
      </w:pPr>
      <w:r w:rsidRPr="001F2973">
        <w:rPr>
          <w:rFonts w:asciiTheme="majorEastAsia" w:eastAsiaTheme="majorEastAsia" w:hAnsiTheme="majorEastAsia" w:hint="eastAsia"/>
        </w:rPr>
        <w:t>现将获配结果披露如下表：</w:t>
      </w:r>
    </w:p>
    <w:p w:rsidR="00D51FD3" w:rsidRDefault="00D51FD3" w:rsidP="00141CA4">
      <w:pPr>
        <w:pStyle w:val="Default"/>
        <w:spacing w:line="360" w:lineRule="auto"/>
        <w:ind w:firstLineChars="210" w:firstLine="504"/>
        <w:rPr>
          <w:rFonts w:asciiTheme="majorEastAsia" w:eastAsiaTheme="majorEastAsia" w:hAnsiTheme="majorEastAsia"/>
        </w:rPr>
      </w:pPr>
    </w:p>
    <w:tbl>
      <w:tblPr>
        <w:tblW w:w="8364" w:type="dxa"/>
        <w:tblInd w:w="-10" w:type="dxa"/>
        <w:tblLook w:val="04A0"/>
      </w:tblPr>
      <w:tblGrid>
        <w:gridCol w:w="5529"/>
        <w:gridCol w:w="1417"/>
        <w:gridCol w:w="1418"/>
      </w:tblGrid>
      <w:tr w:rsidR="000C06AE" w:rsidTr="004A7360">
        <w:trPr>
          <w:trHeight w:val="290"/>
        </w:trPr>
        <w:tc>
          <w:tcPr>
            <w:tcW w:w="55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基金名称</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获配数量（股）</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获配金额（元）</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w:t>
            </w:r>
            <w:r w:rsidRPr="009E0FA4">
              <w:rPr>
                <w:rFonts w:ascii="宋体" w:hAnsi="宋体" w:cs="宋体" w:hint="eastAsia"/>
                <w:color w:val="000000"/>
                <w:kern w:val="0"/>
                <w:szCs w:val="21"/>
              </w:rPr>
              <w:t>180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361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5,689.36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易方达上证科创板综合增强策略交易型开放式指数证券投资基金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438</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6,902.88</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w:t>
            </w:r>
            <w:r w:rsidRPr="009E0FA4">
              <w:rPr>
                <w:rFonts w:ascii="宋体" w:hAnsi="宋体" w:cs="宋体" w:hint="eastAsia"/>
                <w:color w:val="000000"/>
                <w:kern w:val="0"/>
                <w:szCs w:val="21"/>
              </w:rPr>
              <w:t>100</w:t>
            </w:r>
            <w:r w:rsidRPr="009E0FA4">
              <w:rPr>
                <w:rFonts w:ascii="宋体" w:hAnsi="宋体" w:cs="宋体" w:hint="eastAsia"/>
                <w:color w:val="000000"/>
                <w:kern w:val="0"/>
                <w:szCs w:val="21"/>
              </w:rPr>
              <w:t>增强策略交易型开放式指数证券投资基金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524</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8,258.24</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易方达产业机遇混合型证券投资基金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533</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8,400.08</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易方达上证综合交易型开放式指数证券投资基金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601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9,471.76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易方达中证全指食品交易型开放式指数证券投资基金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636</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10,023.36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易方达量化策略精选灵活配置混合型证券投资基金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679</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10,701.04</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500</w:t>
            </w:r>
            <w:r w:rsidRPr="009E0FA4">
              <w:rPr>
                <w:rFonts w:ascii="宋体" w:hAnsi="宋体" w:cs="宋体" w:hint="eastAsia"/>
                <w:color w:val="000000"/>
                <w:kern w:val="0"/>
                <w:szCs w:val="21"/>
              </w:rPr>
              <w:t>增强策略交易型开放式指数证券投资基金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679</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10,701.04</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易方达中证国新央企科技引领交易型开放式指数证券投资基金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722</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11,378.72</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易方达国证信息技术创新主题交易型开放式指数证券投资基金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773</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12,182.48</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易方达红利混合型证券投资基金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825</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13,002.00</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2000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859</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13,537.84</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易方达上证科创板新能源交易型开放式指数证券投资基金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868</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13,679.68</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易方达国证石油天然气交易型开放式指数证券投资基金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911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14,357.36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易方达中证电信主题交易型开放式指数证券投资基金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928</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14,625.28</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w:t>
            </w:r>
            <w:r w:rsidRPr="009E0FA4">
              <w:rPr>
                <w:rFonts w:ascii="宋体" w:hAnsi="宋体" w:cs="宋体" w:hint="eastAsia"/>
                <w:color w:val="000000"/>
                <w:kern w:val="0"/>
                <w:szCs w:val="21"/>
              </w:rPr>
              <w:t>580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963</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15,176.88</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易方达中证装备产业交易型开放式指数证券投资基金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971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15,302.96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易方达中证半导体材料设备主题交易型开放式指数证券投</w:t>
            </w:r>
            <w:r w:rsidRPr="009E0FA4">
              <w:rPr>
                <w:rFonts w:ascii="宋体" w:hAnsi="宋体" w:cs="宋体" w:hint="eastAsia"/>
                <w:color w:val="000000"/>
                <w:kern w:val="0"/>
                <w:szCs w:val="21"/>
              </w:rPr>
              <w:lastRenderedPageBreak/>
              <w:t>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lastRenderedPageBreak/>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lastRenderedPageBreak/>
              <w:t>易方达科益混合型证券投资基金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800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易方达新经济灵活配置混合型证券投资基金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易方达价值成长混合型证券投资基金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易方达上证科创板综合交易型开放式指数证券投资基金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w:t>
            </w:r>
            <w:r w:rsidRPr="009E0FA4">
              <w:rPr>
                <w:rFonts w:ascii="宋体" w:hAnsi="宋体" w:cs="宋体" w:hint="eastAsia"/>
                <w:color w:val="000000"/>
                <w:kern w:val="0"/>
                <w:szCs w:val="21"/>
              </w:rPr>
              <w:t>50</w:t>
            </w:r>
            <w:r w:rsidRPr="009E0FA4">
              <w:rPr>
                <w:rFonts w:ascii="宋体" w:hAnsi="宋体" w:cs="宋体" w:hint="eastAsia"/>
                <w:color w:val="000000"/>
                <w:kern w:val="0"/>
                <w:szCs w:val="21"/>
              </w:rPr>
              <w:t>指数证券投资基金（</w:t>
            </w:r>
            <w:r w:rsidRPr="009E0FA4">
              <w:rPr>
                <w:rFonts w:ascii="宋体" w:hAnsi="宋体" w:cs="宋体" w:hint="eastAsia"/>
                <w:color w:val="000000"/>
                <w:kern w:val="0"/>
                <w:szCs w:val="21"/>
              </w:rPr>
              <w:t>LOF</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易方达长期价值混合型证券投资基金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易方达悦享一年持有期混合型证券投资基金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易方达中证光伏产业交易型开放式指数证券投资基金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1000</w:t>
            </w:r>
            <w:r w:rsidRPr="009E0FA4">
              <w:rPr>
                <w:rFonts w:ascii="宋体" w:hAnsi="宋体" w:cs="宋体" w:hint="eastAsia"/>
                <w:color w:val="000000"/>
                <w:kern w:val="0"/>
                <w:szCs w:val="21"/>
              </w:rPr>
              <w:t>指数量化增强型证券投资基金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易方达悦信一年持有期混合型证券投资基金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500</w:t>
            </w:r>
            <w:r w:rsidRPr="009E0FA4">
              <w:rPr>
                <w:rFonts w:ascii="宋体" w:hAnsi="宋体" w:cs="宋体" w:hint="eastAsia"/>
                <w:color w:val="000000"/>
                <w:kern w:val="0"/>
                <w:szCs w:val="21"/>
              </w:rPr>
              <w:t>指数量化增强型证券投资基金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易方达科创板两年定期开放混合型证券投资基金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易方达港股通红利灵活配置混合型证券投资基金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易方达研究智选股票型证券投资基金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w:t>
            </w:r>
            <w:r>
              <w:rPr>
                <w:rFonts w:ascii="宋体" w:hAnsi="宋体" w:cs="宋体" w:hint="eastAsia"/>
                <w:color w:val="000000"/>
                <w:kern w:val="0"/>
                <w:szCs w:val="21"/>
              </w:rPr>
              <w:t>,</w:t>
            </w:r>
            <w:bookmarkStart w:id="0" w:name="_GoBack"/>
            <w:bookmarkEnd w:id="0"/>
            <w:r w:rsidRPr="009E0FA4">
              <w:rPr>
                <w:rFonts w:ascii="宋体" w:hAnsi="宋体" w:cs="宋体" w:hint="eastAsia"/>
                <w:color w:val="000000"/>
                <w:kern w:val="0"/>
                <w:szCs w:val="21"/>
              </w:rPr>
              <w:t>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易方达资源行业混合型证券投资基金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易方达改革红利混合型证券投资基金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易方达科智量化选股股票型发起式证券投资基金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易方达上证科创板芯片交易型开放式指数证券投资基金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易方达中证绿色电力交易型开放式指数证券投资基金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易方达消费行业股票型证券投资基金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易方达稳健增利混合型证券投资基金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易方达沪深</w:t>
            </w:r>
            <w:r w:rsidRPr="009E0FA4">
              <w:rPr>
                <w:rFonts w:ascii="宋体" w:hAnsi="宋体" w:cs="宋体" w:hint="eastAsia"/>
                <w:color w:val="000000"/>
                <w:kern w:val="0"/>
                <w:szCs w:val="21"/>
              </w:rPr>
              <w:t>300</w:t>
            </w:r>
            <w:r w:rsidRPr="009E0FA4">
              <w:rPr>
                <w:rFonts w:ascii="宋体" w:hAnsi="宋体" w:cs="宋体" w:hint="eastAsia"/>
                <w:color w:val="000000"/>
                <w:kern w:val="0"/>
                <w:szCs w:val="21"/>
              </w:rPr>
              <w:t>交易型开放式指数发起式证券投资基金联接基金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易方达成长进取混合型证券投资基金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易方达瑞通灵活配置混合型证券投资基金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易方达上证科创板人工智能交易型开放式指数证券投资基金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易方达积极成长证券投资基金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易方达中证红利交易型开放式指数证券投资基金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易方达新鑫灵活配置混合型证券投资基金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易方达创新未来混合型证券投资基金（</w:t>
            </w:r>
            <w:r w:rsidRPr="009E0FA4">
              <w:rPr>
                <w:rFonts w:ascii="宋体" w:hAnsi="宋体" w:cs="宋体" w:hint="eastAsia"/>
                <w:color w:val="000000"/>
                <w:kern w:val="0"/>
                <w:szCs w:val="21"/>
              </w:rPr>
              <w:t>LOF</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易方达大健康主题灵活配置混合型证券投资基金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易方达国证成长</w:t>
            </w:r>
            <w:r w:rsidRPr="009E0FA4">
              <w:rPr>
                <w:rFonts w:ascii="宋体" w:hAnsi="宋体" w:cs="宋体" w:hint="eastAsia"/>
                <w:color w:val="000000"/>
                <w:kern w:val="0"/>
                <w:szCs w:val="21"/>
              </w:rPr>
              <w:t>100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易方达沪深</w:t>
            </w:r>
            <w:r w:rsidRPr="009E0FA4">
              <w:rPr>
                <w:rFonts w:ascii="宋体" w:hAnsi="宋体" w:cs="宋体" w:hint="eastAsia"/>
                <w:color w:val="000000"/>
                <w:kern w:val="0"/>
                <w:szCs w:val="21"/>
              </w:rPr>
              <w:t>300</w:t>
            </w:r>
            <w:r w:rsidRPr="009E0FA4">
              <w:rPr>
                <w:rFonts w:ascii="宋体" w:hAnsi="宋体" w:cs="宋体" w:hint="eastAsia"/>
                <w:color w:val="000000"/>
                <w:kern w:val="0"/>
                <w:szCs w:val="21"/>
              </w:rPr>
              <w:t>非银行金融交易型开放式指数证券投资基金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易方达研究精选股票型证券投资基金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易方达沪深</w:t>
            </w:r>
            <w:r w:rsidRPr="009E0FA4">
              <w:rPr>
                <w:rFonts w:ascii="宋体" w:hAnsi="宋体" w:cs="宋体" w:hint="eastAsia"/>
                <w:color w:val="000000"/>
                <w:kern w:val="0"/>
                <w:szCs w:val="21"/>
              </w:rPr>
              <w:t>300</w:t>
            </w:r>
            <w:r w:rsidRPr="009E0FA4">
              <w:rPr>
                <w:rFonts w:ascii="宋体" w:hAnsi="宋体" w:cs="宋体" w:hint="eastAsia"/>
                <w:color w:val="000000"/>
                <w:kern w:val="0"/>
                <w:szCs w:val="21"/>
              </w:rPr>
              <w:t>量化增强证券投资基金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易方达中证科创创业</w:t>
            </w:r>
            <w:r w:rsidRPr="009E0FA4">
              <w:rPr>
                <w:rFonts w:ascii="宋体" w:hAnsi="宋体" w:cs="宋体" w:hint="eastAsia"/>
                <w:color w:val="000000"/>
                <w:kern w:val="0"/>
                <w:szCs w:val="21"/>
              </w:rPr>
              <w:t>50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易方达均衡成长股票型证券投资基金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易方达中证全指证券公司指数证券投资基金（</w:t>
            </w:r>
            <w:r w:rsidRPr="009E0FA4">
              <w:rPr>
                <w:rFonts w:ascii="宋体" w:hAnsi="宋体" w:cs="宋体" w:hint="eastAsia"/>
                <w:color w:val="000000"/>
                <w:kern w:val="0"/>
                <w:szCs w:val="21"/>
              </w:rPr>
              <w:t>LOF</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易方达核心智造混合型证券投资基金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易方达瑞景灵活配置混合型证券投资基金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A50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易方达中证消费电子主题交易型开放式指数证券投资基金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易方达新丝路灵活配置混合型证券投资基金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易方达中证石化产业交易型开放式指数证券投资基金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易方达易百智能量化策略灵活配置混合型证券投资基金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易方达新收益灵活配置混合型证券投资基金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易方达中证科创创业人工智能交易型开放式指数证券投资基金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易方达供给改革灵活配置混合型证券投资基金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易方达价值回报混合型证券投资基金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A500</w:t>
            </w:r>
            <w:r w:rsidRPr="009E0FA4">
              <w:rPr>
                <w:rFonts w:ascii="宋体" w:hAnsi="宋体" w:cs="宋体" w:hint="eastAsia"/>
                <w:color w:val="000000"/>
                <w:kern w:val="0"/>
                <w:szCs w:val="21"/>
              </w:rPr>
              <w:t>指数量化增强型证券投资基金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易方达中证万得并购重组指数证券投资基金（</w:t>
            </w:r>
            <w:r w:rsidRPr="009E0FA4">
              <w:rPr>
                <w:rFonts w:ascii="宋体" w:hAnsi="宋体" w:cs="宋体" w:hint="eastAsia"/>
                <w:color w:val="000000"/>
                <w:kern w:val="0"/>
                <w:szCs w:val="21"/>
              </w:rPr>
              <w:t>LOF</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易方达行业领先企业混合型证券投资基金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易方达中证上海环交所碳中和交易型开放式指数证券投资基金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易方达上证科创板综合指数增强型证券投资基金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易方达上证科创板芯片交易型开放式指数证券投资基金发起式联接基金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易方达沪深</w:t>
            </w:r>
            <w:r w:rsidRPr="009E0FA4">
              <w:rPr>
                <w:rFonts w:ascii="宋体" w:hAnsi="宋体" w:cs="宋体" w:hint="eastAsia"/>
                <w:color w:val="000000"/>
                <w:kern w:val="0"/>
                <w:szCs w:val="21"/>
              </w:rPr>
              <w:t>300</w:t>
            </w:r>
            <w:r w:rsidRPr="009E0FA4">
              <w:rPr>
                <w:rFonts w:ascii="宋体" w:hAnsi="宋体" w:cs="宋体" w:hint="eastAsia"/>
                <w:color w:val="000000"/>
                <w:kern w:val="0"/>
                <w:szCs w:val="21"/>
              </w:rPr>
              <w:t>交易型开放式指数发起式证券投资基金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易方达瑞恒灵活配置混合型证券投资基金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易方达瑞财灵活配置混合型证券投资基金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易方达中证万得生物科技指数证券投资基金（</w:t>
            </w:r>
            <w:r w:rsidRPr="009E0FA4">
              <w:rPr>
                <w:rFonts w:ascii="宋体" w:hAnsi="宋体" w:cs="宋体" w:hint="eastAsia"/>
                <w:color w:val="000000"/>
                <w:kern w:val="0"/>
                <w:szCs w:val="21"/>
              </w:rPr>
              <w:t>LOF</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易方达稳健增长混合型证券投资基金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500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易方达瑞程灵活配置混合型证券投资基金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易方达医药生物股票型证券投资基金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w:t>
            </w:r>
            <w:r w:rsidRPr="009E0FA4">
              <w:rPr>
                <w:rFonts w:ascii="宋体" w:hAnsi="宋体" w:cs="宋体" w:hint="eastAsia"/>
                <w:color w:val="000000"/>
                <w:kern w:val="0"/>
                <w:szCs w:val="21"/>
              </w:rPr>
              <w:t>50</w:t>
            </w:r>
            <w:r w:rsidRPr="009E0FA4">
              <w:rPr>
                <w:rFonts w:ascii="宋体" w:hAnsi="宋体" w:cs="宋体" w:hint="eastAsia"/>
                <w:color w:val="000000"/>
                <w:kern w:val="0"/>
                <w:szCs w:val="21"/>
              </w:rPr>
              <w:t>成份交易型开放式指数证券投资基金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易方达品质动能三年持有期混合型证券投资基金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A500</w:t>
            </w:r>
            <w:r w:rsidRPr="009E0FA4">
              <w:rPr>
                <w:rFonts w:ascii="宋体" w:hAnsi="宋体" w:cs="宋体" w:hint="eastAsia"/>
                <w:color w:val="000000"/>
                <w:kern w:val="0"/>
                <w:szCs w:val="21"/>
              </w:rPr>
              <w:t>交易型开放式指数证券投资基金联接基金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易方达恒生</w:t>
            </w:r>
            <w:r w:rsidRPr="009E0FA4">
              <w:rPr>
                <w:rFonts w:ascii="宋体" w:hAnsi="宋体" w:cs="宋体" w:hint="eastAsia"/>
                <w:color w:val="000000"/>
                <w:kern w:val="0"/>
                <w:szCs w:val="21"/>
              </w:rPr>
              <w:t>A</w:t>
            </w:r>
            <w:r w:rsidRPr="009E0FA4">
              <w:rPr>
                <w:rFonts w:ascii="宋体" w:hAnsi="宋体" w:cs="宋体" w:hint="eastAsia"/>
                <w:color w:val="000000"/>
                <w:kern w:val="0"/>
                <w:szCs w:val="21"/>
              </w:rPr>
              <w:t>股电网设备交易型开放式指数证券投资基金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易方达中证军工交易型开放式指数证券投资基金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易方达现代服务业灵活配置混合型证券投资基金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易方达科瑞灵活配置混合型证券投资基金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易方达中证芯片产业交易型开放式指数证券投资基金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易方达中证红利价值交易型开放式指数证券投资基金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易方达蓝筹精选混合型证券投资基金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800</w:t>
            </w:r>
            <w:r w:rsidRPr="009E0FA4">
              <w:rPr>
                <w:rFonts w:ascii="宋体" w:hAnsi="宋体" w:cs="宋体" w:hint="eastAsia"/>
                <w:color w:val="000000"/>
                <w:kern w:val="0"/>
                <w:szCs w:val="21"/>
              </w:rPr>
              <w:t>指数增强型证券投资基金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易方达中证人工智能主题交易型开放式指数证券投资基金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易方达中证新能源交易型开放式指数证券投资基金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易方达平衡精选混合型证券投资基金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易方达中证创新药产业交易型开放式指数证券投资基金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易方达科融混合型证券投资基金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易方达沪深</w:t>
            </w:r>
            <w:r w:rsidRPr="009E0FA4">
              <w:rPr>
                <w:rFonts w:ascii="宋体" w:hAnsi="宋体" w:cs="宋体" w:hint="eastAsia"/>
                <w:color w:val="000000"/>
                <w:kern w:val="0"/>
                <w:szCs w:val="21"/>
              </w:rPr>
              <w:t>300</w:t>
            </w:r>
            <w:r w:rsidRPr="009E0FA4">
              <w:rPr>
                <w:rFonts w:ascii="宋体" w:hAnsi="宋体" w:cs="宋体" w:hint="eastAsia"/>
                <w:color w:val="000000"/>
                <w:kern w:val="0"/>
                <w:szCs w:val="21"/>
              </w:rPr>
              <w:t>医药卫生交易型开放式指数证券投资基金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w:t>
            </w:r>
            <w:r w:rsidRPr="009E0FA4">
              <w:rPr>
                <w:rFonts w:ascii="宋体" w:hAnsi="宋体" w:cs="宋体" w:hint="eastAsia"/>
                <w:color w:val="000000"/>
                <w:kern w:val="0"/>
                <w:szCs w:val="21"/>
              </w:rPr>
              <w:t>50</w:t>
            </w:r>
            <w:r w:rsidRPr="009E0FA4">
              <w:rPr>
                <w:rFonts w:ascii="宋体" w:hAnsi="宋体" w:cs="宋体" w:hint="eastAsia"/>
                <w:color w:val="000000"/>
                <w:kern w:val="0"/>
                <w:szCs w:val="21"/>
              </w:rPr>
              <w:t>成份交易型开放式指数证券投资基金联接基金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易方达磐恒九个月持有期混合型证券投资基金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易方达中盘成长混合型证券投资基金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易方达沪深</w:t>
            </w:r>
            <w:r w:rsidRPr="009E0FA4">
              <w:rPr>
                <w:rFonts w:ascii="宋体" w:hAnsi="宋体" w:cs="宋体" w:hint="eastAsia"/>
                <w:color w:val="000000"/>
                <w:kern w:val="0"/>
                <w:szCs w:val="21"/>
              </w:rPr>
              <w:t>300</w:t>
            </w:r>
            <w:r w:rsidRPr="009E0FA4">
              <w:rPr>
                <w:rFonts w:ascii="宋体" w:hAnsi="宋体" w:cs="宋体" w:hint="eastAsia"/>
                <w:color w:val="000000"/>
                <w:kern w:val="0"/>
                <w:szCs w:val="21"/>
              </w:rPr>
              <w:t>指数精选增强型证券投资基金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易方达瑞弘灵活配置混合型证券投资基金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易方达中证软件服务交易型开放式指数证券投资基金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易方达策略成长二号混合型证券投资基金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易方达产业优选混合型证券投资基金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易方达远见成长混合型证券投资基金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w:t>
            </w:r>
            <w:r w:rsidRPr="009E0FA4">
              <w:rPr>
                <w:rFonts w:ascii="宋体" w:hAnsi="宋体" w:cs="宋体" w:hint="eastAsia"/>
                <w:color w:val="000000"/>
                <w:kern w:val="0"/>
                <w:szCs w:val="21"/>
              </w:rPr>
              <w:t>MSCI</w:t>
            </w:r>
            <w:r w:rsidRPr="009E0FA4">
              <w:rPr>
                <w:rFonts w:ascii="宋体" w:hAnsi="宋体" w:cs="宋体" w:hint="eastAsia"/>
                <w:color w:val="000000"/>
                <w:kern w:val="0"/>
                <w:szCs w:val="21"/>
              </w:rPr>
              <w:t>中国</w:t>
            </w:r>
            <w:r w:rsidRPr="009E0FA4">
              <w:rPr>
                <w:rFonts w:ascii="宋体" w:hAnsi="宋体" w:cs="宋体" w:hint="eastAsia"/>
                <w:color w:val="000000"/>
                <w:kern w:val="0"/>
                <w:szCs w:val="21"/>
              </w:rPr>
              <w:t>A50</w:t>
            </w:r>
            <w:r w:rsidRPr="009E0FA4">
              <w:rPr>
                <w:rFonts w:ascii="宋体" w:hAnsi="宋体" w:cs="宋体" w:hint="eastAsia"/>
                <w:color w:val="000000"/>
                <w:kern w:val="0"/>
                <w:szCs w:val="21"/>
              </w:rPr>
              <w:t>互联互通交易型开放式指数证券投资基金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易方达中证云计算与大数据主题交易型开放式指数证券投资基金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易方达竞争优势企业混合型证券投资基金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易方达国企改革混合型证券投资基金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易方达平衡视野混合型证券投资基金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易方达国证价值</w:t>
            </w:r>
            <w:r w:rsidRPr="009E0FA4">
              <w:rPr>
                <w:rFonts w:ascii="宋体" w:hAnsi="宋体" w:cs="宋体" w:hint="eastAsia"/>
                <w:color w:val="000000"/>
                <w:kern w:val="0"/>
                <w:szCs w:val="21"/>
              </w:rPr>
              <w:t>100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w:t>
            </w:r>
            <w:r w:rsidRPr="009E0FA4">
              <w:rPr>
                <w:rFonts w:ascii="宋体" w:hAnsi="宋体" w:cs="宋体" w:hint="eastAsia"/>
                <w:color w:val="000000"/>
                <w:kern w:val="0"/>
                <w:szCs w:val="21"/>
              </w:rPr>
              <w:t>MSCI</w:t>
            </w:r>
            <w:r w:rsidRPr="009E0FA4">
              <w:rPr>
                <w:rFonts w:ascii="宋体" w:hAnsi="宋体" w:cs="宋体" w:hint="eastAsia"/>
                <w:color w:val="000000"/>
                <w:kern w:val="0"/>
                <w:szCs w:val="21"/>
              </w:rPr>
              <w:t>中国</w:t>
            </w:r>
            <w:r w:rsidRPr="009E0FA4">
              <w:rPr>
                <w:rFonts w:ascii="宋体" w:hAnsi="宋体" w:cs="宋体" w:hint="eastAsia"/>
                <w:color w:val="000000"/>
                <w:kern w:val="0"/>
                <w:szCs w:val="21"/>
              </w:rPr>
              <w:t>A</w:t>
            </w:r>
            <w:r w:rsidRPr="009E0FA4">
              <w:rPr>
                <w:rFonts w:ascii="宋体" w:hAnsi="宋体" w:cs="宋体" w:hint="eastAsia"/>
                <w:color w:val="000000"/>
                <w:kern w:val="0"/>
                <w:szCs w:val="21"/>
              </w:rPr>
              <w:t>股国际通交易型开放式指数证券投资基金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易方达上证科创板芯片设计主题交易型开放式指数证券投资基金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易方达中证内地低碳经济主题交易型开放式指数证券投资基金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易方达中证科技</w:t>
            </w:r>
            <w:r w:rsidRPr="009E0FA4">
              <w:rPr>
                <w:rFonts w:ascii="宋体" w:hAnsi="宋体" w:cs="宋体" w:hint="eastAsia"/>
                <w:color w:val="000000"/>
                <w:kern w:val="0"/>
                <w:szCs w:val="21"/>
              </w:rPr>
              <w:t>50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易方达国证机器人产业交易型开放式指数证券投资基金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易方达科汇灵活配置混合型证券投资基金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易方达国证新能源电池交易型开放式指数证券投资基金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易方达中证长江保护主题交易型开放式指数证券投资基金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易方达悦兴一年持有期混合型证券投资基金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易方达科润混合型证券投资基金（</w:t>
            </w:r>
            <w:r w:rsidRPr="009E0FA4">
              <w:rPr>
                <w:rFonts w:ascii="宋体" w:hAnsi="宋体" w:cs="宋体" w:hint="eastAsia"/>
                <w:color w:val="000000"/>
                <w:kern w:val="0"/>
                <w:szCs w:val="21"/>
              </w:rPr>
              <w:t>LOF</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易方达中证稀土产业交易型开放式指数证券投资基金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易方达中证国企一带一路交易型开放式指数证券投资基金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易方达中证医疗交易型开放式指数证券投资基金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易方达创新驱动灵活配置混合型证券投资基金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易方达价值精选混合型证券投资基金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易方达中证国资央企</w:t>
            </w:r>
            <w:r w:rsidRPr="009E0FA4">
              <w:rPr>
                <w:rFonts w:ascii="宋体" w:hAnsi="宋体" w:cs="宋体" w:hint="eastAsia"/>
                <w:color w:val="000000"/>
                <w:kern w:val="0"/>
                <w:szCs w:val="21"/>
              </w:rPr>
              <w:t>50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w:t>
            </w:r>
            <w:r w:rsidRPr="009E0FA4">
              <w:rPr>
                <w:rFonts w:ascii="宋体" w:hAnsi="宋体" w:cs="宋体" w:hint="eastAsia"/>
                <w:color w:val="000000"/>
                <w:kern w:val="0"/>
                <w:szCs w:val="21"/>
              </w:rPr>
              <w:t>50</w:t>
            </w:r>
            <w:r w:rsidRPr="009E0FA4">
              <w:rPr>
                <w:rFonts w:ascii="宋体" w:hAnsi="宋体" w:cs="宋体" w:hint="eastAsia"/>
                <w:color w:val="000000"/>
                <w:kern w:val="0"/>
                <w:szCs w:val="21"/>
              </w:rPr>
              <w:t>指数增强型证券投资基金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w:t>
            </w:r>
            <w:r w:rsidRPr="009E0FA4">
              <w:rPr>
                <w:rFonts w:ascii="宋体" w:hAnsi="宋体" w:cs="宋体" w:hint="eastAsia"/>
                <w:color w:val="000000"/>
                <w:kern w:val="0"/>
                <w:szCs w:val="21"/>
              </w:rPr>
              <w:t>ESG</w:t>
            </w:r>
            <w:r w:rsidRPr="009E0FA4">
              <w:rPr>
                <w:rFonts w:ascii="宋体" w:hAnsi="宋体" w:cs="宋体" w:hint="eastAsia"/>
                <w:color w:val="000000"/>
                <w:kern w:val="0"/>
                <w:szCs w:val="21"/>
              </w:rPr>
              <w:t>责任投资股票型发起式证券投资基金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w:t>
            </w:r>
            <w:r w:rsidRPr="009E0FA4">
              <w:rPr>
                <w:rFonts w:ascii="宋体" w:hAnsi="宋体" w:cs="宋体" w:hint="eastAsia"/>
                <w:color w:val="000000"/>
                <w:kern w:val="0"/>
                <w:szCs w:val="21"/>
              </w:rPr>
              <w:t>100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易方达中证沪深港黄金产业股票指数发起式证券投资基金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易方达新享灵活配置混合型证券投资基金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易方达逆向投资混合型证券投资基金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易方达环保主题灵活配置混合型证券投资基金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易方达先锋成长混合型证券投资基金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易方达瑞信灵活配置混合型证券投资基金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易方达裕惠回报定期开放式混合型发起式证券投资基金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易方达创新成长混合型证券投资基金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A500</w:t>
            </w:r>
            <w:r w:rsidRPr="009E0FA4">
              <w:rPr>
                <w:rFonts w:ascii="宋体" w:hAnsi="宋体" w:cs="宋体" w:hint="eastAsia"/>
                <w:color w:val="000000"/>
                <w:kern w:val="0"/>
                <w:szCs w:val="21"/>
              </w:rPr>
              <w:t>红利低波动交易型开放式指数证券投资基金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易方达恒盛</w:t>
            </w:r>
            <w:r w:rsidRPr="009E0FA4">
              <w:rPr>
                <w:rFonts w:ascii="宋体" w:hAnsi="宋体" w:cs="宋体" w:hint="eastAsia"/>
                <w:color w:val="000000"/>
                <w:kern w:val="0"/>
                <w:szCs w:val="21"/>
              </w:rPr>
              <w:t>3</w:t>
            </w:r>
            <w:r w:rsidRPr="009E0FA4">
              <w:rPr>
                <w:rFonts w:ascii="宋体" w:hAnsi="宋体" w:cs="宋体" w:hint="eastAsia"/>
                <w:color w:val="000000"/>
                <w:kern w:val="0"/>
                <w:szCs w:val="21"/>
              </w:rPr>
              <w:t>个月定期开放混合型发起式证券投资基金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易方达智造优势混合型证券投资基金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易方达中证军工指数证券投资基金（</w:t>
            </w:r>
            <w:r w:rsidRPr="009E0FA4">
              <w:rPr>
                <w:rFonts w:ascii="宋体" w:hAnsi="宋体" w:cs="宋体" w:hint="eastAsia"/>
                <w:color w:val="000000"/>
                <w:kern w:val="0"/>
                <w:szCs w:val="21"/>
              </w:rPr>
              <w:t>LOF</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1000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易方达平稳增长证券投资基金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易方达中证红利低波动交易型开放式指数证券投资基金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易方达安心回馈混合型证券投资基金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易方达策略成长证券投资基金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易方达核心优势股票型证券投资基金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A500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易方达新兴成长灵活配置混合型证券投资基金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易方达国企主题混合型证券投资基金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易方达瑞锦灵活配置混合型发起式证券投资基金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w:t>
            </w:r>
            <w:r w:rsidRPr="009E0FA4">
              <w:rPr>
                <w:rFonts w:ascii="宋体" w:hAnsi="宋体" w:cs="宋体" w:hint="eastAsia"/>
                <w:color w:val="000000"/>
                <w:kern w:val="0"/>
                <w:szCs w:val="21"/>
              </w:rPr>
              <w:t>50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易方达中证银行交易型开放式指数证券投资基金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易方达消费精选股票型证券投资基金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易方达中证全指证券公司交易型开放式指数证券投资基金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易方达高质量严选三年持有期混合型证券投资基金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易方达科翔混合型证券投资基金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易方达产业升级混合型证券投资基金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易方达金融行业股票型发起式证券投资基金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w:t>
            </w:r>
            <w:r w:rsidRPr="009E0FA4">
              <w:rPr>
                <w:rFonts w:ascii="宋体" w:hAnsi="宋体" w:cs="宋体" w:hint="eastAsia"/>
                <w:color w:val="000000"/>
                <w:kern w:val="0"/>
                <w:szCs w:val="21"/>
              </w:rPr>
              <w:t>380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易方达国证自由现金流交易型开放式指数证券投资基金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易方达瑞和灵活配置混合型证券投资基金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w:t>
            </w:r>
            <w:r w:rsidRPr="009E0FA4">
              <w:rPr>
                <w:rFonts w:ascii="宋体" w:hAnsi="宋体" w:cs="宋体" w:hint="eastAsia"/>
                <w:color w:val="000000"/>
                <w:kern w:val="0"/>
                <w:szCs w:val="21"/>
              </w:rPr>
              <w:t>500</w:t>
            </w:r>
            <w:r w:rsidRPr="009E0FA4">
              <w:rPr>
                <w:rFonts w:ascii="宋体" w:hAnsi="宋体" w:cs="宋体" w:hint="eastAsia"/>
                <w:color w:val="000000"/>
                <w:kern w:val="0"/>
                <w:szCs w:val="21"/>
              </w:rPr>
              <w:t>质量成长交易型开放式指数证券投资基金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易方达国防军工混合型证券投资基金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易方达稳健回报混合型证券投资基金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易方达瑞享灵活配置混合型证券投资基金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易方达安盈回报混合型证券投资基金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易方达中证人工智能主题交易型开放式指数证券投资基金联接基金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易方达上证科创板成长交易型开放式指数证券投资基金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易方达中证卫星产业交易型开放式指数证券投资基金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易方达科讯混合型证券投资基金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易方达港股通成长混合型证券投资基金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易方达磐泰一年持有期混合型证券投资基金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易方达优势进取混合型证券投资基金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易方达上证科创板</w:t>
            </w:r>
            <w:r w:rsidRPr="009E0FA4">
              <w:rPr>
                <w:rFonts w:ascii="宋体" w:hAnsi="宋体" w:cs="宋体" w:hint="eastAsia"/>
                <w:color w:val="000000"/>
                <w:kern w:val="0"/>
                <w:szCs w:val="21"/>
              </w:rPr>
              <w:t>200</w:t>
            </w:r>
            <w:r w:rsidRPr="009E0FA4">
              <w:rPr>
                <w:rFonts w:ascii="宋体" w:hAnsi="宋体" w:cs="宋体" w:hint="eastAsia"/>
                <w:color w:val="000000"/>
                <w:kern w:val="0"/>
                <w:szCs w:val="21"/>
              </w:rPr>
              <w:t>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易方达中证汽车零部件主题交易型开放式指数证券投资基金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易方达新利灵活配置混合型证券投资基金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易方达港股通优质增长混合型证券投资基金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易方达新常态灵活配置混合型证券投资基金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易方达高端制造混合型发起式证券投资基金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易方达医疗保健行业混合型证券投资基金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易方达成长动力混合型证券投资基金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易方达中证生物科技主题交易型开放式指数证券投资基金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易方达科技创新混合型证券投资基金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易方达科技先锋混合型证券投资基金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易方达战略新兴产业股票型证券投资基金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易方达瑞智灵活配置混合型证券投资基金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易方达瑞富灵活配置混合型证券投资基金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易方达优质企业三年持有期混合型证券投资基金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易方达信息行业精选股票型证券投资基金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易方达成长驱动混合型证券投资基金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易方达信息产业混合型证券投资基金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易方达商业模式优选混合型证券投资基金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易方达消费机遇混合型证券投资基金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易方达上证中盘交易型开放式指数证券投资基金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易方达科鑫量化选股股票型发起式证券投资基金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易方达科技智选混合型证券投资基金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易方达优质精选混合型证券投资基金</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易方达全球优质企业混合型证券投资基金（</w:t>
            </w:r>
            <w:r w:rsidRPr="009E0FA4">
              <w:rPr>
                <w:rFonts w:ascii="宋体" w:hAnsi="宋体" w:cs="宋体" w:hint="eastAsia"/>
                <w:color w:val="000000"/>
                <w:kern w:val="0"/>
                <w:szCs w:val="21"/>
              </w:rPr>
              <w:t>QDII</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易方达全球成长精选混合型证券投资基金（</w:t>
            </w:r>
            <w:r w:rsidRPr="009E0FA4">
              <w:rPr>
                <w:rFonts w:ascii="宋体" w:hAnsi="宋体" w:cs="宋体" w:hint="eastAsia"/>
                <w:color w:val="000000"/>
                <w:kern w:val="0"/>
                <w:szCs w:val="21"/>
              </w:rPr>
              <w:t>QDII</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r w:rsidR="000C06AE" w:rsidTr="004A7360">
        <w:trPr>
          <w:trHeight w:val="290"/>
        </w:trPr>
        <w:tc>
          <w:tcPr>
            <w:tcW w:w="5529" w:type="dxa"/>
            <w:tcBorders>
              <w:top w:val="nil"/>
              <w:left w:val="single" w:sz="8" w:space="0" w:color="auto"/>
              <w:bottom w:val="single" w:sz="8" w:space="0" w:color="auto"/>
              <w:right w:val="single" w:sz="8" w:space="0" w:color="auto"/>
            </w:tcBorders>
            <w:shd w:val="clear" w:color="auto" w:fill="auto"/>
            <w:vAlign w:val="center"/>
            <w:hideMark/>
          </w:tcPr>
          <w:p w:rsidR="009E0FA4" w:rsidRPr="009E0FA4" w:rsidRDefault="008757A5" w:rsidP="009E0FA4">
            <w:pPr>
              <w:widowControl/>
              <w:jc w:val="center"/>
              <w:rPr>
                <w:rFonts w:ascii="宋体" w:hAnsi="宋体" w:cs="宋体"/>
                <w:color w:val="000000"/>
                <w:kern w:val="0"/>
                <w:szCs w:val="21"/>
              </w:rPr>
            </w:pPr>
            <w:r w:rsidRPr="009E0FA4">
              <w:rPr>
                <w:rFonts w:ascii="宋体" w:hAnsi="宋体" w:cs="宋体" w:hint="eastAsia"/>
                <w:color w:val="000000"/>
                <w:kern w:val="0"/>
                <w:szCs w:val="21"/>
              </w:rPr>
              <w:t>易方达全球配置混合型证券投资基金（</w:t>
            </w:r>
            <w:r w:rsidRPr="009E0FA4">
              <w:rPr>
                <w:rFonts w:ascii="宋体" w:hAnsi="宋体" w:cs="宋体" w:hint="eastAsia"/>
                <w:color w:val="000000"/>
                <w:kern w:val="0"/>
                <w:szCs w:val="21"/>
              </w:rPr>
              <w:t>QDII</w:t>
            </w:r>
            <w:r w:rsidRPr="009E0FA4">
              <w:rPr>
                <w:rFonts w:ascii="宋体" w:hAnsi="宋体" w:cs="宋体" w:hint="eastAsia"/>
                <w:color w:val="000000"/>
                <w:kern w:val="0"/>
                <w:szCs w:val="21"/>
              </w:rPr>
              <w:t>）</w:t>
            </w:r>
          </w:p>
        </w:tc>
        <w:tc>
          <w:tcPr>
            <w:tcW w:w="1417"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1,031</w:t>
            </w:r>
          </w:p>
        </w:tc>
        <w:tc>
          <w:tcPr>
            <w:tcW w:w="1418" w:type="dxa"/>
            <w:tcBorders>
              <w:top w:val="nil"/>
              <w:left w:val="nil"/>
              <w:bottom w:val="single" w:sz="8" w:space="0" w:color="auto"/>
              <w:right w:val="single" w:sz="8" w:space="0" w:color="auto"/>
            </w:tcBorders>
            <w:shd w:val="clear" w:color="000000" w:fill="FFFFFF"/>
            <w:noWrap/>
            <w:vAlign w:val="center"/>
            <w:hideMark/>
          </w:tcPr>
          <w:p w:rsidR="009E0FA4" w:rsidRPr="009E0FA4" w:rsidRDefault="008757A5" w:rsidP="009E0FA4">
            <w:pPr>
              <w:widowControl/>
              <w:jc w:val="right"/>
              <w:rPr>
                <w:rFonts w:ascii="宋体" w:hAnsi="宋体" w:cs="宋体"/>
                <w:color w:val="000000"/>
                <w:kern w:val="0"/>
                <w:szCs w:val="21"/>
              </w:rPr>
            </w:pPr>
            <w:r w:rsidRPr="009E0FA4">
              <w:rPr>
                <w:rFonts w:ascii="宋体" w:hAnsi="宋体" w:cs="宋体" w:hint="eastAsia"/>
                <w:color w:val="000000"/>
                <w:kern w:val="0"/>
                <w:szCs w:val="21"/>
              </w:rPr>
              <w:t>16,248.56</w:t>
            </w:r>
          </w:p>
        </w:tc>
      </w:tr>
    </w:tbl>
    <w:p w:rsidR="00141CA4" w:rsidRPr="00923081" w:rsidRDefault="00141CA4" w:rsidP="001F2973">
      <w:pPr>
        <w:widowControl/>
        <w:spacing w:line="360" w:lineRule="auto"/>
        <w:ind w:firstLineChars="200" w:firstLine="480"/>
        <w:jc w:val="left"/>
        <w:rPr>
          <w:rFonts w:asciiTheme="majorEastAsia" w:eastAsiaTheme="majorEastAsia" w:hAnsiTheme="majorEastAsia"/>
          <w:kern w:val="0"/>
          <w:sz w:val="24"/>
          <w:szCs w:val="24"/>
        </w:rPr>
      </w:pPr>
    </w:p>
    <w:p w:rsidR="00141CA4" w:rsidRPr="001F12D1" w:rsidRDefault="008757A5" w:rsidP="00141CA4">
      <w:pPr>
        <w:widowControl/>
        <w:spacing w:line="360" w:lineRule="auto"/>
        <w:ind w:firstLine="480"/>
        <w:jc w:val="left"/>
        <w:rPr>
          <w:rFonts w:asciiTheme="majorEastAsia" w:eastAsiaTheme="majorEastAsia" w:hAnsiTheme="majorEastAsia" w:cs="宋体"/>
          <w:kern w:val="0"/>
          <w:sz w:val="24"/>
        </w:rPr>
      </w:pPr>
      <w:r w:rsidRPr="001F12D1">
        <w:rPr>
          <w:rFonts w:asciiTheme="majorEastAsia" w:eastAsiaTheme="majorEastAsia" w:hAnsiTheme="majorEastAsia" w:cs="宋体" w:hint="eastAsia"/>
          <w:kern w:val="0"/>
          <w:sz w:val="24"/>
        </w:rPr>
        <w:t>特此公告。</w:t>
      </w:r>
    </w:p>
    <w:p w:rsidR="00141CA4" w:rsidRPr="001F12D1" w:rsidRDefault="008757A5" w:rsidP="00141CA4">
      <w:pPr>
        <w:widowControl/>
        <w:spacing w:line="360" w:lineRule="auto"/>
        <w:ind w:firstLine="480"/>
        <w:jc w:val="left"/>
        <w:rPr>
          <w:rFonts w:asciiTheme="majorEastAsia" w:eastAsiaTheme="majorEastAsia" w:hAnsiTheme="majorEastAsia"/>
          <w:kern w:val="0"/>
          <w:sz w:val="24"/>
        </w:rPr>
      </w:pPr>
      <w:r w:rsidRPr="001F12D1">
        <w:rPr>
          <w:rFonts w:asciiTheme="majorEastAsia" w:eastAsiaTheme="majorEastAsia" w:hAnsiTheme="majorEastAsia"/>
          <w:kern w:val="0"/>
          <w:sz w:val="24"/>
        </w:rPr>
        <w:t> </w:t>
      </w:r>
    </w:p>
    <w:p w:rsidR="00141CA4" w:rsidRPr="001F12D1" w:rsidRDefault="008757A5" w:rsidP="00141CA4">
      <w:pPr>
        <w:widowControl/>
        <w:ind w:firstLineChars="200" w:firstLine="480"/>
        <w:jc w:val="right"/>
        <w:rPr>
          <w:rFonts w:asciiTheme="majorEastAsia" w:eastAsiaTheme="majorEastAsia" w:hAnsiTheme="majorEastAsia" w:cs="宋体"/>
          <w:kern w:val="0"/>
          <w:sz w:val="24"/>
        </w:rPr>
      </w:pPr>
      <w:r w:rsidRPr="001F12D1">
        <w:rPr>
          <w:rFonts w:asciiTheme="majorEastAsia" w:eastAsiaTheme="majorEastAsia" w:hAnsiTheme="majorEastAsia"/>
          <w:kern w:val="0"/>
          <w:sz w:val="24"/>
        </w:rPr>
        <w:t xml:space="preserve">    </w:t>
      </w:r>
      <w:r w:rsidRPr="001F12D1">
        <w:rPr>
          <w:rFonts w:asciiTheme="majorEastAsia" w:eastAsiaTheme="majorEastAsia" w:hAnsiTheme="majorEastAsia" w:cs="宋体" w:hint="eastAsia"/>
          <w:kern w:val="0"/>
          <w:sz w:val="24"/>
        </w:rPr>
        <w:t xml:space="preserve">　　　　　　　</w:t>
      </w:r>
    </w:p>
    <w:p w:rsidR="00141CA4" w:rsidRPr="000C30E2" w:rsidRDefault="008757A5" w:rsidP="00141CA4">
      <w:pPr>
        <w:widowControl/>
        <w:ind w:right="723" w:firstLineChars="200" w:firstLine="480"/>
        <w:jc w:val="right"/>
        <w:rPr>
          <w:rFonts w:asciiTheme="majorEastAsia" w:eastAsiaTheme="majorEastAsia" w:hAnsiTheme="majorEastAsia" w:cs="宋体"/>
          <w:kern w:val="0"/>
          <w:sz w:val="24"/>
        </w:rPr>
      </w:pPr>
      <w:r w:rsidRPr="000C30E2">
        <w:rPr>
          <w:rFonts w:asciiTheme="majorEastAsia" w:eastAsiaTheme="majorEastAsia" w:hAnsiTheme="majorEastAsia" w:cs="宋体" w:hint="eastAsia"/>
          <w:kern w:val="0"/>
          <w:sz w:val="24"/>
        </w:rPr>
        <w:t>易方达基金管理有限公司</w:t>
      </w:r>
    </w:p>
    <w:p w:rsidR="00141CA4" w:rsidRPr="00C60862" w:rsidRDefault="008757A5" w:rsidP="00141CA4">
      <w:pPr>
        <w:widowControl/>
        <w:wordWrap w:val="0"/>
        <w:ind w:right="964"/>
        <w:jc w:val="right"/>
        <w:rPr>
          <w:rFonts w:asciiTheme="majorEastAsia" w:eastAsiaTheme="majorEastAsia" w:hAnsiTheme="majorEastAsia" w:cs="宋体"/>
          <w:kern w:val="0"/>
          <w:sz w:val="24"/>
          <w:szCs w:val="24"/>
        </w:rPr>
      </w:pPr>
      <w:r w:rsidRPr="00C60862">
        <w:rPr>
          <w:rFonts w:asciiTheme="majorEastAsia" w:eastAsiaTheme="majorEastAsia" w:hAnsiTheme="majorEastAsia" w:cs="宋体" w:hint="eastAsia"/>
          <w:bCs/>
          <w:kern w:val="0"/>
          <w:sz w:val="24"/>
          <w:szCs w:val="24"/>
        </w:rPr>
        <w:t>202</w:t>
      </w:r>
      <w:r w:rsidR="004A7360">
        <w:rPr>
          <w:rFonts w:asciiTheme="majorEastAsia" w:eastAsiaTheme="majorEastAsia" w:hAnsiTheme="majorEastAsia" w:cs="宋体"/>
          <w:bCs/>
          <w:kern w:val="0"/>
          <w:sz w:val="24"/>
          <w:szCs w:val="24"/>
        </w:rPr>
        <w:t>6</w:t>
      </w:r>
      <w:r w:rsidRPr="00C60862">
        <w:rPr>
          <w:rFonts w:asciiTheme="majorEastAsia" w:eastAsiaTheme="majorEastAsia" w:hAnsiTheme="majorEastAsia" w:cs="宋体" w:hint="eastAsia"/>
          <w:bCs/>
          <w:kern w:val="0"/>
          <w:sz w:val="24"/>
          <w:szCs w:val="24"/>
        </w:rPr>
        <w:t>年</w:t>
      </w:r>
      <w:r w:rsidR="004A7360">
        <w:rPr>
          <w:rFonts w:asciiTheme="majorEastAsia" w:eastAsiaTheme="majorEastAsia" w:hAnsiTheme="majorEastAsia" w:cs="宋体"/>
          <w:bCs/>
          <w:kern w:val="0"/>
          <w:sz w:val="24"/>
          <w:szCs w:val="24"/>
        </w:rPr>
        <w:t>5</w:t>
      </w:r>
      <w:r w:rsidRPr="00C60862">
        <w:rPr>
          <w:rFonts w:asciiTheme="majorEastAsia" w:eastAsiaTheme="majorEastAsia" w:hAnsiTheme="majorEastAsia" w:cs="宋体" w:hint="eastAsia"/>
          <w:bCs/>
          <w:kern w:val="0"/>
          <w:sz w:val="24"/>
          <w:szCs w:val="24"/>
        </w:rPr>
        <w:t>月</w:t>
      </w:r>
      <w:r w:rsidR="004A7360">
        <w:rPr>
          <w:rFonts w:asciiTheme="majorEastAsia" w:eastAsiaTheme="majorEastAsia" w:hAnsiTheme="majorEastAsia" w:cs="宋体"/>
          <w:bCs/>
          <w:kern w:val="0"/>
          <w:sz w:val="24"/>
          <w:szCs w:val="24"/>
        </w:rPr>
        <w:t>16</w:t>
      </w:r>
      <w:r w:rsidRPr="00C60862">
        <w:rPr>
          <w:rFonts w:asciiTheme="majorEastAsia" w:eastAsiaTheme="majorEastAsia" w:hAnsiTheme="majorEastAsia" w:cs="宋体" w:hint="eastAsia"/>
          <w:bCs/>
          <w:kern w:val="0"/>
          <w:sz w:val="24"/>
          <w:szCs w:val="24"/>
        </w:rPr>
        <w:t>日</w:t>
      </w:r>
    </w:p>
    <w:p w:rsidR="00141CA4" w:rsidRPr="001F12D1" w:rsidRDefault="00141CA4" w:rsidP="00141CA4">
      <w:pPr>
        <w:rPr>
          <w:rFonts w:asciiTheme="majorEastAsia" w:eastAsiaTheme="majorEastAsia" w:hAnsiTheme="majorEastAsia"/>
        </w:rPr>
      </w:pPr>
    </w:p>
    <w:p w:rsidR="00141CA4" w:rsidRPr="001F12D1" w:rsidRDefault="00141CA4" w:rsidP="00141CA4">
      <w:pPr>
        <w:rPr>
          <w:rFonts w:asciiTheme="majorEastAsia" w:eastAsiaTheme="majorEastAsia" w:hAnsiTheme="majorEastAsia"/>
        </w:rPr>
      </w:pPr>
    </w:p>
    <w:p w:rsidR="00141CA4" w:rsidRPr="00177B3B" w:rsidRDefault="00141CA4" w:rsidP="00141CA4"/>
    <w:p w:rsidR="00F561F7" w:rsidRPr="00141CA4" w:rsidRDefault="00F561F7" w:rsidP="00141CA4"/>
    <w:sectPr w:rsidR="00F561F7" w:rsidRPr="00141CA4" w:rsidSect="006D0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颜鹏">
    <w15:presenceInfo w15:providerId="None" w15:userId="颜鹏"/>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F64"/>
    <w:rsid w:val="00037F8D"/>
    <w:rsid w:val="00085335"/>
    <w:rsid w:val="000A66A8"/>
    <w:rsid w:val="000C06AE"/>
    <w:rsid w:val="000C30E2"/>
    <w:rsid w:val="000F1B3C"/>
    <w:rsid w:val="00105429"/>
    <w:rsid w:val="00135C8A"/>
    <w:rsid w:val="00141CA4"/>
    <w:rsid w:val="00177B3B"/>
    <w:rsid w:val="0018047E"/>
    <w:rsid w:val="001E31BA"/>
    <w:rsid w:val="001F12D1"/>
    <w:rsid w:val="001F2973"/>
    <w:rsid w:val="00225437"/>
    <w:rsid w:val="00282BB5"/>
    <w:rsid w:val="002A29D3"/>
    <w:rsid w:val="002A4CF4"/>
    <w:rsid w:val="002C3E12"/>
    <w:rsid w:val="002E42F7"/>
    <w:rsid w:val="002F12C4"/>
    <w:rsid w:val="00304C1B"/>
    <w:rsid w:val="00351EB9"/>
    <w:rsid w:val="00390740"/>
    <w:rsid w:val="003A7524"/>
    <w:rsid w:val="003B4F45"/>
    <w:rsid w:val="003C4A13"/>
    <w:rsid w:val="003C560F"/>
    <w:rsid w:val="003F0261"/>
    <w:rsid w:val="00406B53"/>
    <w:rsid w:val="0041754A"/>
    <w:rsid w:val="0042083E"/>
    <w:rsid w:val="00420DAD"/>
    <w:rsid w:val="00425E3F"/>
    <w:rsid w:val="00434C61"/>
    <w:rsid w:val="00445FC6"/>
    <w:rsid w:val="004713B4"/>
    <w:rsid w:val="00495D57"/>
    <w:rsid w:val="004A7360"/>
    <w:rsid w:val="004E5A83"/>
    <w:rsid w:val="004F1B0A"/>
    <w:rsid w:val="005116B8"/>
    <w:rsid w:val="00535B80"/>
    <w:rsid w:val="00583174"/>
    <w:rsid w:val="005972B2"/>
    <w:rsid w:val="005A69BF"/>
    <w:rsid w:val="005D572F"/>
    <w:rsid w:val="005D5CB9"/>
    <w:rsid w:val="00627AE2"/>
    <w:rsid w:val="00632910"/>
    <w:rsid w:val="00636371"/>
    <w:rsid w:val="0069676A"/>
    <w:rsid w:val="006B006F"/>
    <w:rsid w:val="006B6352"/>
    <w:rsid w:val="006C066C"/>
    <w:rsid w:val="006D05F5"/>
    <w:rsid w:val="006E11B3"/>
    <w:rsid w:val="00701E70"/>
    <w:rsid w:val="007124FD"/>
    <w:rsid w:val="007234D3"/>
    <w:rsid w:val="0077544C"/>
    <w:rsid w:val="007A3C4F"/>
    <w:rsid w:val="007A5436"/>
    <w:rsid w:val="008757A5"/>
    <w:rsid w:val="00923081"/>
    <w:rsid w:val="00937D43"/>
    <w:rsid w:val="00954324"/>
    <w:rsid w:val="00973DD4"/>
    <w:rsid w:val="009A7BB1"/>
    <w:rsid w:val="009D5618"/>
    <w:rsid w:val="009E0FA4"/>
    <w:rsid w:val="009E1630"/>
    <w:rsid w:val="009E175F"/>
    <w:rsid w:val="009F5D05"/>
    <w:rsid w:val="00A30E14"/>
    <w:rsid w:val="00A528BA"/>
    <w:rsid w:val="00A54315"/>
    <w:rsid w:val="00AD1CEF"/>
    <w:rsid w:val="00B20F09"/>
    <w:rsid w:val="00B56F95"/>
    <w:rsid w:val="00B64B98"/>
    <w:rsid w:val="00B91941"/>
    <w:rsid w:val="00BD2B93"/>
    <w:rsid w:val="00C251FE"/>
    <w:rsid w:val="00C35CB6"/>
    <w:rsid w:val="00C555F5"/>
    <w:rsid w:val="00C60862"/>
    <w:rsid w:val="00C75123"/>
    <w:rsid w:val="00C85A50"/>
    <w:rsid w:val="00D11E8C"/>
    <w:rsid w:val="00D34298"/>
    <w:rsid w:val="00D40F64"/>
    <w:rsid w:val="00D51FD3"/>
    <w:rsid w:val="00D576A8"/>
    <w:rsid w:val="00D75BCE"/>
    <w:rsid w:val="00DF5CDD"/>
    <w:rsid w:val="00E00FAE"/>
    <w:rsid w:val="00E32581"/>
    <w:rsid w:val="00E372B4"/>
    <w:rsid w:val="00E43A11"/>
    <w:rsid w:val="00E905FC"/>
    <w:rsid w:val="00EA1C9E"/>
    <w:rsid w:val="00EB7357"/>
    <w:rsid w:val="00EE1D32"/>
    <w:rsid w:val="00EF58BF"/>
    <w:rsid w:val="00EF791A"/>
    <w:rsid w:val="00F254EC"/>
    <w:rsid w:val="00F345D0"/>
    <w:rsid w:val="00F431E2"/>
    <w:rsid w:val="00F561F7"/>
    <w:rsid w:val="00F649D0"/>
    <w:rsid w:val="00F7041A"/>
    <w:rsid w:val="00F830F1"/>
    <w:rsid w:val="00F83A04"/>
    <w:rsid w:val="00F9429C"/>
    <w:rsid w:val="00FB3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C6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434C61"/>
    <w:rPr>
      <w:sz w:val="18"/>
      <w:szCs w:val="18"/>
    </w:rPr>
  </w:style>
  <w:style w:type="paragraph" w:styleId="a4">
    <w:name w:val="footer"/>
    <w:basedOn w:val="a"/>
    <w:link w:val="Char0"/>
    <w:uiPriority w:val="99"/>
    <w:unhideWhenUsed/>
    <w:rsid w:val="00434C61"/>
    <w:pPr>
      <w:tabs>
        <w:tab w:val="center" w:pos="4153"/>
        <w:tab w:val="right" w:pos="8306"/>
      </w:tabs>
      <w:snapToGrid w:val="0"/>
      <w:jc w:val="left"/>
    </w:pPr>
    <w:rPr>
      <w:kern w:val="0"/>
      <w:sz w:val="18"/>
      <w:szCs w:val="18"/>
    </w:rPr>
  </w:style>
  <w:style w:type="character" w:customStyle="1" w:styleId="Char0">
    <w:name w:val="页脚 Char"/>
    <w:link w:val="a4"/>
    <w:uiPriority w:val="99"/>
    <w:rsid w:val="00434C61"/>
    <w:rPr>
      <w:sz w:val="18"/>
      <w:szCs w:val="18"/>
    </w:rPr>
  </w:style>
  <w:style w:type="character" w:styleId="a5">
    <w:name w:val="annotation reference"/>
    <w:semiHidden/>
    <w:rsid w:val="00434C61"/>
    <w:rPr>
      <w:rFonts w:cs="Times New Roman"/>
      <w:sz w:val="21"/>
      <w:szCs w:val="21"/>
    </w:rPr>
  </w:style>
  <w:style w:type="paragraph" w:styleId="a6">
    <w:name w:val="annotation text"/>
    <w:basedOn w:val="a"/>
    <w:link w:val="Char1"/>
    <w:semiHidden/>
    <w:rsid w:val="00434C61"/>
    <w:pPr>
      <w:jc w:val="left"/>
    </w:pPr>
    <w:rPr>
      <w:kern w:val="0"/>
      <w:sz w:val="20"/>
      <w:szCs w:val="20"/>
    </w:rPr>
  </w:style>
  <w:style w:type="character" w:customStyle="1" w:styleId="Char1">
    <w:name w:val="批注文字 Char"/>
    <w:link w:val="a6"/>
    <w:semiHidden/>
    <w:rsid w:val="00434C61"/>
    <w:rPr>
      <w:rFonts w:ascii="Calibri" w:eastAsia="宋体" w:hAnsi="Calibri" w:cs="Times New Roman"/>
    </w:rPr>
  </w:style>
  <w:style w:type="paragraph" w:styleId="a7">
    <w:name w:val="Balloon Text"/>
    <w:basedOn w:val="a"/>
    <w:link w:val="Char2"/>
    <w:uiPriority w:val="99"/>
    <w:semiHidden/>
    <w:unhideWhenUsed/>
    <w:rsid w:val="00434C61"/>
    <w:rPr>
      <w:kern w:val="0"/>
      <w:sz w:val="18"/>
      <w:szCs w:val="18"/>
    </w:rPr>
  </w:style>
  <w:style w:type="character" w:customStyle="1" w:styleId="Char2">
    <w:name w:val="批注框文本 Char"/>
    <w:link w:val="a7"/>
    <w:uiPriority w:val="99"/>
    <w:semiHidden/>
    <w:rsid w:val="00434C61"/>
    <w:rPr>
      <w:rFonts w:ascii="Calibri" w:eastAsia="宋体" w:hAnsi="Calibri" w:cs="Times New Roman"/>
      <w:sz w:val="18"/>
      <w:szCs w:val="18"/>
    </w:rPr>
  </w:style>
  <w:style w:type="character" w:styleId="a8">
    <w:name w:val="Strong"/>
    <w:uiPriority w:val="99"/>
    <w:qFormat/>
    <w:rsid w:val="006B006F"/>
    <w:rPr>
      <w:rFonts w:ascii="Times New Roman" w:hAnsi="Times New Roman" w:cs="Times New Roman" w:hint="default"/>
      <w:b/>
      <w:bCs/>
    </w:rPr>
  </w:style>
  <w:style w:type="paragraph" w:customStyle="1" w:styleId="font14">
    <w:name w:val="font14"/>
    <w:basedOn w:val="a"/>
    <w:uiPriority w:val="99"/>
    <w:rsid w:val="006B006F"/>
    <w:pPr>
      <w:widowControl/>
      <w:spacing w:before="100" w:beforeAutospacing="1" w:after="100" w:afterAutospacing="1" w:line="360" w:lineRule="auto"/>
      <w:jc w:val="left"/>
    </w:pPr>
    <w:rPr>
      <w:rFonts w:ascii="宋体" w:hAnsi="宋体" w:cs="宋体"/>
      <w:kern w:val="0"/>
      <w:sz w:val="19"/>
      <w:szCs w:val="19"/>
    </w:rPr>
  </w:style>
  <w:style w:type="paragraph" w:customStyle="1" w:styleId="Default">
    <w:name w:val="Default"/>
    <w:rsid w:val="006B006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92F5-C326-4B3A-9DE8-95D2AB3D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1233</Words>
  <Characters>7033</Characters>
  <Application>Microsoft Office Word</Application>
  <DocSecurity>4</DocSecurity>
  <Lines>58</Lines>
  <Paragraphs>16</Paragraphs>
  <ScaleCrop>false</ScaleCrop>
  <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2026-05-15T16:01:00Z</dcterms:created>
  <dcterms:modified xsi:type="dcterms:W3CDTF">2026-05-15T16:01:00Z</dcterms:modified>
</cp:coreProperties>
</file>