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9AE" w:rsidRDefault="00DE302C">
      <w:pPr>
        <w:pStyle w:val="Default"/>
        <w:jc w:val="center"/>
        <w:rPr>
          <w:rFonts w:asciiTheme="minorEastAsia" w:eastAsiaTheme="minorEastAsia" w:hAnsiTheme="minorEastAsia"/>
          <w:b/>
        </w:rPr>
      </w:pPr>
      <w:r>
        <w:rPr>
          <w:rFonts w:asciiTheme="minorEastAsia" w:eastAsiaTheme="minorEastAsia" w:hAnsiTheme="minorEastAsia" w:hint="eastAsia"/>
          <w:b/>
        </w:rPr>
        <w:t>平安基金管理有限公司</w:t>
      </w:r>
    </w:p>
    <w:p w:rsidR="008469AE" w:rsidRDefault="00DE302C">
      <w:pPr>
        <w:pStyle w:val="Default"/>
        <w:spacing w:line="360" w:lineRule="auto"/>
        <w:ind w:leftChars="200" w:left="3612" w:hangingChars="1300" w:hanging="3132"/>
        <w:rPr>
          <w:rFonts w:asciiTheme="minorEastAsia" w:eastAsiaTheme="minorEastAsia" w:hAnsiTheme="minorEastAsia"/>
          <w:b/>
        </w:rPr>
      </w:pPr>
      <w:r>
        <w:rPr>
          <w:rFonts w:asciiTheme="minorEastAsia" w:eastAsiaTheme="minorEastAsia" w:hAnsiTheme="minorEastAsia" w:hint="eastAsia"/>
          <w:b/>
        </w:rPr>
        <w:t>关于新增</w:t>
      </w:r>
      <w:r>
        <w:rPr>
          <w:rFonts w:asciiTheme="minorEastAsia" w:eastAsiaTheme="minorEastAsia" w:hAnsiTheme="minorEastAsia" w:hint="eastAsia"/>
          <w:b/>
        </w:rPr>
        <w:t>华鑫证券有限责任公司</w:t>
      </w:r>
      <w:r>
        <w:rPr>
          <w:rFonts w:asciiTheme="minorEastAsia" w:eastAsiaTheme="minorEastAsia" w:hAnsiTheme="minorEastAsia" w:hint="eastAsia"/>
          <w:b/>
        </w:rPr>
        <w:t>为旗下基金销售机构的公告</w:t>
      </w:r>
    </w:p>
    <w:p w:rsidR="008469AE" w:rsidRDefault="008469AE">
      <w:pPr>
        <w:pStyle w:val="Default"/>
        <w:spacing w:line="360" w:lineRule="auto"/>
        <w:ind w:firstLineChars="200" w:firstLine="420"/>
        <w:rPr>
          <w:rFonts w:asciiTheme="minorEastAsia" w:eastAsiaTheme="minorEastAsia" w:hAnsiTheme="minorEastAsia"/>
          <w:sz w:val="21"/>
          <w:szCs w:val="21"/>
        </w:rPr>
      </w:pPr>
    </w:p>
    <w:p w:rsidR="008469AE" w:rsidRDefault="00DE302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华鑫证券有限责任公司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华鑫证券</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15</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销售本公司旗下部分基金，现将相关事项公告如下：</w:t>
      </w:r>
    </w:p>
    <w:p w:rsidR="008469AE" w:rsidRDefault="00DE302C">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5</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15</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5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1070"/>
        <w:gridCol w:w="4840"/>
        <w:gridCol w:w="850"/>
        <w:gridCol w:w="851"/>
        <w:gridCol w:w="1209"/>
      </w:tblGrid>
      <w:tr w:rsidR="008469AE">
        <w:trPr>
          <w:trHeight w:val="521"/>
        </w:trPr>
        <w:tc>
          <w:tcPr>
            <w:tcW w:w="700" w:type="dxa"/>
            <w:vAlign w:val="center"/>
          </w:tcPr>
          <w:p w:rsidR="008469AE" w:rsidRDefault="00DE302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070" w:type="dxa"/>
            <w:vAlign w:val="center"/>
          </w:tcPr>
          <w:p w:rsidR="008469AE" w:rsidRDefault="00DE302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840" w:type="dxa"/>
            <w:vAlign w:val="center"/>
          </w:tcPr>
          <w:p w:rsidR="008469AE" w:rsidRDefault="00DE302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850" w:type="dxa"/>
            <w:vAlign w:val="center"/>
          </w:tcPr>
          <w:p w:rsidR="008469AE" w:rsidRDefault="00DE302C">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851" w:type="dxa"/>
            <w:vAlign w:val="center"/>
          </w:tcPr>
          <w:p w:rsidR="008469AE" w:rsidRDefault="00DE302C">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209" w:type="dxa"/>
          </w:tcPr>
          <w:p w:rsidR="008469AE" w:rsidRDefault="00DE302C">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1</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007447</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平安惠泰纯债债券型证券投资基金（</w:t>
            </w:r>
            <w:r>
              <w:rPr>
                <w:rFonts w:hint="eastAsia"/>
                <w:color w:val="000000"/>
                <w:sz w:val="22"/>
                <w:szCs w:val="22"/>
                <w:lang/>
              </w:rPr>
              <w:t>A</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vAlign w:val="bottom"/>
          </w:tcPr>
          <w:p w:rsidR="008469AE" w:rsidRDefault="00DE302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2</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012902</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平安添悦债券型证券投资基金（</w:t>
            </w:r>
            <w:r>
              <w:rPr>
                <w:rFonts w:hint="eastAsia"/>
                <w:color w:val="000000"/>
                <w:sz w:val="22"/>
                <w:szCs w:val="22"/>
                <w:lang/>
              </w:rPr>
              <w:t>A</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3</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012903</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平安添悦债券型证券投资基金（</w:t>
            </w:r>
            <w:r>
              <w:rPr>
                <w:rFonts w:hint="eastAsia"/>
                <w:color w:val="000000"/>
                <w:sz w:val="22"/>
                <w:szCs w:val="22"/>
                <w:lang/>
              </w:rPr>
              <w:t>C</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4</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019285</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平安惠旭纯债债券型证券投资基金（</w:t>
            </w:r>
            <w:r>
              <w:rPr>
                <w:rFonts w:hint="eastAsia"/>
                <w:color w:val="000000"/>
                <w:sz w:val="22"/>
                <w:szCs w:val="22"/>
                <w:lang/>
              </w:rPr>
              <w:t>A</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5</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019286</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平安惠旭纯债债券型证券投资基金（</w:t>
            </w:r>
            <w:r>
              <w:rPr>
                <w:rFonts w:hint="eastAsia"/>
                <w:color w:val="000000"/>
                <w:sz w:val="22"/>
                <w:szCs w:val="22"/>
                <w:lang/>
              </w:rPr>
              <w:t>C</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6</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021574</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平安元恒</w:t>
            </w:r>
            <w:r>
              <w:rPr>
                <w:rFonts w:hint="eastAsia"/>
                <w:color w:val="000000"/>
                <w:sz w:val="22"/>
                <w:szCs w:val="22"/>
                <w:lang/>
              </w:rPr>
              <w:t>90</w:t>
            </w:r>
            <w:r>
              <w:rPr>
                <w:rFonts w:hint="eastAsia"/>
                <w:color w:val="000000"/>
                <w:sz w:val="22"/>
                <w:szCs w:val="22"/>
                <w:lang/>
              </w:rPr>
              <w:t>天持有期债券型证券投资基金（</w:t>
            </w:r>
            <w:r>
              <w:rPr>
                <w:rFonts w:hint="eastAsia"/>
                <w:color w:val="000000"/>
                <w:sz w:val="22"/>
                <w:szCs w:val="22"/>
                <w:lang/>
              </w:rPr>
              <w:t>A</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7</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021575</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平安元恒</w:t>
            </w:r>
            <w:r>
              <w:rPr>
                <w:rFonts w:hint="eastAsia"/>
                <w:color w:val="000000"/>
                <w:sz w:val="22"/>
                <w:szCs w:val="22"/>
                <w:lang/>
              </w:rPr>
              <w:t>90</w:t>
            </w:r>
            <w:r>
              <w:rPr>
                <w:rFonts w:hint="eastAsia"/>
                <w:color w:val="000000"/>
                <w:sz w:val="22"/>
                <w:szCs w:val="22"/>
                <w:lang/>
              </w:rPr>
              <w:t>天持有期债券型证券投资基金（</w:t>
            </w:r>
            <w:r>
              <w:rPr>
                <w:rFonts w:hint="eastAsia"/>
                <w:color w:val="000000"/>
                <w:sz w:val="22"/>
                <w:szCs w:val="22"/>
                <w:lang/>
              </w:rPr>
              <w:t>C</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vAlign w:val="bottom"/>
          </w:tcPr>
          <w:p w:rsidR="008469AE" w:rsidRDefault="00DE302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8</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022659</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平安惠泰纯债债券型证券投资基金（</w:t>
            </w:r>
            <w:r>
              <w:rPr>
                <w:rFonts w:hint="eastAsia"/>
                <w:color w:val="000000"/>
                <w:sz w:val="22"/>
                <w:szCs w:val="22"/>
                <w:lang/>
              </w:rPr>
              <w:t>C</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9</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023364</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平安添悦债券型证券投资基金（</w:t>
            </w:r>
            <w:r>
              <w:rPr>
                <w:rFonts w:hint="eastAsia"/>
                <w:color w:val="000000"/>
                <w:sz w:val="22"/>
                <w:szCs w:val="22"/>
                <w:lang/>
              </w:rPr>
              <w:t>E</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10</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026033</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平安添元</w:t>
            </w:r>
            <w:r>
              <w:rPr>
                <w:rFonts w:hint="eastAsia"/>
                <w:color w:val="000000"/>
                <w:sz w:val="22"/>
                <w:szCs w:val="22"/>
                <w:lang/>
              </w:rPr>
              <w:t>6</w:t>
            </w:r>
            <w:r>
              <w:rPr>
                <w:rFonts w:hint="eastAsia"/>
                <w:color w:val="000000"/>
                <w:sz w:val="22"/>
                <w:szCs w:val="22"/>
                <w:lang/>
              </w:rPr>
              <w:t>个月持有期债券型证券投资基金（</w:t>
            </w:r>
            <w:r>
              <w:rPr>
                <w:rFonts w:hint="eastAsia"/>
                <w:color w:val="000000"/>
                <w:sz w:val="22"/>
                <w:szCs w:val="22"/>
                <w:lang/>
              </w:rPr>
              <w:t>A</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w:t>
            </w:r>
          </w:p>
        </w:tc>
      </w:tr>
      <w:tr w:rsidR="008469AE">
        <w:trPr>
          <w:trHeight w:val="227"/>
        </w:trPr>
        <w:tc>
          <w:tcPr>
            <w:tcW w:w="700" w:type="dxa"/>
            <w:vAlign w:val="center"/>
          </w:tcPr>
          <w:p w:rsidR="008469AE" w:rsidRDefault="00DE302C">
            <w:pPr>
              <w:jc w:val="center"/>
              <w:rPr>
                <w:sz w:val="21"/>
                <w:szCs w:val="21"/>
              </w:rPr>
            </w:pPr>
            <w:r>
              <w:rPr>
                <w:rFonts w:hint="eastAsia"/>
                <w:sz w:val="21"/>
                <w:szCs w:val="21"/>
              </w:rPr>
              <w:t>11</w:t>
            </w:r>
          </w:p>
        </w:tc>
        <w:tc>
          <w:tcPr>
            <w:tcW w:w="1070" w:type="dxa"/>
            <w:vAlign w:val="center"/>
          </w:tcPr>
          <w:p w:rsidR="008469AE" w:rsidRDefault="00DE302C">
            <w:pPr>
              <w:jc w:val="center"/>
              <w:textAlignment w:val="center"/>
              <w:rPr>
                <w:sz w:val="21"/>
                <w:szCs w:val="21"/>
              </w:rPr>
            </w:pPr>
            <w:r>
              <w:rPr>
                <w:rFonts w:hint="eastAsia"/>
                <w:color w:val="000000"/>
                <w:sz w:val="22"/>
                <w:szCs w:val="22"/>
                <w:lang/>
              </w:rPr>
              <w:t>026034</w:t>
            </w:r>
          </w:p>
        </w:tc>
        <w:tc>
          <w:tcPr>
            <w:tcW w:w="4840" w:type="dxa"/>
            <w:vAlign w:val="center"/>
          </w:tcPr>
          <w:p w:rsidR="008469AE" w:rsidRDefault="00DE302C">
            <w:pPr>
              <w:jc w:val="both"/>
              <w:textAlignment w:val="center"/>
              <w:rPr>
                <w:sz w:val="21"/>
                <w:szCs w:val="21"/>
              </w:rPr>
            </w:pPr>
            <w:r>
              <w:rPr>
                <w:rFonts w:hint="eastAsia"/>
                <w:color w:val="000000"/>
                <w:sz w:val="22"/>
                <w:szCs w:val="22"/>
                <w:lang/>
              </w:rPr>
              <w:t>平安添元</w:t>
            </w:r>
            <w:r>
              <w:rPr>
                <w:rFonts w:hint="eastAsia"/>
                <w:color w:val="000000"/>
                <w:sz w:val="22"/>
                <w:szCs w:val="22"/>
                <w:lang/>
              </w:rPr>
              <w:t>6</w:t>
            </w:r>
            <w:r>
              <w:rPr>
                <w:rFonts w:hint="eastAsia"/>
                <w:color w:val="000000"/>
                <w:sz w:val="22"/>
                <w:szCs w:val="22"/>
                <w:lang/>
              </w:rPr>
              <w:t>个月持有期债券型证券投资基金（</w:t>
            </w:r>
            <w:r>
              <w:rPr>
                <w:rFonts w:hint="eastAsia"/>
                <w:color w:val="000000"/>
                <w:sz w:val="22"/>
                <w:szCs w:val="22"/>
                <w:lang/>
              </w:rPr>
              <w:t>C</w:t>
            </w:r>
            <w:r>
              <w:rPr>
                <w:rFonts w:hint="eastAsia"/>
                <w:color w:val="000000"/>
                <w:sz w:val="22"/>
                <w:szCs w:val="22"/>
                <w:lang/>
              </w:rPr>
              <w:t>类）</w:t>
            </w:r>
          </w:p>
        </w:tc>
        <w:tc>
          <w:tcPr>
            <w:tcW w:w="850" w:type="dxa"/>
            <w:vAlign w:val="center"/>
          </w:tcPr>
          <w:p w:rsidR="008469AE" w:rsidRDefault="00DE302C">
            <w:pPr>
              <w:jc w:val="center"/>
              <w:rPr>
                <w:sz w:val="21"/>
                <w:szCs w:val="21"/>
              </w:rPr>
            </w:pPr>
            <w:r>
              <w:rPr>
                <w:rFonts w:hint="eastAsia"/>
                <w:sz w:val="21"/>
                <w:szCs w:val="21"/>
              </w:rPr>
              <w:t>开通</w:t>
            </w:r>
          </w:p>
        </w:tc>
        <w:tc>
          <w:tcPr>
            <w:tcW w:w="851" w:type="dxa"/>
            <w:vAlign w:val="center"/>
          </w:tcPr>
          <w:p w:rsidR="008469AE" w:rsidRDefault="00DE302C">
            <w:pPr>
              <w:jc w:val="center"/>
              <w:rPr>
                <w:sz w:val="21"/>
                <w:szCs w:val="21"/>
              </w:rPr>
            </w:pPr>
            <w:r>
              <w:rPr>
                <w:rFonts w:hint="eastAsia"/>
                <w:sz w:val="21"/>
                <w:szCs w:val="21"/>
              </w:rPr>
              <w:t>开通</w:t>
            </w:r>
          </w:p>
        </w:tc>
        <w:tc>
          <w:tcPr>
            <w:tcW w:w="1209" w:type="dxa"/>
          </w:tcPr>
          <w:p w:rsidR="008469AE" w:rsidRDefault="00DE302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w:t>
            </w:r>
          </w:p>
        </w:tc>
      </w:tr>
    </w:tbl>
    <w:p w:rsidR="008469AE" w:rsidRDefault="008469AE">
      <w:pPr>
        <w:pStyle w:val="Default"/>
        <w:rPr>
          <w:rFonts w:asciiTheme="minorEastAsia" w:eastAsiaTheme="minorEastAsia" w:hAnsiTheme="minorEastAsia"/>
          <w:sz w:val="21"/>
          <w:szCs w:val="21"/>
        </w:rPr>
      </w:pPr>
    </w:p>
    <w:p w:rsidR="008469AE" w:rsidRDefault="00DE302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8469AE" w:rsidRDefault="00DE302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8469AE" w:rsidRDefault="00DE302C">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8469AE" w:rsidRDefault="00DE302C">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8469AE" w:rsidRDefault="00DE302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投资者通过</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华鑫证券</w:t>
      </w:r>
      <w:r>
        <w:rPr>
          <w:rFonts w:asciiTheme="minorEastAsia" w:eastAsiaTheme="minorEastAsia" w:hAnsiTheme="minorEastAsia" w:hint="eastAsia"/>
          <w:sz w:val="21"/>
          <w:szCs w:val="21"/>
        </w:rPr>
        <w:t>的活动公告为准，本公司不再另行公告。</w:t>
      </w:r>
    </w:p>
    <w:p w:rsidR="008469AE" w:rsidRDefault="00DE302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8469AE" w:rsidRDefault="00DE302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华鑫证券有限责任公司</w:t>
      </w:r>
    </w:p>
    <w:p w:rsidR="008469AE" w:rsidRDefault="00DE302C">
      <w:pPr>
        <w:pStyle w:val="Default"/>
        <w:spacing w:line="360" w:lineRule="auto"/>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95323</w:t>
      </w:r>
      <w:r>
        <w:rPr>
          <w:rFonts w:asciiTheme="minorEastAsia" w:eastAsiaTheme="minorEastAsia" w:hAnsiTheme="minorEastAsia"/>
          <w:sz w:val="21"/>
          <w:szCs w:val="21"/>
        </w:rPr>
        <w:t xml:space="preserve">                                       </w:t>
      </w:r>
    </w:p>
    <w:p w:rsidR="008469AE" w:rsidRDefault="00DE302C">
      <w:pPr>
        <w:pStyle w:val="Default"/>
        <w:spacing w:line="360" w:lineRule="auto"/>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hint="eastAsia"/>
          <w:sz w:val="21"/>
          <w:szCs w:val="21"/>
        </w:rPr>
        <w:t>www.cfsc.com.cn</w:t>
      </w:r>
    </w:p>
    <w:p w:rsidR="008469AE" w:rsidRDefault="00DE302C">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8469AE" w:rsidRDefault="00DE302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8469AE" w:rsidRDefault="00DE302C">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8469AE" w:rsidRDefault="008469AE">
      <w:pPr>
        <w:pStyle w:val="Default"/>
        <w:spacing w:line="360" w:lineRule="auto"/>
        <w:ind w:firstLineChars="400" w:firstLine="840"/>
        <w:rPr>
          <w:rFonts w:asciiTheme="minorEastAsia" w:eastAsiaTheme="minorEastAsia" w:hAnsiTheme="minorEastAsia"/>
          <w:sz w:val="21"/>
          <w:szCs w:val="21"/>
        </w:rPr>
      </w:pPr>
    </w:p>
    <w:p w:rsidR="008469AE" w:rsidRDefault="00DE302C">
      <w:pPr>
        <w:pStyle w:val="Default"/>
        <w:spacing w:line="360" w:lineRule="auto"/>
        <w:ind w:firstLineChars="200" w:firstLine="420"/>
        <w:rPr>
          <w:sz w:val="21"/>
          <w:szCs w:val="21"/>
        </w:rPr>
      </w:pPr>
      <w:r>
        <w:rPr>
          <w:rFonts w:asciiTheme="minorEastAsia" w:eastAsiaTheme="minorEastAsia" w:hAnsiTheme="minorEastAsia"/>
          <w:sz w:val="21"/>
          <w:szCs w:val="21"/>
        </w:rPr>
        <w:t>风险提示：</w:t>
      </w:r>
      <w:r>
        <w:rPr>
          <w:rFonts w:hint="eastAsia"/>
          <w:sz w:val="21"/>
          <w:szCs w:val="21"/>
        </w:rPr>
        <w:t>基金管理人承诺以诚实信用、勤勉尽责的原则管理和运用基金资产，但不保证基金一定盈利，也不保证最低收益。销售机构根据法规要求对投资者类别、风险承受能力和基金的</w:t>
      </w:r>
      <w:r>
        <w:rPr>
          <w:rFonts w:hint="eastAsia"/>
          <w:sz w:val="21"/>
          <w:szCs w:val="21"/>
        </w:rPr>
        <w:t>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8469AE" w:rsidRDefault="008469AE">
      <w:pPr>
        <w:pStyle w:val="Default"/>
        <w:spacing w:line="360" w:lineRule="auto"/>
        <w:ind w:firstLineChars="200" w:firstLine="420"/>
        <w:rPr>
          <w:sz w:val="21"/>
          <w:szCs w:val="21"/>
        </w:rPr>
      </w:pPr>
    </w:p>
    <w:p w:rsidR="008469AE" w:rsidRDefault="00DE302C">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8469AE" w:rsidRDefault="008469AE">
      <w:pPr>
        <w:pStyle w:val="Default"/>
        <w:spacing w:line="360" w:lineRule="auto"/>
        <w:ind w:right="630" w:firstLineChars="2400" w:firstLine="5040"/>
        <w:rPr>
          <w:rFonts w:asciiTheme="minorEastAsia" w:eastAsiaTheme="minorEastAsia" w:hAnsiTheme="minorEastAsia"/>
          <w:sz w:val="21"/>
          <w:szCs w:val="21"/>
        </w:rPr>
      </w:pPr>
    </w:p>
    <w:p w:rsidR="008469AE" w:rsidRDefault="00DE302C">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8469AE" w:rsidRDefault="00DE302C">
      <w:pPr>
        <w:pStyle w:val="Default"/>
        <w:spacing w:line="360" w:lineRule="auto"/>
        <w:ind w:leftChars="1750" w:left="4200" w:right="1575" w:firstLineChars="400" w:firstLine="840"/>
        <w:jc w:val="center"/>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15</w:t>
      </w:r>
      <w:r>
        <w:rPr>
          <w:rFonts w:asciiTheme="minorEastAsia" w:eastAsiaTheme="minorEastAsia" w:hAnsiTheme="minorEastAsia" w:hint="eastAsia"/>
          <w:sz w:val="21"/>
          <w:szCs w:val="21"/>
        </w:rPr>
        <w:t>日</w:t>
      </w:r>
      <w:r>
        <w:rPr>
          <w:rFonts w:asciiTheme="minorEastAsia" w:eastAsiaTheme="minorEastAsia" w:hAnsiTheme="minorEastAsia"/>
          <w:sz w:val="21"/>
          <w:szCs w:val="21"/>
        </w:rPr>
        <w:t xml:space="preserve"> </w:t>
      </w:r>
    </w:p>
    <w:sectPr w:rsidR="008469AE" w:rsidSect="008469AE">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CE0610"/>
    <w:rsid w:val="00012625"/>
    <w:rsid w:val="00012D9D"/>
    <w:rsid w:val="00016318"/>
    <w:rsid w:val="0002140B"/>
    <w:rsid w:val="00027AC4"/>
    <w:rsid w:val="00030B0B"/>
    <w:rsid w:val="000354A0"/>
    <w:rsid w:val="00036EDC"/>
    <w:rsid w:val="00037138"/>
    <w:rsid w:val="00044D94"/>
    <w:rsid w:val="00045F81"/>
    <w:rsid w:val="0004793A"/>
    <w:rsid w:val="000528A8"/>
    <w:rsid w:val="00053C68"/>
    <w:rsid w:val="00055F46"/>
    <w:rsid w:val="00057E98"/>
    <w:rsid w:val="00060834"/>
    <w:rsid w:val="00060DC5"/>
    <w:rsid w:val="00076A4D"/>
    <w:rsid w:val="000821A0"/>
    <w:rsid w:val="00087302"/>
    <w:rsid w:val="000909E4"/>
    <w:rsid w:val="00096844"/>
    <w:rsid w:val="000A104A"/>
    <w:rsid w:val="000A2DC0"/>
    <w:rsid w:val="000A429E"/>
    <w:rsid w:val="000A487D"/>
    <w:rsid w:val="000A705E"/>
    <w:rsid w:val="000B0A39"/>
    <w:rsid w:val="000B34DF"/>
    <w:rsid w:val="000F04AA"/>
    <w:rsid w:val="000F5543"/>
    <w:rsid w:val="000F7983"/>
    <w:rsid w:val="001040F7"/>
    <w:rsid w:val="00105558"/>
    <w:rsid w:val="001200D9"/>
    <w:rsid w:val="00121C7D"/>
    <w:rsid w:val="001248DF"/>
    <w:rsid w:val="00137BAA"/>
    <w:rsid w:val="001436E1"/>
    <w:rsid w:val="00144639"/>
    <w:rsid w:val="00145957"/>
    <w:rsid w:val="00151B0E"/>
    <w:rsid w:val="0016572D"/>
    <w:rsid w:val="0017436C"/>
    <w:rsid w:val="00183BFE"/>
    <w:rsid w:val="001A13E2"/>
    <w:rsid w:val="001A3354"/>
    <w:rsid w:val="001A461E"/>
    <w:rsid w:val="001A53DF"/>
    <w:rsid w:val="001A7949"/>
    <w:rsid w:val="001C3AAC"/>
    <w:rsid w:val="001C784F"/>
    <w:rsid w:val="001D3740"/>
    <w:rsid w:val="001D7E4A"/>
    <w:rsid w:val="001E6755"/>
    <w:rsid w:val="001E753F"/>
    <w:rsid w:val="001F36E7"/>
    <w:rsid w:val="001F6A68"/>
    <w:rsid w:val="00207505"/>
    <w:rsid w:val="00207911"/>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2E7539"/>
    <w:rsid w:val="002F2BC6"/>
    <w:rsid w:val="0030002A"/>
    <w:rsid w:val="0030498E"/>
    <w:rsid w:val="003112DC"/>
    <w:rsid w:val="003113D2"/>
    <w:rsid w:val="003124F4"/>
    <w:rsid w:val="00315199"/>
    <w:rsid w:val="003173A6"/>
    <w:rsid w:val="00317A54"/>
    <w:rsid w:val="003220E0"/>
    <w:rsid w:val="003244F3"/>
    <w:rsid w:val="00331175"/>
    <w:rsid w:val="00340F68"/>
    <w:rsid w:val="00343DBE"/>
    <w:rsid w:val="00344D02"/>
    <w:rsid w:val="00350F2C"/>
    <w:rsid w:val="00360980"/>
    <w:rsid w:val="00364908"/>
    <w:rsid w:val="003802DF"/>
    <w:rsid w:val="0038388D"/>
    <w:rsid w:val="0039533D"/>
    <w:rsid w:val="00396D5E"/>
    <w:rsid w:val="003A1668"/>
    <w:rsid w:val="003A26C1"/>
    <w:rsid w:val="003A31CD"/>
    <w:rsid w:val="003A4CDD"/>
    <w:rsid w:val="003A5787"/>
    <w:rsid w:val="003D6CA9"/>
    <w:rsid w:val="003E2A45"/>
    <w:rsid w:val="003E5816"/>
    <w:rsid w:val="003E60B8"/>
    <w:rsid w:val="003F2FBD"/>
    <w:rsid w:val="00401141"/>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8"/>
    <w:rsid w:val="004D403D"/>
    <w:rsid w:val="004D7A02"/>
    <w:rsid w:val="004E21A9"/>
    <w:rsid w:val="004E259C"/>
    <w:rsid w:val="004E4D7E"/>
    <w:rsid w:val="004E5ACD"/>
    <w:rsid w:val="004E63BB"/>
    <w:rsid w:val="004E6988"/>
    <w:rsid w:val="004E74ED"/>
    <w:rsid w:val="004F77A6"/>
    <w:rsid w:val="0050467B"/>
    <w:rsid w:val="00515571"/>
    <w:rsid w:val="00545F1E"/>
    <w:rsid w:val="00555610"/>
    <w:rsid w:val="00560F21"/>
    <w:rsid w:val="00571749"/>
    <w:rsid w:val="00572C09"/>
    <w:rsid w:val="005830D5"/>
    <w:rsid w:val="00586EAC"/>
    <w:rsid w:val="00596E50"/>
    <w:rsid w:val="00596F6A"/>
    <w:rsid w:val="005A18A1"/>
    <w:rsid w:val="005A2F75"/>
    <w:rsid w:val="005B5C22"/>
    <w:rsid w:val="005B6769"/>
    <w:rsid w:val="005E2EE7"/>
    <w:rsid w:val="005F7347"/>
    <w:rsid w:val="006040D4"/>
    <w:rsid w:val="00607259"/>
    <w:rsid w:val="00610622"/>
    <w:rsid w:val="0061168A"/>
    <w:rsid w:val="0062125F"/>
    <w:rsid w:val="00623877"/>
    <w:rsid w:val="00630E86"/>
    <w:rsid w:val="006310F8"/>
    <w:rsid w:val="00632D9D"/>
    <w:rsid w:val="00634D47"/>
    <w:rsid w:val="00635CEC"/>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6E5EBD"/>
    <w:rsid w:val="007007DD"/>
    <w:rsid w:val="007151C6"/>
    <w:rsid w:val="00726CA5"/>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84A13"/>
    <w:rsid w:val="00794816"/>
    <w:rsid w:val="007A4CD6"/>
    <w:rsid w:val="007B0882"/>
    <w:rsid w:val="007C1B84"/>
    <w:rsid w:val="007C3CC6"/>
    <w:rsid w:val="007D3438"/>
    <w:rsid w:val="007D51DC"/>
    <w:rsid w:val="007E016A"/>
    <w:rsid w:val="007E44B9"/>
    <w:rsid w:val="007F0AFF"/>
    <w:rsid w:val="007F4B3F"/>
    <w:rsid w:val="007F66B2"/>
    <w:rsid w:val="0080208F"/>
    <w:rsid w:val="00802ABC"/>
    <w:rsid w:val="00823371"/>
    <w:rsid w:val="00830A27"/>
    <w:rsid w:val="00833367"/>
    <w:rsid w:val="00835EFA"/>
    <w:rsid w:val="00840CA6"/>
    <w:rsid w:val="008431BD"/>
    <w:rsid w:val="008469AE"/>
    <w:rsid w:val="00854840"/>
    <w:rsid w:val="008615EF"/>
    <w:rsid w:val="008724FB"/>
    <w:rsid w:val="00873883"/>
    <w:rsid w:val="00873DA8"/>
    <w:rsid w:val="00884C3A"/>
    <w:rsid w:val="0088546F"/>
    <w:rsid w:val="00887A1D"/>
    <w:rsid w:val="00892EA5"/>
    <w:rsid w:val="00895EDF"/>
    <w:rsid w:val="008A5267"/>
    <w:rsid w:val="008A7B1C"/>
    <w:rsid w:val="008C18C0"/>
    <w:rsid w:val="008D5AD3"/>
    <w:rsid w:val="008D6265"/>
    <w:rsid w:val="008D7993"/>
    <w:rsid w:val="008E48D7"/>
    <w:rsid w:val="008F2029"/>
    <w:rsid w:val="008F3E97"/>
    <w:rsid w:val="008F456A"/>
    <w:rsid w:val="008F64CD"/>
    <w:rsid w:val="008F7019"/>
    <w:rsid w:val="00904B21"/>
    <w:rsid w:val="00913D41"/>
    <w:rsid w:val="00915B20"/>
    <w:rsid w:val="00917531"/>
    <w:rsid w:val="00920403"/>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72F36"/>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63F0"/>
    <w:rsid w:val="00A079A1"/>
    <w:rsid w:val="00A07AAE"/>
    <w:rsid w:val="00A24C6B"/>
    <w:rsid w:val="00A30624"/>
    <w:rsid w:val="00A30C9E"/>
    <w:rsid w:val="00A30E56"/>
    <w:rsid w:val="00A3101B"/>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26FE"/>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A752A"/>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5DDD"/>
    <w:rsid w:val="00C167D6"/>
    <w:rsid w:val="00C2678F"/>
    <w:rsid w:val="00C268D4"/>
    <w:rsid w:val="00C31032"/>
    <w:rsid w:val="00C36B4B"/>
    <w:rsid w:val="00C40E64"/>
    <w:rsid w:val="00C44146"/>
    <w:rsid w:val="00C54632"/>
    <w:rsid w:val="00C54668"/>
    <w:rsid w:val="00C56A04"/>
    <w:rsid w:val="00C64EAF"/>
    <w:rsid w:val="00C66A64"/>
    <w:rsid w:val="00C76074"/>
    <w:rsid w:val="00C80A91"/>
    <w:rsid w:val="00C9249B"/>
    <w:rsid w:val="00C95347"/>
    <w:rsid w:val="00CB2B31"/>
    <w:rsid w:val="00CB496D"/>
    <w:rsid w:val="00CC4133"/>
    <w:rsid w:val="00CD6E9E"/>
    <w:rsid w:val="00CE0610"/>
    <w:rsid w:val="00CE0C83"/>
    <w:rsid w:val="00CE2F0F"/>
    <w:rsid w:val="00D03A72"/>
    <w:rsid w:val="00D06F2F"/>
    <w:rsid w:val="00D07A53"/>
    <w:rsid w:val="00D272D6"/>
    <w:rsid w:val="00D4218F"/>
    <w:rsid w:val="00D47829"/>
    <w:rsid w:val="00D505A6"/>
    <w:rsid w:val="00D533A2"/>
    <w:rsid w:val="00D55B63"/>
    <w:rsid w:val="00D62E26"/>
    <w:rsid w:val="00D67302"/>
    <w:rsid w:val="00D748C9"/>
    <w:rsid w:val="00D90CA5"/>
    <w:rsid w:val="00D94D1C"/>
    <w:rsid w:val="00DB0349"/>
    <w:rsid w:val="00DB67B7"/>
    <w:rsid w:val="00DC5666"/>
    <w:rsid w:val="00DC5CC9"/>
    <w:rsid w:val="00DD2E94"/>
    <w:rsid w:val="00DD4674"/>
    <w:rsid w:val="00DD48F3"/>
    <w:rsid w:val="00DD4AB5"/>
    <w:rsid w:val="00DE053A"/>
    <w:rsid w:val="00DE302C"/>
    <w:rsid w:val="00DE72AA"/>
    <w:rsid w:val="00E144D9"/>
    <w:rsid w:val="00E20726"/>
    <w:rsid w:val="00E21264"/>
    <w:rsid w:val="00E35E59"/>
    <w:rsid w:val="00E40D05"/>
    <w:rsid w:val="00E410C3"/>
    <w:rsid w:val="00E419A5"/>
    <w:rsid w:val="00E50A75"/>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25868"/>
    <w:rsid w:val="00F40147"/>
    <w:rsid w:val="00F45200"/>
    <w:rsid w:val="00F46744"/>
    <w:rsid w:val="00F53891"/>
    <w:rsid w:val="00F64745"/>
    <w:rsid w:val="00F67064"/>
    <w:rsid w:val="00F67CA2"/>
    <w:rsid w:val="00F72841"/>
    <w:rsid w:val="00F73C54"/>
    <w:rsid w:val="00F77D48"/>
    <w:rsid w:val="00F859BA"/>
    <w:rsid w:val="00F91D66"/>
    <w:rsid w:val="00F9569D"/>
    <w:rsid w:val="00F961FD"/>
    <w:rsid w:val="00FA1853"/>
    <w:rsid w:val="00FA2238"/>
    <w:rsid w:val="00FA57C9"/>
    <w:rsid w:val="00FB347D"/>
    <w:rsid w:val="00FB7DF0"/>
    <w:rsid w:val="00FC1DFE"/>
    <w:rsid w:val="00FC462A"/>
    <w:rsid w:val="00FD5EA2"/>
    <w:rsid w:val="00FD710A"/>
    <w:rsid w:val="00FE082D"/>
    <w:rsid w:val="00FE6E0E"/>
    <w:rsid w:val="1A174848"/>
    <w:rsid w:val="244707EC"/>
    <w:rsid w:val="2F0E252B"/>
    <w:rsid w:val="62D4454A"/>
    <w:rsid w:val="638E7BD1"/>
    <w:rsid w:val="67583B5E"/>
    <w:rsid w:val="731E6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9AE"/>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8469AE"/>
  </w:style>
  <w:style w:type="paragraph" w:styleId="a4">
    <w:name w:val="Date"/>
    <w:basedOn w:val="a"/>
    <w:next w:val="a"/>
    <w:link w:val="Char0"/>
    <w:semiHidden/>
    <w:unhideWhenUsed/>
    <w:qFormat/>
    <w:rsid w:val="008469AE"/>
    <w:pPr>
      <w:ind w:leftChars="2500" w:left="100"/>
    </w:pPr>
  </w:style>
  <w:style w:type="paragraph" w:styleId="a5">
    <w:name w:val="Balloon Text"/>
    <w:basedOn w:val="a"/>
    <w:link w:val="Char1"/>
    <w:semiHidden/>
    <w:unhideWhenUsed/>
    <w:qFormat/>
    <w:rsid w:val="008469AE"/>
    <w:rPr>
      <w:sz w:val="18"/>
      <w:szCs w:val="18"/>
    </w:rPr>
  </w:style>
  <w:style w:type="paragraph" w:styleId="a6">
    <w:name w:val="footer"/>
    <w:basedOn w:val="a"/>
    <w:link w:val="Char2"/>
    <w:uiPriority w:val="99"/>
    <w:unhideWhenUsed/>
    <w:qFormat/>
    <w:rsid w:val="008469AE"/>
    <w:pPr>
      <w:widowControl w:val="0"/>
      <w:tabs>
        <w:tab w:val="center" w:pos="4153"/>
        <w:tab w:val="right" w:pos="8306"/>
      </w:tabs>
      <w:snapToGrid w:val="0"/>
    </w:pPr>
    <w:rPr>
      <w:rFonts w:ascii="Calibri" w:hAnsi="Calibri"/>
      <w:kern w:val="2"/>
      <w:sz w:val="18"/>
      <w:szCs w:val="18"/>
    </w:rPr>
  </w:style>
  <w:style w:type="paragraph" w:styleId="a7">
    <w:name w:val="header"/>
    <w:basedOn w:val="a"/>
    <w:link w:val="Char3"/>
    <w:uiPriority w:val="99"/>
    <w:unhideWhenUsed/>
    <w:qFormat/>
    <w:rsid w:val="008469AE"/>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8">
    <w:name w:val="annotation subject"/>
    <w:basedOn w:val="a3"/>
    <w:next w:val="a3"/>
    <w:link w:val="Char4"/>
    <w:semiHidden/>
    <w:unhideWhenUsed/>
    <w:qFormat/>
    <w:rsid w:val="008469AE"/>
    <w:rPr>
      <w:b/>
      <w:bCs/>
    </w:rPr>
  </w:style>
  <w:style w:type="character" w:styleId="a9">
    <w:name w:val="Hyperlink"/>
    <w:basedOn w:val="a0"/>
    <w:unhideWhenUsed/>
    <w:qFormat/>
    <w:rsid w:val="008469AE"/>
    <w:rPr>
      <w:color w:val="0000FF" w:themeColor="hyperlink"/>
      <w:u w:val="single"/>
    </w:rPr>
  </w:style>
  <w:style w:type="character" w:styleId="aa">
    <w:name w:val="annotation reference"/>
    <w:basedOn w:val="a0"/>
    <w:semiHidden/>
    <w:unhideWhenUsed/>
    <w:qFormat/>
    <w:rsid w:val="008469AE"/>
    <w:rPr>
      <w:sz w:val="21"/>
      <w:szCs w:val="21"/>
    </w:rPr>
  </w:style>
  <w:style w:type="paragraph" w:customStyle="1" w:styleId="Default">
    <w:name w:val="Default"/>
    <w:qFormat/>
    <w:rsid w:val="008469AE"/>
    <w:pPr>
      <w:widowControl w:val="0"/>
      <w:autoSpaceDE w:val="0"/>
      <w:autoSpaceDN w:val="0"/>
      <w:adjustRightInd w:val="0"/>
    </w:pPr>
    <w:rPr>
      <w:rFonts w:ascii="宋体" w:cs="宋体"/>
      <w:color w:val="000000"/>
      <w:sz w:val="24"/>
      <w:szCs w:val="24"/>
    </w:rPr>
  </w:style>
  <w:style w:type="character" w:customStyle="1" w:styleId="Char3">
    <w:name w:val="页眉 Char"/>
    <w:basedOn w:val="a0"/>
    <w:link w:val="a7"/>
    <w:uiPriority w:val="99"/>
    <w:qFormat/>
    <w:rsid w:val="008469AE"/>
    <w:rPr>
      <w:sz w:val="18"/>
      <w:szCs w:val="18"/>
    </w:rPr>
  </w:style>
  <w:style w:type="character" w:customStyle="1" w:styleId="Char2">
    <w:name w:val="页脚 Char"/>
    <w:basedOn w:val="a0"/>
    <w:link w:val="a6"/>
    <w:uiPriority w:val="99"/>
    <w:qFormat/>
    <w:rsid w:val="008469AE"/>
    <w:rPr>
      <w:sz w:val="18"/>
      <w:szCs w:val="18"/>
    </w:rPr>
  </w:style>
  <w:style w:type="character" w:customStyle="1" w:styleId="Char1">
    <w:name w:val="批注框文本 Char"/>
    <w:basedOn w:val="a0"/>
    <w:link w:val="a5"/>
    <w:semiHidden/>
    <w:qFormat/>
    <w:rsid w:val="008469AE"/>
    <w:rPr>
      <w:rFonts w:ascii="宋体" w:hAnsi="宋体" w:cs="宋体"/>
      <w:sz w:val="18"/>
      <w:szCs w:val="18"/>
    </w:rPr>
  </w:style>
  <w:style w:type="character" w:customStyle="1" w:styleId="Char">
    <w:name w:val="批注文字 Char"/>
    <w:basedOn w:val="a0"/>
    <w:link w:val="a3"/>
    <w:semiHidden/>
    <w:qFormat/>
    <w:rsid w:val="008469AE"/>
    <w:rPr>
      <w:rFonts w:ascii="宋体" w:hAnsi="宋体" w:cs="宋体"/>
      <w:sz w:val="24"/>
      <w:szCs w:val="24"/>
    </w:rPr>
  </w:style>
  <w:style w:type="character" w:customStyle="1" w:styleId="Char4">
    <w:name w:val="批注主题 Char"/>
    <w:basedOn w:val="Char"/>
    <w:link w:val="a8"/>
    <w:semiHidden/>
    <w:qFormat/>
    <w:rsid w:val="008469AE"/>
    <w:rPr>
      <w:rFonts w:ascii="宋体" w:hAnsi="宋体" w:cs="宋体"/>
      <w:b/>
      <w:bCs/>
      <w:sz w:val="24"/>
      <w:szCs w:val="24"/>
    </w:rPr>
  </w:style>
  <w:style w:type="paragraph" w:styleId="ab">
    <w:name w:val="List Paragraph"/>
    <w:basedOn w:val="a"/>
    <w:uiPriority w:val="34"/>
    <w:qFormat/>
    <w:rsid w:val="008469AE"/>
    <w:pPr>
      <w:ind w:firstLineChars="200" w:firstLine="420"/>
    </w:pPr>
  </w:style>
  <w:style w:type="character" w:customStyle="1" w:styleId="Char0">
    <w:name w:val="日期 Char"/>
    <w:basedOn w:val="a0"/>
    <w:link w:val="a4"/>
    <w:semiHidden/>
    <w:qFormat/>
    <w:rsid w:val="008469AE"/>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A23E2-F091-491F-9BB3-77AB8AFE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4</DocSecurity>
  <Lines>11</Lines>
  <Paragraphs>3</Paragraphs>
  <ScaleCrop>false</ScaleCrop>
  <Company>中国平安保险(集团)股份有限公司</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2026-05-14T16:01:00Z</dcterms:created>
  <dcterms:modified xsi:type="dcterms:W3CDTF">2026-05-14T16:01:00Z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EC869D476B5F45C6A6E77905802DEBC3_12</vt:lpwstr>
  </property>
</Properties>
</file>