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B2" w:rsidRDefault="003B08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上银中证沪港深互联网指数型发起式证券投资基金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新增销售机构的公告</w:t>
      </w:r>
    </w:p>
    <w:p w:rsidR="00A100B2" w:rsidRDefault="00A100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A100B2" w:rsidRDefault="003B085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蚂蚁（杭州）基金销售有限公司</w:t>
      </w:r>
      <w:r>
        <w:rPr>
          <w:rFonts w:ascii="Times New Roman" w:hAnsi="Times New Roman" w:cs="Times New Roman" w:hint="eastAsia"/>
          <w:szCs w:val="21"/>
        </w:rPr>
        <w:t>、上海天天基金销售有限公司、京东肯特瑞基金销售有限公司、腾安基金销售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深圳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>有限公司、</w:t>
      </w:r>
      <w:r>
        <w:rPr>
          <w:rFonts w:ascii="Times New Roman" w:hAnsi="Times New Roman" w:cs="Times New Roman" w:hint="eastAsia"/>
          <w:szCs w:val="21"/>
        </w:rPr>
        <w:t>东方财富证券股份有限公司</w:t>
      </w:r>
      <w:r>
        <w:rPr>
          <w:rFonts w:ascii="Times New Roman" w:hAnsi="Times New Roman" w:cs="Times New Roman" w:hint="eastAsia"/>
          <w:szCs w:val="21"/>
        </w:rPr>
        <w:t>、上海万得基金销售有限公司、浙江同花顺基金销售有限公司、</w:t>
      </w:r>
      <w:r>
        <w:rPr>
          <w:rFonts w:ascii="Times New Roman" w:hAnsi="Times New Roman" w:cs="Times New Roman" w:hint="eastAsia"/>
          <w:szCs w:val="21"/>
        </w:rPr>
        <w:t>上海陆金所基金销售有限公司</w:t>
      </w:r>
      <w:r>
        <w:rPr>
          <w:rFonts w:ascii="Times New Roman" w:hAnsi="Times New Roman" w:cs="Times New Roman" w:hint="eastAsia"/>
          <w:szCs w:val="21"/>
        </w:rPr>
        <w:t>、珠海盈米基金销售有限公司、南京苏宁基金销售有限公司、</w:t>
      </w:r>
      <w:r>
        <w:rPr>
          <w:rFonts w:ascii="Times New Roman" w:hAnsi="Times New Roman" w:cs="Times New Roman" w:hint="eastAsia"/>
          <w:szCs w:val="21"/>
        </w:rPr>
        <w:t>诺亚正行基金销售有限公司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北京度小满基金销售有限公司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北京雪球基金销售有限公司</w:t>
      </w:r>
      <w:r>
        <w:rPr>
          <w:rFonts w:ascii="Times New Roman" w:hAnsi="Times New Roman" w:cs="Times New Roman" w:hint="eastAsia"/>
          <w:szCs w:val="21"/>
        </w:rPr>
        <w:t>、嘉实财富管理有限公司、玄元保险代理有限公司、上海中欧财富基金销售有限公司、</w:t>
      </w:r>
      <w:r>
        <w:rPr>
          <w:rFonts w:ascii="Times New Roman" w:hAnsi="Times New Roman" w:cs="Times New Roman" w:hint="eastAsia"/>
          <w:szCs w:val="21"/>
        </w:rPr>
        <w:t>上海好买基金销售有限公司</w:t>
      </w:r>
      <w:r>
        <w:rPr>
          <w:rFonts w:ascii="Times New Roman" w:hAnsi="Times New Roman" w:cs="Times New Roman" w:hint="eastAsia"/>
          <w:szCs w:val="21"/>
        </w:rPr>
        <w:t>、中国中金财富证券有限公司、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上海中正达广基金销售有限公司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上海长量基金销售有限公司</w:t>
      </w:r>
      <w:r>
        <w:rPr>
          <w:rFonts w:ascii="Times New Roman" w:hAnsi="Times New Roman" w:cs="Times New Roman" w:hint="eastAsia"/>
          <w:szCs w:val="21"/>
        </w:rPr>
        <w:t>、北京汇成基金销售有限公司、上海利得基金销售有限公司、上海联泰基金销售有限公司、宜信普泽（北京）基金销售有限公司、鼎信汇金（北京）投资管理有限公司、上海攀赢基金销售有限公司、</w:t>
      </w:r>
      <w:r>
        <w:rPr>
          <w:rFonts w:ascii="Times New Roman" w:hAnsi="Times New Roman" w:cs="Times New Roman" w:hint="eastAsia"/>
          <w:szCs w:val="21"/>
        </w:rPr>
        <w:t>泰信财富基金销售有限公司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泛华普益基金销售有限公司</w:t>
      </w:r>
      <w:r>
        <w:rPr>
          <w:rFonts w:ascii="Times New Roman" w:hAnsi="Times New Roman" w:cs="Times New Roman" w:hint="eastAsia"/>
          <w:szCs w:val="21"/>
        </w:rPr>
        <w:t>、奕丰基金销售有限公司、</w:t>
      </w:r>
      <w:r>
        <w:rPr>
          <w:rFonts w:ascii="Times New Roman" w:hAnsi="Times New Roman" w:cs="Times New Roman" w:hint="eastAsia"/>
          <w:szCs w:val="21"/>
        </w:rPr>
        <w:t>贵州省贵文文化基金销售有限公司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上海证达通基金销售有限公司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大连网金基金销售有限</w:t>
      </w:r>
      <w:r>
        <w:rPr>
          <w:rFonts w:ascii="Times New Roman" w:hAnsi="Times New Roman" w:cs="Times New Roman" w:hint="eastAsia"/>
          <w:szCs w:val="21"/>
        </w:rPr>
        <w:t>公司</w:t>
      </w:r>
      <w:r>
        <w:rPr>
          <w:rFonts w:ascii="Times New Roman" w:hAnsi="Times New Roman" w:cs="Times New Roman" w:hint="eastAsia"/>
          <w:szCs w:val="21"/>
        </w:rPr>
        <w:t>、兴业银行股份有限公司、</w:t>
      </w:r>
      <w:r>
        <w:rPr>
          <w:rFonts w:ascii="Times New Roman" w:hAnsi="Times New Roman" w:cs="Times New Roman" w:hint="eastAsia"/>
          <w:szCs w:val="21"/>
        </w:rPr>
        <w:t>上海银行股份有限公司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万联证券股份有限公司</w:t>
      </w:r>
      <w:r>
        <w:rPr>
          <w:rFonts w:ascii="Times New Roman" w:hAnsi="Times New Roman" w:cs="Times New Roman" w:hint="eastAsia"/>
          <w:szCs w:val="21"/>
        </w:rPr>
        <w:t>、南京证券股份有限公司、国信证券股份有限公司、中信证券（山东）有限责任公司、中信证券股份有限公司、</w:t>
      </w:r>
      <w:r>
        <w:rPr>
          <w:rFonts w:ascii="Times New Roman" w:hAnsi="Times New Roman" w:cs="Times New Roman" w:hint="eastAsia"/>
          <w:szCs w:val="21"/>
        </w:rPr>
        <w:t>中信证券华南股份有限公司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中信期货有限公司</w:t>
      </w:r>
      <w:r>
        <w:rPr>
          <w:rFonts w:ascii="Times New Roman" w:hAnsi="Times New Roman" w:cs="Times New Roman" w:hint="eastAsia"/>
          <w:szCs w:val="21"/>
        </w:rPr>
        <w:t>、西部证券股份有限公司、长江证券股份有限公司、中泰证券股份有限公司、招商证券股份有限公司、中信建投证券股份有限公司</w:t>
      </w:r>
      <w:r>
        <w:rPr>
          <w:rFonts w:ascii="Times New Roman" w:hAnsi="Times New Roman" w:cs="Times New Roman" w:hint="eastAsia"/>
          <w:szCs w:val="21"/>
        </w:rPr>
        <w:t>签署</w:t>
      </w:r>
      <w:r>
        <w:rPr>
          <w:rFonts w:ascii="Times New Roman" w:hAnsi="Times New Roman" w:cs="Times New Roman"/>
          <w:szCs w:val="21"/>
        </w:rPr>
        <w:t>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上述机构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A100B2">
        <w:tc>
          <w:tcPr>
            <w:tcW w:w="601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A100B2">
        <w:tc>
          <w:tcPr>
            <w:tcW w:w="601" w:type="pct"/>
            <w:vMerge w:val="restar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上银中证沪港深互联网指数型发起式证券投资基金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026748</w:t>
            </w:r>
          </w:p>
        </w:tc>
      </w:tr>
      <w:tr w:rsidR="00A100B2">
        <w:tc>
          <w:tcPr>
            <w:tcW w:w="601" w:type="pct"/>
            <w:vMerge/>
            <w:vAlign w:val="center"/>
          </w:tcPr>
          <w:p w:rsidR="00A100B2" w:rsidRDefault="00A100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上银中证沪港深互联网指数型发起式证券投资基金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A100B2" w:rsidRDefault="003B08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026749</w:t>
            </w:r>
          </w:p>
        </w:tc>
      </w:tr>
    </w:tbl>
    <w:p w:rsidR="00A100B2" w:rsidRDefault="003B085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蚂蚁（杭州）基金销售有限公司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网站：</w:t>
      </w:r>
      <w:r>
        <w:rPr>
          <w:rFonts w:ascii="Times New Roman" w:hAnsi="Times New Roman" w:cs="Times New Roman" w:hint="eastAsia"/>
          <w:szCs w:val="21"/>
        </w:rPr>
        <w:t>www.fund123.cn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95188-8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上海天天基金销售有限公司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www.1234567.com.cn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95021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京东肯特瑞基金销售有限公司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http://kenterui.jd.com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95118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腾安基金销售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深圳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>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hyperlink r:id="rId4" w:history="1">
        <w:r>
          <w:rPr>
            <w:rStyle w:val="a9"/>
            <w:rFonts w:ascii="Times New Roman" w:hAnsi="Times New Roman" w:cs="Times New Roman" w:hint="eastAsia"/>
            <w:szCs w:val="21"/>
          </w:rPr>
          <w:t>www.txfund.com</w:t>
        </w:r>
      </w:hyperlink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4000-890-555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东方财富证券股份有限公司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www.xzsec.com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95357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上海万得基金销售有限公司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www.520fund.com.cn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021-50</w:t>
      </w:r>
      <w:r>
        <w:rPr>
          <w:rFonts w:ascii="Times New Roman" w:hAnsi="Times New Roman" w:cs="Times New Roman" w:hint="eastAsia"/>
          <w:szCs w:val="21"/>
        </w:rPr>
        <w:t>712782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浙江同花顺基金销售有限公司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www.5ifund.com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952555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上海陆金所基金销售有限公司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www.lufunds.com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400-821-9031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珠海盈米基金销售有限公司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www.yingmi.cn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020-89629066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南京苏宁基金销售有限公司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www.snjijin.com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95177-2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诺亚正行基金销售有限公司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www.noah-fund.com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400-821-5399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北京度小满基金销售有限公司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www.duxiaomanfund.com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95055-4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北京雪球基金销售有限公司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https://danjuanfunds.com/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400-159-9288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嘉实财富管理有限公司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www.harvestwm.cn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400-021-8850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玄元保险代理有限公司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https://www.licaimofang.com/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400-080-8208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上海中欧财富基金销售有限公司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www.zocaifu.com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400-100-2666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上海好买基金销售有限公司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www.howbuy.com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400-700-9665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中国中金财富证券有限公司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www.ciccwm.com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95532/400-600-8008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www.htsc.com.cn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95597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上海中正达广基金销售有限公司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www.zhongzhengfund.com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400-6767-523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上海长量基金销售有限公司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www.erichfund.com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400-820-2899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北京汇成基金销售有限公司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www.hcfunds.com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010-63158805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上海利得基金销售有限公司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www.leadfund.com.cn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400-820-9935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上海联泰基金销售有限公司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www.66liantai.com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400-118-1188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宜信普泽（北京）基金销售有限公司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https://www.puzefund.com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400-6099-200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鼎信汇金（北京）投资管理有限公司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www.tl50.com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400-158-5050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上海攀赢基金销售有限公司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www.weonefunds.com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021-68889082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泰信财富基金销售有限公司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www.taixincf.com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400-004-8821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泛华普益基金销售有限公司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www.puyifund.com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400-080-3388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奕丰基金销售有限公司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www.ifastps.com.cn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400-684-0500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贵州省贵文文化基金销售有限公司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https://www.gwcaifu.com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0851-85407888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上海证达通基金销售有限公司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www.zdt.fund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021-20538880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大连网金基金销售有限公司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www.yibaijin.com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4000-899-100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兴业银行股份有限公司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www.cib.com.cn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95561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上海银行股份有限公司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www.bankofshanghai.com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95594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万联证券股份有限公司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www.wlzq.cn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95322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www.njzq.com.cn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95386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国信证券股份有限公司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www.guosen.com.cn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95536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中信证券（山东）有限责任公司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http://sd.citics.com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95548/400-889-5548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www.cs.ecitic.com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中信证券华南股份有限公司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www.gzs.com.cn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中信期货有限公司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www.citicsf.com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400-990-8826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西部证券股份有限公司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www.west95582.com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95582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长江证券股份有限公司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www.95579.com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95579/400-8888-999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中泰证券股份有限公司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www.zts.com.cn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www.cmschina.com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95565/0755-95565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中信建投证券股份有限公司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www.csc108.com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4008-888-1</w:t>
      </w:r>
      <w:r>
        <w:rPr>
          <w:rFonts w:ascii="Times New Roman" w:hAnsi="Times New Roman" w:cs="Times New Roman" w:hint="eastAsia"/>
          <w:szCs w:val="21"/>
        </w:rPr>
        <w:t>08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48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A100B2" w:rsidRDefault="00A100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A100B2" w:rsidRDefault="00A100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A100B2" w:rsidRDefault="003B085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A100B2" w:rsidRDefault="00A100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A100B2" w:rsidRDefault="003B0850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A100B2" w:rsidRDefault="003B0850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十一</w:t>
      </w:r>
      <w:r>
        <w:rPr>
          <w:rFonts w:ascii="Times New Roman" w:hAnsi="Times New Roman" w:cs="Times New Roman"/>
          <w:szCs w:val="21"/>
        </w:rPr>
        <w:t>日</w:t>
      </w:r>
    </w:p>
    <w:sectPr w:rsidR="00A100B2" w:rsidSect="00A1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17C5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850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67CC8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100B2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3C8A"/>
    <w:rsid w:val="00E04FE9"/>
    <w:rsid w:val="00E26999"/>
    <w:rsid w:val="00E370E4"/>
    <w:rsid w:val="00E54B4B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10615E39"/>
    <w:rsid w:val="13572DE6"/>
    <w:rsid w:val="14405A91"/>
    <w:rsid w:val="1A496C2D"/>
    <w:rsid w:val="1A8D2D40"/>
    <w:rsid w:val="1DD36353"/>
    <w:rsid w:val="1DF917F8"/>
    <w:rsid w:val="1FBA42E3"/>
    <w:rsid w:val="2646761A"/>
    <w:rsid w:val="2710501A"/>
    <w:rsid w:val="298C5A74"/>
    <w:rsid w:val="2DF46406"/>
    <w:rsid w:val="31266230"/>
    <w:rsid w:val="33770F5C"/>
    <w:rsid w:val="34AA475A"/>
    <w:rsid w:val="354638AA"/>
    <w:rsid w:val="38A61B18"/>
    <w:rsid w:val="3A174C57"/>
    <w:rsid w:val="3CE1215B"/>
    <w:rsid w:val="3DB61CF2"/>
    <w:rsid w:val="3F0D09C6"/>
    <w:rsid w:val="411A194C"/>
    <w:rsid w:val="414E5BDF"/>
    <w:rsid w:val="443774E6"/>
    <w:rsid w:val="461F067B"/>
    <w:rsid w:val="4B1E6728"/>
    <w:rsid w:val="4EF83D4F"/>
    <w:rsid w:val="4F714602"/>
    <w:rsid w:val="508E01DF"/>
    <w:rsid w:val="526550C4"/>
    <w:rsid w:val="54902362"/>
    <w:rsid w:val="551B78B9"/>
    <w:rsid w:val="566743D2"/>
    <w:rsid w:val="57697C0E"/>
    <w:rsid w:val="584B2D6E"/>
    <w:rsid w:val="5C812CF4"/>
    <w:rsid w:val="5EF54F0E"/>
    <w:rsid w:val="60233A99"/>
    <w:rsid w:val="60482C6C"/>
    <w:rsid w:val="64FE78F9"/>
    <w:rsid w:val="68224E97"/>
    <w:rsid w:val="689036C1"/>
    <w:rsid w:val="693B200E"/>
    <w:rsid w:val="6B55195D"/>
    <w:rsid w:val="6BD30FCC"/>
    <w:rsid w:val="6E48302D"/>
    <w:rsid w:val="6E755ABD"/>
    <w:rsid w:val="6E912274"/>
    <w:rsid w:val="72B80F51"/>
    <w:rsid w:val="7351183A"/>
    <w:rsid w:val="735E5C2F"/>
    <w:rsid w:val="758661FD"/>
    <w:rsid w:val="7720466A"/>
    <w:rsid w:val="792E455E"/>
    <w:rsid w:val="7B3B366A"/>
    <w:rsid w:val="7D1B57E1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100B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100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1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10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A100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100B2"/>
    <w:rPr>
      <w:b/>
      <w:bCs/>
    </w:rPr>
  </w:style>
  <w:style w:type="table" w:styleId="a8">
    <w:name w:val="Table Grid"/>
    <w:basedOn w:val="a1"/>
    <w:uiPriority w:val="59"/>
    <w:unhideWhenUsed/>
    <w:qFormat/>
    <w:rsid w:val="00A100B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A100B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100B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100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100B2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A100B2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100B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100B2"/>
  </w:style>
  <w:style w:type="character" w:customStyle="1" w:styleId="Char3">
    <w:name w:val="批注主题 Char"/>
    <w:basedOn w:val="Char"/>
    <w:link w:val="a7"/>
    <w:uiPriority w:val="99"/>
    <w:semiHidden/>
    <w:qFormat/>
    <w:rsid w:val="00A100B2"/>
    <w:rPr>
      <w:b/>
      <w:bCs/>
    </w:rPr>
  </w:style>
  <w:style w:type="paragraph" w:customStyle="1" w:styleId="1">
    <w:name w:val="修订1"/>
    <w:hidden/>
    <w:uiPriority w:val="99"/>
    <w:semiHidden/>
    <w:qFormat/>
    <w:rsid w:val="00A100B2"/>
    <w:rPr>
      <w:kern w:val="2"/>
      <w:sz w:val="21"/>
      <w:szCs w:val="22"/>
    </w:rPr>
  </w:style>
  <w:style w:type="paragraph" w:customStyle="1" w:styleId="Default">
    <w:name w:val="Default"/>
    <w:qFormat/>
    <w:rsid w:val="00A100B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A100B2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A100B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xfun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4</DocSecurity>
  <Lines>27</Lines>
  <Paragraphs>7</Paragraphs>
  <ScaleCrop>false</ScaleCrop>
  <Company>CNSTOCK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2026-05-10T16:00:00Z</dcterms:created>
  <dcterms:modified xsi:type="dcterms:W3CDTF">2026-05-10T16:00:00Z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