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F5051">
      <w:pPr>
        <w:pStyle w:val="1"/>
        <w:spacing w:line="360" w:lineRule="auto"/>
        <w:jc w:val="center"/>
        <w:rPr>
          <w:color w:val="000000"/>
          <w:sz w:val="24"/>
        </w:rPr>
      </w:pPr>
      <w:r>
        <w:rPr>
          <w:rFonts w:ascii="宋体" w:hAnsi="宋体" w:cs="宋体" w:hint="eastAsia"/>
          <w:bCs w:val="0"/>
          <w:color w:val="000000"/>
          <w:sz w:val="28"/>
          <w:szCs w:val="28"/>
        </w:rPr>
        <w:t>关于</w:t>
      </w:r>
      <w:r>
        <w:rPr>
          <w:rFonts w:ascii="宋体" w:hAnsi="宋体" w:cs="宋体" w:hint="eastAsia"/>
          <w:bCs w:val="0"/>
          <w:color w:val="000000"/>
          <w:sz w:val="28"/>
          <w:szCs w:val="28"/>
        </w:rPr>
        <w:t>恢复</w:t>
      </w:r>
      <w:r>
        <w:rPr>
          <w:rFonts w:ascii="宋体" w:hAnsi="宋体" w:cs="宋体" w:hint="eastAsia"/>
          <w:bCs w:val="0"/>
          <w:color w:val="000000"/>
          <w:sz w:val="28"/>
          <w:szCs w:val="28"/>
        </w:rPr>
        <w:t>中信建投智多鑫货币市场基金管理费适用费率</w:t>
      </w:r>
      <w:r>
        <w:rPr>
          <w:rFonts w:ascii="宋体" w:hAnsi="宋体" w:cs="宋体" w:hint="eastAsia"/>
          <w:bCs w:val="0"/>
          <w:color w:val="000000"/>
          <w:sz w:val="28"/>
          <w:szCs w:val="28"/>
        </w:rPr>
        <w:t>的</w:t>
      </w:r>
      <w:r>
        <w:rPr>
          <w:rFonts w:ascii="宋体" w:hAnsi="宋体" w:cs="宋体" w:hint="eastAsia"/>
          <w:bCs w:val="0"/>
          <w:color w:val="000000"/>
          <w:sz w:val="28"/>
          <w:szCs w:val="28"/>
        </w:rPr>
        <w:t>公告</w:t>
      </w:r>
    </w:p>
    <w:p w:rsidR="00000000" w:rsidRDefault="00DF5051">
      <w:pPr>
        <w:pStyle w:val="2"/>
        <w:spacing w:line="360" w:lineRule="auto"/>
        <w:ind w:firstLineChars="200" w:firstLine="482"/>
        <w:rPr>
          <w:rFonts w:ascii="宋体" w:eastAsia="宋体" w:hAnsi="宋体" w:cs="宋体" w:hint="eastAsia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</w:rPr>
        <w:t>一、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管理费调整方案</w:t>
      </w:r>
    </w:p>
    <w:tbl>
      <w:tblPr>
        <w:tblW w:w="8640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72"/>
        <w:gridCol w:w="5968"/>
      </w:tblGrid>
      <w:tr w:rsidR="00000000">
        <w:trPr>
          <w:trHeight w:val="471"/>
          <w:jc w:val="center"/>
        </w:trPr>
        <w:tc>
          <w:tcPr>
            <w:tcW w:w="2672" w:type="dxa"/>
          </w:tcPr>
          <w:p w:rsidR="00000000" w:rsidRDefault="00DF5051">
            <w:pPr>
              <w:spacing w:line="720" w:lineRule="auto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基金名称</w:t>
            </w:r>
          </w:p>
        </w:tc>
        <w:tc>
          <w:tcPr>
            <w:tcW w:w="5968" w:type="dxa"/>
          </w:tcPr>
          <w:p w:rsidR="00000000" w:rsidRDefault="00DF5051">
            <w:pPr>
              <w:spacing w:line="720" w:lineRule="auto"/>
              <w:rPr>
                <w:rFonts w:ascii="宋体" w:eastAsia="宋体" w:hAnsi="宋体" w:cs="宋体" w:hint="eastAsia"/>
                <w:color w:val="000000"/>
                <w:sz w:val="24"/>
                <w:szCs w:val="24"/>
                <w:highlight w:val="cya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中信建投智多鑫货币市场基金（以下简称“本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”）</w:t>
            </w:r>
          </w:p>
        </w:tc>
      </w:tr>
      <w:tr w:rsidR="00000000">
        <w:trPr>
          <w:jc w:val="center"/>
        </w:trPr>
        <w:tc>
          <w:tcPr>
            <w:tcW w:w="2672" w:type="dxa"/>
          </w:tcPr>
          <w:p w:rsidR="00000000" w:rsidRDefault="00DF5051">
            <w:pPr>
              <w:spacing w:line="360" w:lineRule="auto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基金简称</w:t>
            </w:r>
          </w:p>
        </w:tc>
        <w:tc>
          <w:tcPr>
            <w:tcW w:w="5968" w:type="dxa"/>
          </w:tcPr>
          <w:p w:rsidR="00000000" w:rsidRDefault="00DF5051">
            <w:pPr>
              <w:spacing w:line="36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中信建投智多鑫货币</w:t>
            </w:r>
          </w:p>
        </w:tc>
      </w:tr>
      <w:tr w:rsidR="00000000">
        <w:trPr>
          <w:jc w:val="center"/>
        </w:trPr>
        <w:tc>
          <w:tcPr>
            <w:tcW w:w="2672" w:type="dxa"/>
          </w:tcPr>
          <w:p w:rsidR="00000000" w:rsidRDefault="00DF5051">
            <w:pPr>
              <w:spacing w:line="360" w:lineRule="auto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基金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主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代码</w:t>
            </w:r>
          </w:p>
        </w:tc>
        <w:tc>
          <w:tcPr>
            <w:tcW w:w="5968" w:type="dxa"/>
          </w:tcPr>
          <w:p w:rsidR="00000000" w:rsidRDefault="00DF5051">
            <w:pPr>
              <w:spacing w:line="36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025233</w:t>
            </w:r>
          </w:p>
        </w:tc>
      </w:tr>
      <w:tr w:rsidR="00000000">
        <w:trPr>
          <w:jc w:val="center"/>
        </w:trPr>
        <w:tc>
          <w:tcPr>
            <w:tcW w:w="2672" w:type="dxa"/>
          </w:tcPr>
          <w:p w:rsidR="00000000" w:rsidRDefault="00DF5051">
            <w:pPr>
              <w:spacing w:line="360" w:lineRule="auto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基金管理人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5968" w:type="dxa"/>
          </w:tcPr>
          <w:p w:rsidR="00000000" w:rsidRDefault="00DF5051">
            <w:pPr>
              <w:spacing w:line="36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中信建投基金管理有限公司</w:t>
            </w:r>
          </w:p>
        </w:tc>
      </w:tr>
      <w:tr w:rsidR="00000000">
        <w:trPr>
          <w:jc w:val="center"/>
        </w:trPr>
        <w:tc>
          <w:tcPr>
            <w:tcW w:w="2672" w:type="dxa"/>
          </w:tcPr>
          <w:p w:rsidR="00000000" w:rsidRDefault="00DF5051">
            <w:pPr>
              <w:spacing w:line="360" w:lineRule="auto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基金托管人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5968" w:type="dxa"/>
          </w:tcPr>
          <w:p w:rsidR="00000000" w:rsidRDefault="00DF5051">
            <w:pPr>
              <w:spacing w:line="36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中国证券登记结算有限责任公司</w:t>
            </w:r>
          </w:p>
        </w:tc>
      </w:tr>
      <w:tr w:rsidR="00000000">
        <w:trPr>
          <w:jc w:val="center"/>
        </w:trPr>
        <w:tc>
          <w:tcPr>
            <w:tcW w:w="2672" w:type="dxa"/>
          </w:tcPr>
          <w:p w:rsidR="00000000" w:rsidRDefault="00DF5051">
            <w:pPr>
              <w:spacing w:line="360" w:lineRule="auto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  <w:p w:rsidR="00000000" w:rsidRDefault="00DF5051">
            <w:pPr>
              <w:spacing w:line="360" w:lineRule="auto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  <w:p w:rsidR="00000000" w:rsidRDefault="00DF5051">
            <w:pPr>
              <w:spacing w:line="360" w:lineRule="auto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公告依据</w:t>
            </w:r>
          </w:p>
        </w:tc>
        <w:tc>
          <w:tcPr>
            <w:tcW w:w="5968" w:type="dxa"/>
          </w:tcPr>
          <w:p w:rsidR="00000000" w:rsidRDefault="00DF5051">
            <w:pPr>
              <w:spacing w:line="36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中华人民共和国证券投资基金法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》《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公开募集证券投资基金运作管理办法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《公开募集证券投资基金信息披露管理办法》（以下简称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《信息披露办法》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《中信建投智多鑫货币市场基金基金合同》（以下简称《基金合同》）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《中信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建投智多鑫货币市场基金招募说明书》（以下简称《招募说明书》）及其更新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等</w:t>
            </w:r>
          </w:p>
        </w:tc>
      </w:tr>
      <w:tr w:rsidR="00000000">
        <w:trPr>
          <w:jc w:val="center"/>
        </w:trPr>
        <w:tc>
          <w:tcPr>
            <w:tcW w:w="2672" w:type="dxa"/>
            <w:vAlign w:val="center"/>
          </w:tcPr>
          <w:p w:rsidR="00000000" w:rsidRDefault="00DF5051">
            <w:pPr>
              <w:spacing w:line="360" w:lineRule="auto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管理费恢复起始日期</w:t>
            </w:r>
          </w:p>
        </w:tc>
        <w:tc>
          <w:tcPr>
            <w:tcW w:w="5968" w:type="dxa"/>
          </w:tcPr>
          <w:p w:rsidR="00000000" w:rsidRDefault="00DF5051">
            <w:pPr>
              <w:spacing w:line="360" w:lineRule="auto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2026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日</w:t>
            </w:r>
          </w:p>
        </w:tc>
      </w:tr>
      <w:tr w:rsidR="00000000">
        <w:trPr>
          <w:jc w:val="center"/>
        </w:trPr>
        <w:tc>
          <w:tcPr>
            <w:tcW w:w="2672" w:type="dxa"/>
            <w:vAlign w:val="center"/>
          </w:tcPr>
          <w:p w:rsidR="00000000" w:rsidRDefault="00DF5051">
            <w:pPr>
              <w:spacing w:line="360" w:lineRule="auto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调整原因</w:t>
            </w:r>
          </w:p>
        </w:tc>
        <w:tc>
          <w:tcPr>
            <w:tcW w:w="5968" w:type="dxa"/>
          </w:tcPr>
          <w:p w:rsidR="00000000" w:rsidRDefault="00DF5051">
            <w:pPr>
              <w:spacing w:line="360" w:lineRule="auto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根据本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基金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《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基金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合同》和《招募说明书》中关于管理费的相关约定：“当以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0.90%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的管理费计算的七日年化暂估收益率小于或等于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倍活期存款利率，基金管理人将调整管理费为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0.30%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，以降低每万份基金暂估净收益为负并引发销售机构交收透支的风险，直至该类风险消除，基金管理人方可恢复计提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0.90%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的管理费。基金管理人应在费率调整后依照《信息披露办法》的有关规定在规定媒介上公告。”</w:t>
            </w:r>
          </w:p>
          <w:p w:rsidR="00000000" w:rsidRDefault="00DF5051">
            <w:pPr>
              <w:spacing w:line="360" w:lineRule="auto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2026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日，前述情形已消除，管理费恢复至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0.90%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。</w:t>
            </w:r>
          </w:p>
        </w:tc>
      </w:tr>
    </w:tbl>
    <w:p w:rsidR="00000000" w:rsidRDefault="00DF5051">
      <w:pPr>
        <w:pStyle w:val="2"/>
        <w:spacing w:line="360" w:lineRule="auto"/>
        <w:ind w:firstLineChars="200" w:firstLine="482"/>
        <w:rPr>
          <w:rFonts w:ascii="宋体" w:eastAsia="宋体" w:hAnsi="宋体" w:cs="宋体" w:hint="eastAsia"/>
          <w:bCs w:val="0"/>
          <w:color w:val="000000"/>
          <w:sz w:val="24"/>
          <w:szCs w:val="24"/>
        </w:rPr>
      </w:pPr>
      <w:bookmarkStart w:id="0" w:name="_Toc275961424"/>
      <w:r>
        <w:rPr>
          <w:rFonts w:ascii="宋体" w:eastAsia="宋体" w:hAnsi="宋体" w:cs="宋体" w:hint="eastAsia"/>
          <w:bCs w:val="0"/>
          <w:color w:val="000000"/>
          <w:sz w:val="24"/>
          <w:szCs w:val="24"/>
        </w:rPr>
        <w:t>二、其他需要提示的事项</w:t>
      </w:r>
      <w:bookmarkEnd w:id="0"/>
    </w:p>
    <w:p w:rsidR="00000000" w:rsidRDefault="00DF5051">
      <w:pPr>
        <w:spacing w:line="360" w:lineRule="auto"/>
        <w:ind w:firstLineChars="200" w:firstLine="480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、投资者可通过下列渠道了解相关信息：</w:t>
      </w:r>
    </w:p>
    <w:p w:rsidR="00000000" w:rsidRDefault="00DF5051">
      <w:pPr>
        <w:spacing w:line="360" w:lineRule="auto"/>
        <w:ind w:firstLineChars="200" w:firstLine="480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lastRenderedPageBreak/>
        <w:t>（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）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基金管理人</w:t>
      </w:r>
    </w:p>
    <w:p w:rsidR="00000000" w:rsidRDefault="00DF5051">
      <w:pPr>
        <w:spacing w:line="360" w:lineRule="auto"/>
        <w:ind w:firstLineChars="200" w:firstLine="480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中信建投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基金管理有限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公司</w:t>
      </w:r>
    </w:p>
    <w:p w:rsidR="00000000" w:rsidRDefault="00DF5051">
      <w:pPr>
        <w:spacing w:line="360" w:lineRule="auto"/>
        <w:ind w:firstLineChars="200" w:firstLine="480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全国统一服务热线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4009-108-108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（免长途话费）</w:t>
      </w:r>
    </w:p>
    <w:p w:rsidR="00000000" w:rsidRDefault="00DF5051">
      <w:pPr>
        <w:spacing w:line="360" w:lineRule="auto"/>
        <w:ind w:firstLineChars="200" w:firstLine="480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网站：</w:t>
      </w:r>
      <w:hyperlink r:id="rId5" w:history="1">
        <w:r>
          <w:rPr>
            <w:rFonts w:ascii="宋体" w:eastAsia="宋体" w:hAnsi="宋体" w:cs="宋体" w:hint="eastAsia"/>
            <w:color w:val="000000"/>
            <w:kern w:val="0"/>
            <w:sz w:val="24"/>
            <w:szCs w:val="24"/>
          </w:rPr>
          <w:t>www.cfund108.com</w:t>
        </w:r>
      </w:hyperlink>
    </w:p>
    <w:p w:rsidR="00000000" w:rsidRDefault="00DF5051">
      <w:pPr>
        <w:spacing w:line="360" w:lineRule="auto"/>
        <w:ind w:firstLineChars="200" w:firstLine="480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）销售机构</w:t>
      </w:r>
    </w:p>
    <w:p w:rsidR="00000000" w:rsidRDefault="00DF5051">
      <w:pPr>
        <w:spacing w:line="360" w:lineRule="auto"/>
        <w:ind w:firstLineChars="200" w:firstLine="480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中信建投证券股份有限公司</w:t>
      </w:r>
    </w:p>
    <w:p w:rsidR="00000000" w:rsidRDefault="00DF5051">
      <w:pPr>
        <w:spacing w:line="360" w:lineRule="auto"/>
        <w:ind w:firstLineChars="200" w:firstLine="480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客户服务电话：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95587</w:t>
      </w:r>
    </w:p>
    <w:p w:rsidR="00000000" w:rsidRDefault="00DF5051">
      <w:pPr>
        <w:spacing w:line="360" w:lineRule="auto"/>
        <w:ind w:firstLineChars="200" w:firstLine="480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网址：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www.csc108.com</w:t>
      </w:r>
    </w:p>
    <w:p w:rsidR="00000000" w:rsidRDefault="00DF5051">
      <w:pPr>
        <w:spacing w:line="360" w:lineRule="auto"/>
        <w:ind w:firstLineChars="200" w:firstLine="480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、本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基金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投资于货币市场工具，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每万份基金暂估净收益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和七日年化暂估收益率会因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货币市场波动等因素产生波动，因此，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基金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管理人有权根据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基金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运作情况调整后续管理费，敬请投资者关注相关风险。</w:t>
      </w:r>
    </w:p>
    <w:p w:rsidR="00000000" w:rsidRDefault="00DF5051">
      <w:pPr>
        <w:spacing w:line="360" w:lineRule="auto"/>
        <w:ind w:firstLineChars="200" w:firstLine="480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、风险提示</w:t>
      </w:r>
    </w:p>
    <w:p w:rsidR="00000000" w:rsidRDefault="00DF5051">
      <w:pPr>
        <w:spacing w:line="360" w:lineRule="auto"/>
        <w:ind w:firstLineChars="200" w:firstLine="480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基金管理人承诺以诚实信用、勤勉尽责的原则管理和运用基金资产，但不保证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基金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一定盈利，也不保证最低收益。投资者购买本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基金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并不等于将资金作为存款存放在银行或存款类金融机构。本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基金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公布的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每万份基金暂估净收益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和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7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日年化暂估收益率，不作为对投资者进行收益分配的依据，与分红日实际每万份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基金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净收益和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7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日年化收益率可能存在差异。投资有风险，投资者在投资本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基金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之前，请仔细阅读本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基金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的招募说明书、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基金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合同、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基金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产品资料概要等信息披露文件，全面认识本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基金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的风险收益特征和产品特性，并充分考虑自身的风险承受能力，理性判断市场，自主判断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基金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的投资价值，自主做出投资决策，自行承担投资风险。</w:t>
      </w:r>
    </w:p>
    <w:p w:rsidR="00000000" w:rsidRDefault="00DF5051">
      <w:pPr>
        <w:spacing w:line="360" w:lineRule="auto"/>
        <w:ind w:firstLineChars="200" w:firstLine="480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特此公告。</w:t>
      </w:r>
    </w:p>
    <w:p w:rsidR="00000000" w:rsidRDefault="00DF5051">
      <w:pPr>
        <w:spacing w:line="360" w:lineRule="auto"/>
        <w:ind w:firstLineChars="200" w:firstLine="480"/>
        <w:jc w:val="righ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</w:p>
    <w:p w:rsidR="00000000" w:rsidRDefault="00DF5051">
      <w:pPr>
        <w:spacing w:line="360" w:lineRule="auto"/>
        <w:ind w:firstLineChars="200" w:firstLine="480"/>
        <w:jc w:val="righ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中信建投基金管理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有限公司</w:t>
      </w:r>
    </w:p>
    <w:p w:rsidR="00000000" w:rsidRDefault="00DF5051">
      <w:pPr>
        <w:spacing w:line="360" w:lineRule="auto"/>
        <w:ind w:firstLineChars="200" w:firstLine="480"/>
        <w:jc w:val="righ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202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6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年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5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11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</w:t>
      </w:r>
    </w:p>
    <w:sectPr w:rsidR="0000000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仿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等线">
    <w:charset w:val="86"/>
    <w:family w:val="auto"/>
    <w:pitch w:val="default"/>
    <w:sig w:usb0="A00002BF" w:usb1="38CF7CFA" w:usb2="00000016" w:usb3="00000000" w:csb0="0004000F" w:csb1="00000000"/>
  </w:font>
  <w:font w:name="等线 Light">
    <w:charset w:val="86"/>
    <w:family w:val="auto"/>
    <w:pitch w:val="default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8EB2CC"/>
    <w:multiLevelType w:val="multilevel"/>
    <w:tmpl w:val="5F8EB2CC"/>
    <w:lvl w:ilvl="0">
      <w:start w:val="1"/>
      <w:numFmt w:val="chineseCountingThousand"/>
      <w:lvlText w:val="%1、"/>
      <w:lvlJc w:val="left"/>
      <w:pPr>
        <w:tabs>
          <w:tab w:val="num" w:pos="284"/>
        </w:tabs>
        <w:ind w:left="709" w:hanging="425"/>
      </w:pPr>
      <w:rPr>
        <w:sz w:val="21"/>
        <w:szCs w:val="21"/>
      </w:rPr>
    </w:lvl>
    <w:lvl w:ilvl="1">
      <w:start w:val="1"/>
      <w:numFmt w:val="chineseCountingThousand"/>
      <w:lvlText w:val="(%2)"/>
      <w:lvlJc w:val="left"/>
      <w:pPr>
        <w:tabs>
          <w:tab w:val="num" w:pos="0"/>
        </w:tabs>
        <w:ind w:left="454" w:hanging="454"/>
      </w:pPr>
      <w:rPr>
        <w:sz w:val="21"/>
      </w:rPr>
    </w:lvl>
    <w:lvl w:ilvl="2">
      <w:start w:val="1"/>
      <w:numFmt w:val="decimal"/>
      <w:suff w:val="space"/>
      <w:lvlText w:val="%1.%2.%3"/>
      <w:lvlJc w:val="left"/>
      <w:pPr>
        <w:tabs>
          <w:tab w:val="num" w:pos="0"/>
        </w:tabs>
        <w:ind w:left="1050" w:hanging="624"/>
      </w:pPr>
      <w:rPr>
        <w:sz w:val="24"/>
        <w:szCs w:val="24"/>
      </w:rPr>
    </w:lvl>
    <w:lvl w:ilvl="3">
      <w:start w:val="1"/>
      <w:numFmt w:val="decimal"/>
      <w:suff w:val="space"/>
      <w:lvlText w:val="%1.%2.%3.%4"/>
      <w:lvlJc w:val="left"/>
      <w:pPr>
        <w:tabs>
          <w:tab w:val="num" w:pos="0"/>
        </w:tabs>
        <w:ind w:left="794" w:hanging="794"/>
      </w:pPr>
    </w:lvl>
    <w:lvl w:ilvl="4">
      <w:start w:val="1"/>
      <w:numFmt w:val="decimal"/>
      <w:suff w:val="space"/>
      <w:lvlText w:val="%1.%2.%3.%4.%5"/>
      <w:lvlJc w:val="left"/>
      <w:pPr>
        <w:tabs>
          <w:tab w:val="num" w:pos="0"/>
        </w:tabs>
        <w:ind w:left="1021" w:hanging="1021"/>
      </w:pPr>
    </w:lvl>
    <w:lvl w:ilvl="5">
      <w:start w:val="1"/>
      <w:numFmt w:val="decimal"/>
      <w:suff w:val="space"/>
      <w:lvlText w:val="%1.%2.%3.%4.%5.%6"/>
      <w:lvlJc w:val="left"/>
      <w:pPr>
        <w:tabs>
          <w:tab w:val="num" w:pos="0"/>
        </w:tabs>
        <w:ind w:left="1021" w:hanging="1021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102" w:hanging="17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0A5B"/>
    <w:rsid w:val="00082691"/>
    <w:rsid w:val="00096042"/>
    <w:rsid w:val="000A3075"/>
    <w:rsid w:val="000B3B5A"/>
    <w:rsid w:val="0010682A"/>
    <w:rsid w:val="001071B2"/>
    <w:rsid w:val="00114508"/>
    <w:rsid w:val="00132AE6"/>
    <w:rsid w:val="0013354D"/>
    <w:rsid w:val="0015371F"/>
    <w:rsid w:val="001628F5"/>
    <w:rsid w:val="0016762A"/>
    <w:rsid w:val="00184B34"/>
    <w:rsid w:val="001970BB"/>
    <w:rsid w:val="001B066B"/>
    <w:rsid w:val="001C6C4A"/>
    <w:rsid w:val="001D2CD5"/>
    <w:rsid w:val="001E755E"/>
    <w:rsid w:val="001F1F38"/>
    <w:rsid w:val="00256AE6"/>
    <w:rsid w:val="00287059"/>
    <w:rsid w:val="0034364D"/>
    <w:rsid w:val="0034439B"/>
    <w:rsid w:val="0035615C"/>
    <w:rsid w:val="00362CC6"/>
    <w:rsid w:val="0037319E"/>
    <w:rsid w:val="00394667"/>
    <w:rsid w:val="003B00EA"/>
    <w:rsid w:val="003B6AC3"/>
    <w:rsid w:val="003E3EFF"/>
    <w:rsid w:val="00405B14"/>
    <w:rsid w:val="00422F1E"/>
    <w:rsid w:val="00443D74"/>
    <w:rsid w:val="0044660E"/>
    <w:rsid w:val="00461EF3"/>
    <w:rsid w:val="00476712"/>
    <w:rsid w:val="004771EF"/>
    <w:rsid w:val="00482271"/>
    <w:rsid w:val="00493936"/>
    <w:rsid w:val="004B2602"/>
    <w:rsid w:val="004B45DE"/>
    <w:rsid w:val="004C633E"/>
    <w:rsid w:val="004D630F"/>
    <w:rsid w:val="004E1F32"/>
    <w:rsid w:val="005162A8"/>
    <w:rsid w:val="00520BF7"/>
    <w:rsid w:val="00522CBD"/>
    <w:rsid w:val="00560569"/>
    <w:rsid w:val="00575A46"/>
    <w:rsid w:val="005824D7"/>
    <w:rsid w:val="005B341A"/>
    <w:rsid w:val="005B3F76"/>
    <w:rsid w:val="005D2441"/>
    <w:rsid w:val="005E5D31"/>
    <w:rsid w:val="006205E6"/>
    <w:rsid w:val="00626828"/>
    <w:rsid w:val="00646B9E"/>
    <w:rsid w:val="00670261"/>
    <w:rsid w:val="006858CA"/>
    <w:rsid w:val="006A6E96"/>
    <w:rsid w:val="006D3174"/>
    <w:rsid w:val="006E07CE"/>
    <w:rsid w:val="006F5081"/>
    <w:rsid w:val="007250D6"/>
    <w:rsid w:val="00751747"/>
    <w:rsid w:val="00760C76"/>
    <w:rsid w:val="0076336E"/>
    <w:rsid w:val="007B1608"/>
    <w:rsid w:val="007C3614"/>
    <w:rsid w:val="007C7666"/>
    <w:rsid w:val="007F7F29"/>
    <w:rsid w:val="0080182A"/>
    <w:rsid w:val="00816538"/>
    <w:rsid w:val="008175C2"/>
    <w:rsid w:val="00823F79"/>
    <w:rsid w:val="0086595E"/>
    <w:rsid w:val="00881D21"/>
    <w:rsid w:val="00884A61"/>
    <w:rsid w:val="008C0A5B"/>
    <w:rsid w:val="0094462B"/>
    <w:rsid w:val="00985FEA"/>
    <w:rsid w:val="009A033B"/>
    <w:rsid w:val="009A4543"/>
    <w:rsid w:val="009D2EFC"/>
    <w:rsid w:val="009D606C"/>
    <w:rsid w:val="009D70C8"/>
    <w:rsid w:val="009F375D"/>
    <w:rsid w:val="00A300D3"/>
    <w:rsid w:val="00A3162C"/>
    <w:rsid w:val="00A34B0A"/>
    <w:rsid w:val="00A60825"/>
    <w:rsid w:val="00AA75B7"/>
    <w:rsid w:val="00AD6B45"/>
    <w:rsid w:val="00AF4CEC"/>
    <w:rsid w:val="00B37CCD"/>
    <w:rsid w:val="00B476BA"/>
    <w:rsid w:val="00B5631E"/>
    <w:rsid w:val="00B71667"/>
    <w:rsid w:val="00BA2AEF"/>
    <w:rsid w:val="00BA4E57"/>
    <w:rsid w:val="00BB2875"/>
    <w:rsid w:val="00BE6EB9"/>
    <w:rsid w:val="00C371C9"/>
    <w:rsid w:val="00C57F80"/>
    <w:rsid w:val="00C72407"/>
    <w:rsid w:val="00C7747B"/>
    <w:rsid w:val="00C8246E"/>
    <w:rsid w:val="00C90D86"/>
    <w:rsid w:val="00CA5713"/>
    <w:rsid w:val="00CF4BCE"/>
    <w:rsid w:val="00D03504"/>
    <w:rsid w:val="00D15E84"/>
    <w:rsid w:val="00D22CC0"/>
    <w:rsid w:val="00D23760"/>
    <w:rsid w:val="00D3628E"/>
    <w:rsid w:val="00D77092"/>
    <w:rsid w:val="00D80187"/>
    <w:rsid w:val="00D9137B"/>
    <w:rsid w:val="00DB3572"/>
    <w:rsid w:val="00DD399F"/>
    <w:rsid w:val="00DE2E40"/>
    <w:rsid w:val="00DF149E"/>
    <w:rsid w:val="00DF1BFE"/>
    <w:rsid w:val="00DF4A40"/>
    <w:rsid w:val="00DF5051"/>
    <w:rsid w:val="00DF775C"/>
    <w:rsid w:val="00E04385"/>
    <w:rsid w:val="00E43F32"/>
    <w:rsid w:val="00E45530"/>
    <w:rsid w:val="00E456F4"/>
    <w:rsid w:val="00E5659B"/>
    <w:rsid w:val="00E64D3C"/>
    <w:rsid w:val="00EA5740"/>
    <w:rsid w:val="00ED3BA4"/>
    <w:rsid w:val="00ED4FEE"/>
    <w:rsid w:val="00EF447E"/>
    <w:rsid w:val="00F35BFC"/>
    <w:rsid w:val="00F5556D"/>
    <w:rsid w:val="00F80469"/>
    <w:rsid w:val="00F902BE"/>
    <w:rsid w:val="00FC19DC"/>
    <w:rsid w:val="00FD1724"/>
    <w:rsid w:val="00FE3E59"/>
    <w:rsid w:val="00FE6665"/>
    <w:rsid w:val="00FF53CC"/>
    <w:rsid w:val="01716BD5"/>
    <w:rsid w:val="03430BF7"/>
    <w:rsid w:val="05305BB7"/>
    <w:rsid w:val="05947E23"/>
    <w:rsid w:val="06C174E7"/>
    <w:rsid w:val="07036991"/>
    <w:rsid w:val="08A3063C"/>
    <w:rsid w:val="09F43460"/>
    <w:rsid w:val="0C9A6A8E"/>
    <w:rsid w:val="0E277EA1"/>
    <w:rsid w:val="106907B9"/>
    <w:rsid w:val="154D73BC"/>
    <w:rsid w:val="158775E0"/>
    <w:rsid w:val="158D5B76"/>
    <w:rsid w:val="1AF953E3"/>
    <w:rsid w:val="1C9E031F"/>
    <w:rsid w:val="1E367E99"/>
    <w:rsid w:val="21FB0AB6"/>
    <w:rsid w:val="226C0499"/>
    <w:rsid w:val="22C94040"/>
    <w:rsid w:val="242C0E74"/>
    <w:rsid w:val="24B06F41"/>
    <w:rsid w:val="25C118A5"/>
    <w:rsid w:val="260203F2"/>
    <w:rsid w:val="27F6629D"/>
    <w:rsid w:val="2AC60E17"/>
    <w:rsid w:val="2BB51544"/>
    <w:rsid w:val="2D625697"/>
    <w:rsid w:val="32DB0C08"/>
    <w:rsid w:val="335A665E"/>
    <w:rsid w:val="34D40B86"/>
    <w:rsid w:val="372F4354"/>
    <w:rsid w:val="37F85FEE"/>
    <w:rsid w:val="38E77CF9"/>
    <w:rsid w:val="3AA156D2"/>
    <w:rsid w:val="3B3321A9"/>
    <w:rsid w:val="3C8577D9"/>
    <w:rsid w:val="3E717401"/>
    <w:rsid w:val="40C0464B"/>
    <w:rsid w:val="4488337C"/>
    <w:rsid w:val="44A83C31"/>
    <w:rsid w:val="45F62B0D"/>
    <w:rsid w:val="4CAF5937"/>
    <w:rsid w:val="4FB550DE"/>
    <w:rsid w:val="500B724C"/>
    <w:rsid w:val="50DB4DA3"/>
    <w:rsid w:val="54DF7E0D"/>
    <w:rsid w:val="55101EDC"/>
    <w:rsid w:val="5A200EDE"/>
    <w:rsid w:val="5B7E4079"/>
    <w:rsid w:val="5D6A35D0"/>
    <w:rsid w:val="5E0377AC"/>
    <w:rsid w:val="60261FB8"/>
    <w:rsid w:val="614A68D0"/>
    <w:rsid w:val="62FE4802"/>
    <w:rsid w:val="64995D5E"/>
    <w:rsid w:val="67A376E5"/>
    <w:rsid w:val="699C0018"/>
    <w:rsid w:val="6B2028CD"/>
    <w:rsid w:val="6CB07B60"/>
    <w:rsid w:val="6D943656"/>
    <w:rsid w:val="70265B0E"/>
    <w:rsid w:val="70ED2B61"/>
    <w:rsid w:val="7277186F"/>
    <w:rsid w:val="73687B35"/>
    <w:rsid w:val="77E76DFE"/>
    <w:rsid w:val="7D3D6B31"/>
    <w:rsid w:val="7D532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3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semiHidden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方正仿宋简体"/>
      <w:kern w:val="2"/>
      <w:sz w:val="32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paragraph" w:styleId="3">
    <w:name w:val="heading 3"/>
    <w:basedOn w:val="a"/>
    <w:next w:val="a"/>
    <w:uiPriority w:val="9"/>
    <w:qFormat/>
    <w:pPr>
      <w:keepNext/>
      <w:keepLines/>
      <w:spacing w:before="260" w:after="260" w:line="408" w:lineRule="auto"/>
      <w:outlineLvl w:val="2"/>
    </w:pPr>
    <w:rPr>
      <w:b/>
      <w:kern w:val="0"/>
      <w:szCs w:val="32"/>
    </w:rPr>
  </w:style>
  <w:style w:type="paragraph" w:styleId="4">
    <w:name w:val="heading 4"/>
    <w:basedOn w:val="a"/>
    <w:next w:val="a"/>
    <w:qFormat/>
    <w:pPr>
      <w:keepNext/>
      <w:keepLines/>
      <w:spacing w:before="240" w:after="290" w:line="372" w:lineRule="auto"/>
      <w:outlineLvl w:val="3"/>
    </w:pPr>
    <w:rPr>
      <w:rFonts w:ascii="Cambria" w:eastAsia="Cambria" w:hAnsi="Cambria"/>
      <w:b/>
      <w:kern w:val="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link w:val="2"/>
    <w:qFormat/>
    <w:rPr>
      <w:rFonts w:ascii="Arial" w:eastAsia="黑体" w:hAnsi="Arial" w:cs="Times New Roman"/>
      <w:b/>
      <w:bCs/>
      <w:sz w:val="32"/>
      <w:szCs w:val="32"/>
    </w:rPr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character" w:customStyle="1" w:styleId="Char">
    <w:name w:val="批注文字 Char"/>
    <w:link w:val="a3"/>
    <w:uiPriority w:val="99"/>
    <w:semiHidden/>
    <w:qFormat/>
    <w:rPr>
      <w:rFonts w:ascii="Times New Roman" w:eastAsia="方正仿宋简体" w:hAnsi="Times New Roman" w:cs="Times New Roman"/>
      <w:sz w:val="32"/>
      <w:szCs w:val="20"/>
    </w:r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character" w:customStyle="1" w:styleId="Char0">
    <w:name w:val="批注框文本 Char"/>
    <w:link w:val="a4"/>
    <w:uiPriority w:val="99"/>
    <w:semiHidden/>
    <w:qFormat/>
    <w:rPr>
      <w:rFonts w:ascii="Times New Roman" w:eastAsia="方正仿宋简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/>
      <w:sz w:val="18"/>
      <w:szCs w:val="18"/>
    </w:rPr>
  </w:style>
  <w:style w:type="character" w:customStyle="1" w:styleId="Char1">
    <w:name w:val="页脚 Char"/>
    <w:link w:val="a5"/>
    <w:uiPriority w:val="99"/>
    <w:qFormat/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rFonts w:ascii="等线" w:eastAsia="等线" w:hAnsi="等线"/>
      <w:sz w:val="18"/>
      <w:szCs w:val="18"/>
    </w:rPr>
  </w:style>
  <w:style w:type="character" w:customStyle="1" w:styleId="Char2">
    <w:name w:val="页眉 Char"/>
    <w:link w:val="a6"/>
    <w:uiPriority w:val="99"/>
    <w:qFormat/>
    <w:rPr>
      <w:sz w:val="18"/>
      <w:szCs w:val="18"/>
    </w:rPr>
  </w:style>
  <w:style w:type="paragraph" w:styleId="a7">
    <w:name w:val="Subtitle"/>
    <w:basedOn w:val="2"/>
    <w:next w:val="3"/>
    <w:qFormat/>
    <w:pPr>
      <w:spacing w:before="240" w:after="60" w:line="312" w:lineRule="auto"/>
      <w:jc w:val="left"/>
    </w:pPr>
    <w:rPr>
      <w:rFonts w:eastAsia="宋体"/>
      <w:kern w:val="24"/>
      <w:sz w:val="24"/>
    </w:rPr>
  </w:style>
  <w:style w:type="paragraph" w:styleId="a8">
    <w:name w:val="annotation subject"/>
    <w:basedOn w:val="a3"/>
    <w:next w:val="a3"/>
    <w:link w:val="Char3"/>
    <w:uiPriority w:val="99"/>
    <w:unhideWhenUsed/>
    <w:qFormat/>
    <w:rPr>
      <w:b/>
      <w:bCs/>
    </w:rPr>
  </w:style>
  <w:style w:type="character" w:customStyle="1" w:styleId="Char3">
    <w:name w:val="批注主题 Char"/>
    <w:link w:val="a8"/>
    <w:uiPriority w:val="99"/>
    <w:semiHidden/>
    <w:qFormat/>
    <w:rPr>
      <w:rFonts w:ascii="Times New Roman" w:eastAsia="方正仿宋简体" w:hAnsi="Times New Roman" w:cs="Times New Roman"/>
      <w:b/>
      <w:bCs/>
      <w:sz w:val="32"/>
      <w:szCs w:val="20"/>
    </w:rPr>
  </w:style>
  <w:style w:type="character" w:styleId="a9">
    <w:name w:val="annotation reference"/>
    <w:uiPriority w:val="99"/>
    <w:unhideWhenUsed/>
    <w:qFormat/>
    <w:rPr>
      <w:sz w:val="21"/>
      <w:szCs w:val="21"/>
    </w:rPr>
  </w:style>
  <w:style w:type="character" w:customStyle="1" w:styleId="20">
    <w:name w:val="标题 2 字符"/>
    <w:uiPriority w:val="9"/>
    <w:semiHidden/>
    <w:qFormat/>
    <w:rPr>
      <w:rFonts w:ascii="等线 Light" w:eastAsia="等线 Light" w:hAnsi="等线 Light" w:cs="Times New Roman"/>
      <w:b/>
      <w:bCs/>
      <w:sz w:val="32"/>
      <w:szCs w:val="32"/>
    </w:rPr>
  </w:style>
  <w:style w:type="paragraph" w:customStyle="1" w:styleId="XBRLTitle2">
    <w:name w:val="XBRLTitle2"/>
    <w:basedOn w:val="a7"/>
    <w:next w:val="4"/>
    <w:pPr>
      <w:keepNext w:val="0"/>
      <w:keepLines w:val="0"/>
      <w:numPr>
        <w:ilvl w:val="1"/>
        <w:numId w:val="1"/>
      </w:numPr>
      <w:tabs>
        <w:tab w:val="left" w:pos="0"/>
      </w:tabs>
      <w:spacing w:beforeLines="50" w:after="0"/>
    </w:pPr>
    <w:rPr>
      <w:rFonts w:ascii="宋体" w:hint="eastAsia"/>
    </w:rPr>
  </w:style>
  <w:style w:type="paragraph" w:styleId="aa">
    <w:name w:val="Revision"/>
    <w:uiPriority w:val="99"/>
    <w:unhideWhenUsed/>
    <w:rPr>
      <w:rFonts w:eastAsia="方正仿宋简体"/>
      <w:kern w:val="2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xzzcgl.com&#12290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973</Characters>
  <Application>Microsoft Office Word</Application>
  <DocSecurity>4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songbt</dc:creator>
  <cp:keywords/>
  <cp:lastModifiedBy>ZHONGM</cp:lastModifiedBy>
  <cp:revision>2</cp:revision>
  <cp:lastPrinted>2024-10-08T02:54:00Z</cp:lastPrinted>
  <dcterms:created xsi:type="dcterms:W3CDTF">2026-05-10T16:01:00Z</dcterms:created>
  <dcterms:modified xsi:type="dcterms:W3CDTF">2026-05-10T16:01:00Z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1EB21DE6B2D84AA9817F2EE0999E3F6B</vt:lpwstr>
  </property>
</Properties>
</file>