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D9" w:rsidRDefault="002223D9">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东吴基金管理有限公司关于旗下部分基金新增</w:t>
      </w:r>
      <w:r w:rsidR="004D2E56">
        <w:rPr>
          <w:rStyle w:val="da"/>
          <w:rFonts w:ascii="黑体" w:eastAsia="黑体" w:hAnsi="黑体" w:cs="黑体" w:hint="eastAsia"/>
          <w:b/>
          <w:bCs/>
          <w:sz w:val="28"/>
          <w:szCs w:val="28"/>
        </w:rPr>
        <w:t>中信银行</w:t>
      </w:r>
      <w:r>
        <w:rPr>
          <w:rStyle w:val="da"/>
          <w:rFonts w:ascii="黑体" w:eastAsia="黑体" w:hAnsi="黑体" w:cs="黑体" w:hint="eastAsia"/>
          <w:b/>
          <w:bCs/>
          <w:sz w:val="28"/>
          <w:szCs w:val="28"/>
        </w:rPr>
        <w:t>股份有限</w:t>
      </w:r>
    </w:p>
    <w:p w:rsidR="002223D9" w:rsidRDefault="002223D9">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公司为代销机构、开通定期定额投资及转换业务的公告</w:t>
      </w:r>
    </w:p>
    <w:p w:rsidR="002223D9" w:rsidRDefault="002223D9">
      <w:pPr>
        <w:spacing w:line="400" w:lineRule="exact"/>
        <w:jc w:val="center"/>
        <w:rPr>
          <w:rStyle w:val="da"/>
          <w:rFonts w:ascii="宋体" w:hAnsi="宋体" w:hint="eastAsia"/>
          <w:b/>
          <w:bCs/>
          <w:sz w:val="24"/>
        </w:rPr>
      </w:pPr>
    </w:p>
    <w:p w:rsidR="002223D9" w:rsidRDefault="002223D9">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w:t>
      </w:r>
      <w:r w:rsidR="004D2E56">
        <w:rPr>
          <w:rFonts w:cs="宋体" w:hint="eastAsia"/>
          <w:kern w:val="0"/>
          <w:szCs w:val="21"/>
        </w:rPr>
        <w:t>中信银行</w:t>
      </w:r>
      <w:r>
        <w:rPr>
          <w:rFonts w:cs="宋体" w:hint="eastAsia"/>
          <w:kern w:val="0"/>
          <w:szCs w:val="21"/>
        </w:rPr>
        <w:t>股份有限公司（以下简称“</w:t>
      </w:r>
      <w:r w:rsidR="004D2E56">
        <w:rPr>
          <w:rFonts w:cs="宋体" w:hint="eastAsia"/>
          <w:kern w:val="0"/>
          <w:szCs w:val="21"/>
        </w:rPr>
        <w:t>中信银行</w:t>
      </w:r>
      <w:r>
        <w:rPr>
          <w:rFonts w:cs="宋体" w:hint="eastAsia"/>
          <w:kern w:val="0"/>
          <w:szCs w:val="21"/>
        </w:rPr>
        <w:t>”）签署的开放式基金代销协议，自</w:t>
      </w:r>
      <w:r w:rsidR="00234C53">
        <w:rPr>
          <w:rFonts w:cs="宋体" w:hint="eastAsia"/>
          <w:kern w:val="0"/>
          <w:szCs w:val="21"/>
        </w:rPr>
        <w:t>2026</w:t>
      </w:r>
      <w:r w:rsidR="00234C53">
        <w:rPr>
          <w:rFonts w:cs="宋体" w:hint="eastAsia"/>
          <w:kern w:val="0"/>
          <w:szCs w:val="21"/>
        </w:rPr>
        <w:t>年</w:t>
      </w:r>
      <w:r w:rsidR="00234C53">
        <w:rPr>
          <w:rFonts w:cs="宋体" w:hint="eastAsia"/>
          <w:kern w:val="0"/>
          <w:szCs w:val="21"/>
        </w:rPr>
        <w:t>5</w:t>
      </w:r>
      <w:r w:rsidR="00234C53">
        <w:rPr>
          <w:rFonts w:cs="宋体" w:hint="eastAsia"/>
          <w:kern w:val="0"/>
          <w:szCs w:val="21"/>
        </w:rPr>
        <w:t>月</w:t>
      </w:r>
      <w:r w:rsidR="004D2E56">
        <w:rPr>
          <w:rFonts w:cs="宋体" w:hint="eastAsia"/>
          <w:kern w:val="0"/>
          <w:szCs w:val="21"/>
        </w:rPr>
        <w:t>11</w:t>
      </w:r>
      <w:r w:rsidR="00234C53">
        <w:rPr>
          <w:rFonts w:cs="宋体" w:hint="eastAsia"/>
          <w:kern w:val="0"/>
          <w:szCs w:val="21"/>
        </w:rPr>
        <w:t>日</w:t>
      </w:r>
      <w:r>
        <w:rPr>
          <w:rFonts w:cs="宋体" w:hint="eastAsia"/>
          <w:kern w:val="0"/>
          <w:szCs w:val="21"/>
        </w:rPr>
        <w:t>起通过</w:t>
      </w:r>
      <w:r w:rsidR="004D2E56">
        <w:rPr>
          <w:rFonts w:cs="宋体" w:hint="eastAsia"/>
          <w:kern w:val="0"/>
          <w:szCs w:val="21"/>
        </w:rPr>
        <w:t>中信银行</w:t>
      </w:r>
      <w:r>
        <w:rPr>
          <w:rFonts w:cs="宋体" w:hint="eastAsia"/>
          <w:kern w:val="0"/>
          <w:szCs w:val="21"/>
        </w:rPr>
        <w:t>接受投资者办理</w:t>
      </w:r>
      <w:r>
        <w:rPr>
          <w:rFonts w:cs="宋体" w:hint="eastAsia"/>
          <w:szCs w:val="21"/>
        </w:rPr>
        <w:t>东吴基金旗下管理的部分证券投资基金</w:t>
      </w:r>
      <w:r>
        <w:rPr>
          <w:rFonts w:cs="宋体" w:hint="eastAsia"/>
          <w:kern w:val="0"/>
          <w:szCs w:val="21"/>
        </w:rPr>
        <w:t>的开户、申购和赎回等业务，现将有关事项公告如下：</w:t>
      </w:r>
    </w:p>
    <w:p w:rsidR="002223D9" w:rsidRDefault="002223D9">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130"/>
        <w:gridCol w:w="2412"/>
      </w:tblGrid>
      <w:tr w:rsidR="002223D9">
        <w:trPr>
          <w:trHeight w:val="90"/>
          <w:jc w:val="center"/>
        </w:trPr>
        <w:tc>
          <w:tcPr>
            <w:tcW w:w="676" w:type="dxa"/>
          </w:tcPr>
          <w:p w:rsidR="002223D9" w:rsidRDefault="002223D9">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130" w:type="dxa"/>
          </w:tcPr>
          <w:p w:rsidR="002223D9" w:rsidRDefault="002223D9">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2412" w:type="dxa"/>
          </w:tcPr>
          <w:p w:rsidR="002223D9" w:rsidRDefault="002223D9">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2223D9">
        <w:trPr>
          <w:trHeight w:val="385"/>
          <w:jc w:val="center"/>
        </w:trPr>
        <w:tc>
          <w:tcPr>
            <w:tcW w:w="676" w:type="dxa"/>
          </w:tcPr>
          <w:p w:rsidR="002223D9" w:rsidRDefault="002223D9">
            <w:pPr>
              <w:widowControl/>
              <w:numPr>
                <w:ilvl w:val="0"/>
                <w:numId w:val="2"/>
              </w:numPr>
              <w:spacing w:line="400" w:lineRule="exact"/>
              <w:jc w:val="center"/>
              <w:rPr>
                <w:rFonts w:ascii="Times New Roman" w:hAnsi="Times New Roman" w:cs="宋体" w:hint="eastAsia"/>
                <w:szCs w:val="21"/>
              </w:rPr>
            </w:pPr>
          </w:p>
        </w:tc>
        <w:tc>
          <w:tcPr>
            <w:tcW w:w="5130" w:type="dxa"/>
            <w:vAlign w:val="center"/>
          </w:tcPr>
          <w:p w:rsidR="002223D9" w:rsidRDefault="004D4FD4" w:rsidP="004D4FD4">
            <w:pPr>
              <w:widowControl/>
              <w:jc w:val="center"/>
              <w:textAlignment w:val="center"/>
              <w:rPr>
                <w:rFonts w:ascii="Times New Roman" w:hAnsi="Times New Roman" w:cs="宋体" w:hint="eastAsia"/>
                <w:szCs w:val="21"/>
                <w:lang/>
              </w:rPr>
            </w:pPr>
            <w:r w:rsidRPr="004D4FD4">
              <w:rPr>
                <w:rFonts w:ascii="Times New Roman" w:hAnsi="Times New Roman" w:cs="宋体" w:hint="eastAsia"/>
                <w:szCs w:val="21"/>
                <w:lang/>
              </w:rPr>
              <w:t>东吴移动互联灵活配置混合型证券投资基金</w:t>
            </w:r>
            <w:r w:rsidR="004D2E56" w:rsidRPr="004D2E56">
              <w:rPr>
                <w:rFonts w:ascii="Times New Roman" w:hAnsi="Times New Roman" w:cs="宋体" w:hint="eastAsia"/>
                <w:szCs w:val="21"/>
                <w:lang/>
              </w:rPr>
              <w:t>A</w:t>
            </w:r>
            <w:r w:rsidR="004D2E56" w:rsidRPr="004D2E56">
              <w:rPr>
                <w:rFonts w:ascii="Times New Roman" w:hAnsi="Times New Roman" w:cs="宋体" w:hint="eastAsia"/>
                <w:szCs w:val="21"/>
                <w:lang/>
              </w:rPr>
              <w:t>类</w:t>
            </w:r>
            <w:r w:rsidR="004D2E56" w:rsidRPr="004D2E56">
              <w:rPr>
                <w:rFonts w:ascii="Times New Roman" w:hAnsi="Times New Roman" w:cs="宋体" w:hint="eastAsia"/>
                <w:szCs w:val="21"/>
                <w:lang/>
              </w:rPr>
              <w:t>/</w:t>
            </w:r>
            <w:r>
              <w:rPr>
                <w:rFonts w:ascii="Times New Roman" w:hAnsi="Times New Roman" w:cs="宋体" w:hint="eastAsia"/>
                <w:szCs w:val="21"/>
                <w:lang/>
              </w:rPr>
              <w:t>C</w:t>
            </w:r>
            <w:r w:rsidR="002223D9">
              <w:rPr>
                <w:rFonts w:ascii="Times New Roman" w:hAnsi="Times New Roman" w:cs="宋体" w:hint="eastAsia"/>
                <w:szCs w:val="21"/>
                <w:lang/>
              </w:rPr>
              <w:t>类</w:t>
            </w:r>
          </w:p>
        </w:tc>
        <w:tc>
          <w:tcPr>
            <w:tcW w:w="2412" w:type="dxa"/>
            <w:vAlign w:val="center"/>
          </w:tcPr>
          <w:p w:rsidR="002223D9" w:rsidRDefault="004D2E56">
            <w:pPr>
              <w:widowControl/>
              <w:spacing w:line="400" w:lineRule="exact"/>
              <w:jc w:val="center"/>
              <w:rPr>
                <w:rFonts w:ascii="Times New Roman" w:hAnsi="Times New Roman" w:cs="宋体"/>
                <w:color w:val="000000"/>
                <w:szCs w:val="21"/>
              </w:rPr>
            </w:pPr>
            <w:r w:rsidRPr="004D2E56">
              <w:rPr>
                <w:rFonts w:ascii="Times New Roman" w:hAnsi="Times New Roman" w:cs="宋体"/>
                <w:szCs w:val="21"/>
                <w:lang/>
              </w:rPr>
              <w:t>001323/</w:t>
            </w:r>
            <w:r w:rsidR="00207526" w:rsidRPr="00207526">
              <w:rPr>
                <w:rFonts w:ascii="Times New Roman" w:hAnsi="Times New Roman" w:cs="宋体"/>
                <w:szCs w:val="21"/>
                <w:lang/>
              </w:rPr>
              <w:t>002170</w:t>
            </w:r>
          </w:p>
        </w:tc>
      </w:tr>
    </w:tbl>
    <w:p w:rsidR="002223D9" w:rsidRDefault="002223D9">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以后的委托将会在下一个交易日处理，具体以销售机构相关规定为准。</w:t>
      </w:r>
    </w:p>
    <w:p w:rsidR="002223D9" w:rsidRDefault="002223D9">
      <w:pPr>
        <w:widowControl/>
        <w:spacing w:line="360" w:lineRule="auto"/>
        <w:ind w:firstLineChars="200" w:firstLine="420"/>
        <w:jc w:val="left"/>
        <w:rPr>
          <w:rFonts w:cs="宋体" w:hint="eastAsia"/>
          <w:szCs w:val="21"/>
        </w:rPr>
      </w:pPr>
      <w:r>
        <w:rPr>
          <w:rFonts w:cs="宋体" w:hint="eastAsia"/>
          <w:szCs w:val="21"/>
        </w:rPr>
        <w:t xml:space="preserve"> </w:t>
      </w:r>
    </w:p>
    <w:p w:rsidR="002223D9" w:rsidRDefault="002223D9">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2223D9" w:rsidRDefault="002223D9">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为满足广大投资者的理财需求，东吴基金决定自</w:t>
      </w:r>
      <w:r w:rsidR="00234C53">
        <w:rPr>
          <w:rFonts w:cs="宋体" w:hint="eastAsia"/>
          <w:szCs w:val="21"/>
        </w:rPr>
        <w:t>2026</w:t>
      </w:r>
      <w:r w:rsidR="00234C53">
        <w:rPr>
          <w:rFonts w:cs="宋体" w:hint="eastAsia"/>
          <w:szCs w:val="21"/>
        </w:rPr>
        <w:t>年</w:t>
      </w:r>
      <w:r w:rsidR="00234C53">
        <w:rPr>
          <w:rFonts w:cs="宋体" w:hint="eastAsia"/>
          <w:szCs w:val="21"/>
        </w:rPr>
        <w:t>5</w:t>
      </w:r>
      <w:r w:rsidR="00234C53">
        <w:rPr>
          <w:rFonts w:cs="宋体" w:hint="eastAsia"/>
          <w:szCs w:val="21"/>
        </w:rPr>
        <w:t>月</w:t>
      </w:r>
      <w:r w:rsidR="004D2E56">
        <w:rPr>
          <w:rFonts w:cs="宋体" w:hint="eastAsia"/>
          <w:szCs w:val="21"/>
        </w:rPr>
        <w:t>11</w:t>
      </w:r>
      <w:r w:rsidR="00234C53">
        <w:rPr>
          <w:rFonts w:cs="宋体" w:hint="eastAsia"/>
          <w:szCs w:val="21"/>
        </w:rPr>
        <w:t>日</w:t>
      </w:r>
      <w:r>
        <w:rPr>
          <w:rFonts w:cs="宋体" w:hint="eastAsia"/>
          <w:szCs w:val="21"/>
        </w:rPr>
        <w:t>起开通上述适用基金在</w:t>
      </w:r>
      <w:r w:rsidR="004D2E56">
        <w:rPr>
          <w:rFonts w:cs="宋体" w:hint="eastAsia"/>
          <w:kern w:val="0"/>
          <w:szCs w:val="21"/>
        </w:rPr>
        <w:t>中信银行</w:t>
      </w:r>
      <w:r>
        <w:rPr>
          <w:rFonts w:cs="宋体" w:hint="eastAsia"/>
          <w:szCs w:val="21"/>
        </w:rPr>
        <w:t>的定期定额投资业务。</w:t>
      </w:r>
    </w:p>
    <w:p w:rsidR="002223D9" w:rsidRDefault="002223D9">
      <w:pPr>
        <w:spacing w:line="360" w:lineRule="auto"/>
        <w:ind w:firstLineChars="200" w:firstLine="420"/>
        <w:rPr>
          <w:rFonts w:cs="宋体" w:hint="eastAsia"/>
          <w:szCs w:val="21"/>
        </w:rPr>
      </w:pPr>
      <w:r>
        <w:rPr>
          <w:rFonts w:cs="宋体" w:hint="eastAsia"/>
          <w:szCs w:val="21"/>
        </w:rPr>
        <w:t>“定期定额投资业务”是基金申购业务的一种方式，投资者可以通过</w:t>
      </w:r>
      <w:r w:rsidR="004D2E56">
        <w:rPr>
          <w:rFonts w:cs="宋体" w:hint="eastAsia"/>
          <w:szCs w:val="21"/>
        </w:rPr>
        <w:t>中信银行</w:t>
      </w:r>
      <w:r>
        <w:rPr>
          <w:rFonts w:cs="宋体" w:hint="eastAsia"/>
          <w:szCs w:val="21"/>
        </w:rPr>
        <w:t>提交申请，约定每期扣款时间、扣款金额及扣款方式，由</w:t>
      </w:r>
      <w:r w:rsidR="004D2E56">
        <w:rPr>
          <w:rFonts w:cs="宋体" w:hint="eastAsia"/>
          <w:szCs w:val="21"/>
        </w:rPr>
        <w:t>中信银行</w:t>
      </w:r>
      <w:r>
        <w:rPr>
          <w:rFonts w:cs="宋体" w:hint="eastAsia"/>
          <w:szCs w:val="21"/>
        </w:rPr>
        <w:t>于约定扣款日在投资者指定的资金账户内自动完成扣款以及基金申购业务。投资者在办理基金“定期定额投资业务”的同时，仍然可以进行日常申购、赎回业务。</w:t>
      </w:r>
    </w:p>
    <w:p w:rsidR="002223D9" w:rsidRDefault="002223D9">
      <w:pPr>
        <w:spacing w:line="360" w:lineRule="auto"/>
        <w:ind w:firstLineChars="200" w:firstLine="420"/>
        <w:rPr>
          <w:rFonts w:cs="宋体" w:hint="eastAsia"/>
          <w:szCs w:val="21"/>
        </w:rPr>
      </w:pPr>
      <w:r>
        <w:rPr>
          <w:rFonts w:cs="宋体" w:hint="eastAsia"/>
          <w:szCs w:val="21"/>
        </w:rPr>
        <w:t>（一）适用投资者</w:t>
      </w:r>
    </w:p>
    <w:p w:rsidR="002223D9" w:rsidRDefault="002223D9">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2223D9" w:rsidRDefault="002223D9">
      <w:pPr>
        <w:spacing w:line="360" w:lineRule="auto"/>
        <w:ind w:firstLineChars="200" w:firstLine="420"/>
        <w:rPr>
          <w:rFonts w:cs="宋体" w:hint="eastAsia"/>
          <w:szCs w:val="21"/>
        </w:rPr>
      </w:pPr>
      <w:r>
        <w:rPr>
          <w:rFonts w:cs="宋体" w:hint="eastAsia"/>
          <w:szCs w:val="21"/>
        </w:rPr>
        <w:t>（二）办理场所</w:t>
      </w:r>
    </w:p>
    <w:p w:rsidR="002223D9" w:rsidRDefault="002223D9">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w:t>
      </w:r>
      <w:r w:rsidR="004D2E56">
        <w:rPr>
          <w:rFonts w:cs="宋体" w:hint="eastAsia"/>
          <w:kern w:val="0"/>
          <w:szCs w:val="21"/>
        </w:rPr>
        <w:t>中信银行</w:t>
      </w:r>
      <w:r>
        <w:rPr>
          <w:rFonts w:cs="宋体" w:hint="eastAsia"/>
          <w:kern w:val="0"/>
          <w:szCs w:val="21"/>
        </w:rPr>
        <w:t>交易系统</w:t>
      </w:r>
      <w:r>
        <w:rPr>
          <w:rFonts w:cs="宋体" w:hint="eastAsia"/>
          <w:szCs w:val="21"/>
        </w:rPr>
        <w:t>，办理“定期定额投资业务”申请。</w:t>
      </w:r>
    </w:p>
    <w:p w:rsidR="002223D9" w:rsidRDefault="002223D9">
      <w:pPr>
        <w:spacing w:line="360" w:lineRule="auto"/>
        <w:ind w:firstLineChars="200" w:firstLine="420"/>
        <w:rPr>
          <w:rFonts w:cs="宋体" w:hint="eastAsia"/>
          <w:szCs w:val="21"/>
        </w:rPr>
      </w:pPr>
      <w:r>
        <w:rPr>
          <w:rFonts w:cs="宋体" w:hint="eastAsia"/>
          <w:szCs w:val="21"/>
        </w:rPr>
        <w:t>（三）办理方式</w:t>
      </w:r>
    </w:p>
    <w:p w:rsidR="002223D9" w:rsidRDefault="002223D9">
      <w:pPr>
        <w:spacing w:line="360" w:lineRule="auto"/>
        <w:ind w:firstLineChars="200" w:firstLine="420"/>
        <w:rPr>
          <w:rFonts w:cs="宋体" w:hint="eastAsia"/>
          <w:szCs w:val="21"/>
        </w:rPr>
      </w:pPr>
      <w:r>
        <w:rPr>
          <w:rFonts w:cs="宋体" w:hint="eastAsia"/>
          <w:szCs w:val="21"/>
        </w:rPr>
        <w:t>1</w:t>
      </w:r>
      <w:r>
        <w:rPr>
          <w:rFonts w:cs="宋体" w:hint="eastAsia"/>
          <w:szCs w:val="21"/>
        </w:rPr>
        <w:t>、凡申请办理“定期定额投资业务”的投资者在</w:t>
      </w:r>
      <w:r w:rsidR="004D2E56">
        <w:rPr>
          <w:rFonts w:cs="宋体" w:hint="eastAsia"/>
          <w:kern w:val="0"/>
          <w:szCs w:val="21"/>
        </w:rPr>
        <w:t>中信银行</w:t>
      </w:r>
      <w:r>
        <w:rPr>
          <w:rFonts w:cs="宋体" w:hint="eastAsia"/>
          <w:szCs w:val="21"/>
        </w:rPr>
        <w:t>直接开户便可进行东吴基金定期定额投资业务。</w:t>
      </w:r>
    </w:p>
    <w:p w:rsidR="002223D9" w:rsidRDefault="002223D9">
      <w:pPr>
        <w:spacing w:line="360" w:lineRule="auto"/>
        <w:ind w:firstLineChars="200" w:firstLine="420"/>
        <w:rPr>
          <w:rFonts w:cs="宋体" w:hint="eastAsia"/>
          <w:szCs w:val="21"/>
        </w:rPr>
      </w:pPr>
      <w:r>
        <w:rPr>
          <w:rFonts w:cs="宋体" w:hint="eastAsia"/>
          <w:szCs w:val="21"/>
        </w:rPr>
        <w:t>2</w:t>
      </w:r>
      <w:r>
        <w:rPr>
          <w:rFonts w:cs="宋体" w:hint="eastAsia"/>
          <w:szCs w:val="21"/>
        </w:rPr>
        <w:t>、已开立东吴基金管理有限公司开放式基金账户的投资者，可在</w:t>
      </w:r>
      <w:r w:rsidR="004D2E56">
        <w:rPr>
          <w:rFonts w:cs="宋体" w:hint="eastAsia"/>
          <w:kern w:val="0"/>
          <w:szCs w:val="21"/>
        </w:rPr>
        <w:t>中信银行</w:t>
      </w:r>
      <w:r>
        <w:rPr>
          <w:rFonts w:cs="宋体" w:hint="eastAsia"/>
          <w:color w:val="000000"/>
          <w:kern w:val="0"/>
          <w:szCs w:val="21"/>
        </w:rPr>
        <w:t>的</w:t>
      </w:r>
      <w:r>
        <w:rPr>
          <w:rFonts w:cs="宋体" w:hint="eastAsia"/>
          <w:kern w:val="0"/>
          <w:szCs w:val="21"/>
        </w:rPr>
        <w:t>交易系统</w:t>
      </w:r>
      <w:r>
        <w:rPr>
          <w:rFonts w:cs="宋体" w:hint="eastAsia"/>
          <w:szCs w:val="21"/>
        </w:rPr>
        <w:lastRenderedPageBreak/>
        <w:t>通过账户登记后，办理“定期定额投资业务”申请。</w:t>
      </w:r>
    </w:p>
    <w:p w:rsidR="002223D9" w:rsidRDefault="002223D9">
      <w:pPr>
        <w:spacing w:line="360" w:lineRule="auto"/>
        <w:ind w:firstLineChars="200" w:firstLine="420"/>
        <w:rPr>
          <w:rFonts w:cs="宋体" w:hint="eastAsia"/>
          <w:szCs w:val="21"/>
        </w:rPr>
      </w:pPr>
      <w:r>
        <w:rPr>
          <w:rFonts w:cs="宋体" w:hint="eastAsia"/>
          <w:szCs w:val="21"/>
        </w:rPr>
        <w:t>（四）办理时间</w:t>
      </w:r>
    </w:p>
    <w:p w:rsidR="002223D9" w:rsidRDefault="002223D9">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2223D9" w:rsidRDefault="002223D9">
      <w:pPr>
        <w:widowControl/>
        <w:spacing w:line="360" w:lineRule="auto"/>
        <w:ind w:firstLineChars="200" w:firstLine="420"/>
        <w:jc w:val="left"/>
        <w:rPr>
          <w:rFonts w:cs="宋体" w:hint="eastAsia"/>
          <w:szCs w:val="21"/>
        </w:rPr>
      </w:pPr>
      <w:r>
        <w:rPr>
          <w:rFonts w:cs="宋体" w:hint="eastAsia"/>
          <w:szCs w:val="21"/>
        </w:rPr>
        <w:t>（五）扣款金额</w:t>
      </w:r>
    </w:p>
    <w:p w:rsidR="002223D9" w:rsidRDefault="002223D9">
      <w:pPr>
        <w:widowControl/>
        <w:spacing w:line="360" w:lineRule="auto"/>
        <w:ind w:firstLineChars="200" w:firstLine="420"/>
        <w:jc w:val="left"/>
        <w:rPr>
          <w:rFonts w:cs="宋体" w:hint="eastAsia"/>
          <w:color w:val="000000"/>
          <w:szCs w:val="21"/>
        </w:rPr>
      </w:pPr>
      <w:r>
        <w:rPr>
          <w:rFonts w:cs="宋体" w:hint="eastAsia"/>
          <w:szCs w:val="21"/>
        </w:rPr>
        <w:t>投资者应与</w:t>
      </w:r>
      <w:r w:rsidR="004D2E56">
        <w:rPr>
          <w:rFonts w:cs="宋体" w:hint="eastAsia"/>
          <w:kern w:val="0"/>
          <w:szCs w:val="21"/>
        </w:rPr>
        <w:t>中信银行</w:t>
      </w:r>
      <w:r>
        <w:rPr>
          <w:rFonts w:cs="宋体" w:hint="eastAsia"/>
          <w:szCs w:val="21"/>
        </w:rPr>
        <w:t>约定每期扣款（申购）金额，每期定投最低申购金额为人民币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销售机构在符合上述规定的前提下，可根据情况调高每期最低申购金额，具体以销售机构相关规定为准。</w:t>
      </w:r>
    </w:p>
    <w:p w:rsidR="002223D9" w:rsidRDefault="002223D9">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2223D9" w:rsidRDefault="002223D9">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为满足广大投资者的理财需求，东吴基金决定自</w:t>
      </w:r>
      <w:r w:rsidR="00234C53">
        <w:rPr>
          <w:rFonts w:cs="宋体" w:hint="eastAsia"/>
          <w:szCs w:val="21"/>
        </w:rPr>
        <w:t>2026</w:t>
      </w:r>
      <w:r w:rsidR="00234C53">
        <w:rPr>
          <w:rFonts w:cs="宋体" w:hint="eastAsia"/>
          <w:szCs w:val="21"/>
        </w:rPr>
        <w:t>年</w:t>
      </w:r>
      <w:r w:rsidR="00234C53">
        <w:rPr>
          <w:rFonts w:cs="宋体" w:hint="eastAsia"/>
          <w:szCs w:val="21"/>
        </w:rPr>
        <w:t>5</w:t>
      </w:r>
      <w:r w:rsidR="00234C53">
        <w:rPr>
          <w:rFonts w:cs="宋体" w:hint="eastAsia"/>
          <w:szCs w:val="21"/>
        </w:rPr>
        <w:t>月</w:t>
      </w:r>
      <w:r w:rsidR="004D2E56">
        <w:rPr>
          <w:rFonts w:cs="宋体" w:hint="eastAsia"/>
          <w:szCs w:val="21"/>
        </w:rPr>
        <w:t>11</w:t>
      </w:r>
      <w:r w:rsidR="00234C53">
        <w:rPr>
          <w:rFonts w:cs="宋体" w:hint="eastAsia"/>
          <w:szCs w:val="21"/>
        </w:rPr>
        <w:t>日</w:t>
      </w:r>
      <w:r>
        <w:rPr>
          <w:rFonts w:cs="宋体" w:hint="eastAsia"/>
          <w:szCs w:val="21"/>
        </w:rPr>
        <w:t>起同时在</w:t>
      </w:r>
      <w:r w:rsidR="004D2E56">
        <w:rPr>
          <w:rFonts w:cs="宋体" w:hint="eastAsia"/>
          <w:szCs w:val="21"/>
        </w:rPr>
        <w:t>中信银行</w:t>
      </w:r>
      <w:r>
        <w:rPr>
          <w:rFonts w:cs="宋体" w:hint="eastAsia"/>
          <w:szCs w:val="21"/>
        </w:rPr>
        <w:t>开通上述适用基金的转换业务。</w:t>
      </w:r>
    </w:p>
    <w:p w:rsidR="002223D9" w:rsidRDefault="002223D9">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2223D9" w:rsidRDefault="002223D9">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2223D9" w:rsidRDefault="002223D9">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2223D9" w:rsidRDefault="002223D9">
      <w:pPr>
        <w:spacing w:line="360" w:lineRule="auto"/>
        <w:ind w:firstLineChars="200" w:firstLine="420"/>
        <w:rPr>
          <w:rFonts w:cs="宋体" w:hint="eastAsia"/>
          <w:szCs w:val="21"/>
        </w:rPr>
      </w:pPr>
      <w:r>
        <w:rPr>
          <w:rFonts w:cs="宋体" w:hint="eastAsia"/>
          <w:szCs w:val="21"/>
        </w:rPr>
        <w:t>基金办理转换业务的开放日为上海证券交易所和深圳证券交易所交易日（本公司公告暂停转换时除外）。具体业务办理时间与基金日常申购业务时间相同。</w:t>
      </w:r>
    </w:p>
    <w:p w:rsidR="002223D9" w:rsidRDefault="002223D9">
      <w:pPr>
        <w:spacing w:line="360" w:lineRule="auto"/>
        <w:ind w:firstLineChars="200" w:firstLine="420"/>
        <w:rPr>
          <w:rFonts w:cs="宋体" w:hint="eastAsia"/>
          <w:szCs w:val="21"/>
        </w:rPr>
      </w:pPr>
      <w:r>
        <w:rPr>
          <w:rFonts w:cs="宋体" w:hint="eastAsia"/>
          <w:szCs w:val="21"/>
        </w:rPr>
        <w:t>（三）基金转换业务规则</w:t>
      </w:r>
    </w:p>
    <w:p w:rsidR="002223D9" w:rsidRDefault="002223D9">
      <w:pPr>
        <w:tabs>
          <w:tab w:val="left" w:pos="720"/>
        </w:tabs>
        <w:autoSpaceDE w:val="0"/>
        <w:autoSpaceDN w:val="0"/>
        <w:adjustRightInd w:val="0"/>
        <w:spacing w:line="360" w:lineRule="auto"/>
        <w:ind w:right="18" w:firstLineChars="200" w:firstLine="420"/>
        <w:jc w:val="left"/>
        <w:rPr>
          <w:rFonts w:ascii="宋体" w:hAnsi="宋体" w:cs="宋体" w:hint="eastAsia"/>
          <w:color w:val="000000"/>
          <w:szCs w:val="21"/>
        </w:rPr>
      </w:pPr>
      <w:r>
        <w:rPr>
          <w:rFonts w:cs="宋体" w:hint="eastAsia"/>
          <w:color w:val="000000"/>
          <w:szCs w:val="21"/>
        </w:rPr>
        <w:t>转换业务具体业务规则请参照《东吴基金管理有限公司开放式基金业务规则》。</w:t>
      </w:r>
    </w:p>
    <w:p w:rsidR="002223D9" w:rsidRDefault="002223D9">
      <w:pPr>
        <w:tabs>
          <w:tab w:val="left" w:pos="720"/>
        </w:tabs>
        <w:autoSpaceDE w:val="0"/>
        <w:autoSpaceDN w:val="0"/>
        <w:adjustRightInd w:val="0"/>
        <w:spacing w:line="360" w:lineRule="auto"/>
        <w:ind w:firstLineChars="200" w:firstLine="420"/>
        <w:jc w:val="left"/>
        <w:rPr>
          <w:rFonts w:cs="宋体" w:hint="eastAsia"/>
          <w:color w:val="000000"/>
          <w:szCs w:val="21"/>
        </w:rPr>
      </w:pPr>
    </w:p>
    <w:p w:rsidR="002223D9" w:rsidRDefault="002223D9">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四、投资者可通过以下途径了解或咨询相关情况</w:t>
      </w:r>
      <w:r>
        <w:rPr>
          <w:rFonts w:cs="宋体" w:hint="eastAsia"/>
          <w:color w:val="000000"/>
          <w:szCs w:val="21"/>
        </w:rPr>
        <w:t xml:space="preserve"> </w:t>
      </w:r>
    </w:p>
    <w:p w:rsidR="002223D9" w:rsidRDefault="002223D9">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w:t>
      </w:r>
      <w:r w:rsidR="004D2E56">
        <w:rPr>
          <w:rFonts w:cs="宋体" w:hint="eastAsia"/>
          <w:kern w:val="0"/>
          <w:szCs w:val="21"/>
        </w:rPr>
        <w:t>中信银行</w:t>
      </w:r>
      <w:r>
        <w:rPr>
          <w:rFonts w:cs="宋体" w:hint="eastAsia"/>
          <w:kern w:val="0"/>
          <w:szCs w:val="21"/>
        </w:rPr>
        <w:t>股份有限公司</w:t>
      </w:r>
    </w:p>
    <w:p w:rsidR="000E651F" w:rsidRDefault="000E651F" w:rsidP="000E651F">
      <w:pPr>
        <w:spacing w:line="360" w:lineRule="auto"/>
        <w:rPr>
          <w:rFonts w:cs="宋体"/>
          <w:kern w:val="0"/>
          <w:szCs w:val="21"/>
        </w:rPr>
      </w:pPr>
      <w:r>
        <w:rPr>
          <w:rFonts w:cs="宋体" w:hint="eastAsia"/>
          <w:kern w:val="0"/>
          <w:szCs w:val="21"/>
        </w:rPr>
        <w:t xml:space="preserve">       </w:t>
      </w:r>
      <w:r>
        <w:rPr>
          <w:rFonts w:cs="宋体" w:hint="eastAsia"/>
          <w:kern w:val="0"/>
          <w:szCs w:val="21"/>
        </w:rPr>
        <w:t>客户服务热线：</w:t>
      </w:r>
      <w:r w:rsidR="004D2E56" w:rsidRPr="004D2E56">
        <w:rPr>
          <w:rFonts w:cs="宋体"/>
          <w:kern w:val="0"/>
          <w:szCs w:val="21"/>
        </w:rPr>
        <w:t>95558</w:t>
      </w:r>
    </w:p>
    <w:p w:rsidR="000E651F" w:rsidRDefault="000E651F" w:rsidP="000E651F">
      <w:pPr>
        <w:spacing w:line="360" w:lineRule="auto"/>
        <w:ind w:firstLineChars="304" w:firstLine="638"/>
        <w:rPr>
          <w:rFonts w:cs="宋体" w:hint="eastAsia"/>
          <w:kern w:val="0"/>
          <w:szCs w:val="21"/>
        </w:rPr>
      </w:pPr>
      <w:r>
        <w:rPr>
          <w:rFonts w:cs="宋体" w:hint="eastAsia"/>
          <w:kern w:val="0"/>
          <w:szCs w:val="21"/>
        </w:rPr>
        <w:t xml:space="preserve"> </w:t>
      </w:r>
      <w:r>
        <w:rPr>
          <w:rFonts w:cs="宋体" w:hint="eastAsia"/>
          <w:kern w:val="0"/>
          <w:szCs w:val="21"/>
        </w:rPr>
        <w:t>公司网址：</w:t>
      </w:r>
      <w:r w:rsidR="004D2E56" w:rsidRPr="004D2E56">
        <w:rPr>
          <w:rFonts w:cs="宋体"/>
          <w:kern w:val="0"/>
          <w:szCs w:val="21"/>
        </w:rPr>
        <w:t>www.citicbank.com</w:t>
      </w:r>
      <w:r w:rsidR="007B12CE" w:rsidRPr="007B12CE" w:rsidDel="007B12CE">
        <w:rPr>
          <w:rFonts w:cs="宋体" w:hint="eastAsia"/>
          <w:kern w:val="0"/>
          <w:szCs w:val="21"/>
        </w:rPr>
        <w:t xml:space="preserve"> </w:t>
      </w:r>
      <w:hyperlink r:id="rId8" w:tooltip="blocked::http://www.shzq.com/" w:history="1"/>
      <w:hyperlink r:id="rId9" w:history="1"/>
      <w:hyperlink r:id="rId10" w:history="1"/>
    </w:p>
    <w:p w:rsidR="002223D9" w:rsidRDefault="002223D9">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、东吴基金管理有限公司</w:t>
      </w:r>
      <w:r>
        <w:rPr>
          <w:rFonts w:cs="宋体" w:hint="eastAsia"/>
          <w:kern w:val="0"/>
          <w:szCs w:val="21"/>
        </w:rPr>
        <w:t xml:space="preserve"> </w:t>
      </w:r>
    </w:p>
    <w:p w:rsidR="002223D9" w:rsidRDefault="002223D9">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2223D9" w:rsidRDefault="002223D9">
      <w:pPr>
        <w:spacing w:line="360" w:lineRule="auto"/>
        <w:ind w:firstLineChars="350" w:firstLine="735"/>
        <w:rPr>
          <w:rFonts w:cs="宋体" w:hint="eastAsia"/>
          <w:color w:val="000000"/>
          <w:kern w:val="0"/>
          <w:szCs w:val="21"/>
        </w:rPr>
      </w:pPr>
      <w:r>
        <w:rPr>
          <w:rFonts w:cs="宋体" w:hint="eastAsia"/>
          <w:kern w:val="0"/>
          <w:szCs w:val="21"/>
        </w:rPr>
        <w:t>公司网址：</w:t>
      </w:r>
      <w:hyperlink r:id="rId11" w:history="1">
        <w:r>
          <w:rPr>
            <w:rFonts w:cs="宋体" w:hint="eastAsia"/>
            <w:szCs w:val="21"/>
          </w:rPr>
          <w:t>www.scfund.com.cn</w:t>
        </w:r>
      </w:hyperlink>
    </w:p>
    <w:p w:rsidR="002223D9" w:rsidRDefault="002223D9">
      <w:pPr>
        <w:spacing w:line="360" w:lineRule="auto"/>
        <w:ind w:firstLineChars="200" w:firstLine="420"/>
        <w:rPr>
          <w:rFonts w:cs="宋体" w:hint="eastAsia"/>
          <w:color w:val="000000"/>
          <w:kern w:val="0"/>
          <w:szCs w:val="21"/>
        </w:rPr>
      </w:pPr>
    </w:p>
    <w:p w:rsidR="002223D9" w:rsidRDefault="002223D9">
      <w:pPr>
        <w:spacing w:line="360" w:lineRule="auto"/>
        <w:ind w:firstLineChars="200" w:firstLine="420"/>
        <w:rPr>
          <w:rFonts w:cs="宋体" w:hint="eastAsia"/>
          <w:color w:val="000000"/>
          <w:kern w:val="0"/>
          <w:szCs w:val="21"/>
        </w:rPr>
      </w:pPr>
      <w:r>
        <w:rPr>
          <w:rFonts w:cs="宋体" w:hint="eastAsia"/>
          <w:color w:val="000000"/>
          <w:kern w:val="0"/>
          <w:szCs w:val="21"/>
        </w:rPr>
        <w:t>五、风险提示</w:t>
      </w:r>
    </w:p>
    <w:p w:rsidR="002223D9" w:rsidRDefault="002223D9">
      <w:pPr>
        <w:spacing w:line="360" w:lineRule="auto"/>
        <w:ind w:firstLineChars="200" w:firstLine="420"/>
        <w:rPr>
          <w:rFonts w:cs="宋体" w:hint="eastAsia"/>
          <w:szCs w:val="21"/>
        </w:rPr>
      </w:pPr>
      <w:r>
        <w:rPr>
          <w:rFonts w:cs="宋体" w:hint="eastAsia"/>
          <w:szCs w:val="21"/>
        </w:rPr>
        <w:t>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投资有风险，敬请投资者在投资基金前仔细阅读基金的《基金合同》、《招募说明书》、《基金产品资料概要》及其更新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r>
        <w:rPr>
          <w:rFonts w:cs="宋体" w:hint="eastAsia"/>
          <w:szCs w:val="21"/>
        </w:rPr>
        <w:t xml:space="preserve">    </w:t>
      </w:r>
    </w:p>
    <w:p w:rsidR="002223D9" w:rsidRDefault="002223D9">
      <w:pPr>
        <w:spacing w:line="360" w:lineRule="auto"/>
        <w:ind w:firstLineChars="200" w:firstLine="420"/>
        <w:jc w:val="left"/>
        <w:rPr>
          <w:rFonts w:cs="宋体" w:hint="eastAsia"/>
          <w:szCs w:val="21"/>
        </w:rPr>
      </w:pPr>
      <w:r>
        <w:rPr>
          <w:rFonts w:cs="宋体" w:hint="eastAsia"/>
          <w:szCs w:val="21"/>
        </w:rPr>
        <w:t xml:space="preserve"> </w:t>
      </w:r>
      <w:r>
        <w:rPr>
          <w:rFonts w:cs="宋体" w:hint="eastAsia"/>
          <w:szCs w:val="21"/>
        </w:rPr>
        <w:t>特此公告。</w:t>
      </w:r>
      <w:r>
        <w:rPr>
          <w:rFonts w:cs="宋体" w:hint="eastAsia"/>
          <w:szCs w:val="21"/>
        </w:rPr>
        <w:t xml:space="preserve">                                      </w:t>
      </w:r>
    </w:p>
    <w:p w:rsidR="002223D9" w:rsidRDefault="002223D9">
      <w:pPr>
        <w:spacing w:line="400" w:lineRule="exact"/>
        <w:jc w:val="right"/>
        <w:rPr>
          <w:rFonts w:cs="宋体" w:hint="eastAsia"/>
          <w:szCs w:val="21"/>
        </w:rPr>
      </w:pPr>
    </w:p>
    <w:p w:rsidR="002223D9" w:rsidRDefault="002223D9">
      <w:pPr>
        <w:spacing w:line="400" w:lineRule="exact"/>
        <w:jc w:val="right"/>
        <w:rPr>
          <w:rFonts w:cs="宋体" w:hint="eastAsia"/>
          <w:szCs w:val="21"/>
        </w:rPr>
      </w:pPr>
    </w:p>
    <w:p w:rsidR="002223D9" w:rsidRDefault="002223D9">
      <w:pPr>
        <w:spacing w:line="400" w:lineRule="exact"/>
        <w:jc w:val="right"/>
        <w:rPr>
          <w:rFonts w:cs="宋体" w:hint="eastAsia"/>
          <w:szCs w:val="21"/>
        </w:rPr>
      </w:pPr>
      <w:r>
        <w:rPr>
          <w:rFonts w:cs="宋体" w:hint="eastAsia"/>
          <w:szCs w:val="21"/>
        </w:rPr>
        <w:t>东吴基金管理有限公司</w:t>
      </w:r>
    </w:p>
    <w:p w:rsidR="002223D9" w:rsidRDefault="002223D9">
      <w:pPr>
        <w:spacing w:line="400" w:lineRule="exact"/>
        <w:jc w:val="center"/>
      </w:pPr>
      <w:r>
        <w:rPr>
          <w:rFonts w:cs="宋体" w:hint="eastAsia"/>
          <w:szCs w:val="21"/>
        </w:rPr>
        <w:t xml:space="preserve">                                                            </w:t>
      </w:r>
      <w:r w:rsidR="00234C53" w:rsidRPr="00384ABA">
        <w:rPr>
          <w:rFonts w:cs="宋体" w:hint="eastAsia"/>
          <w:szCs w:val="21"/>
        </w:rPr>
        <w:t>2026</w:t>
      </w:r>
      <w:r w:rsidR="00234C53" w:rsidRPr="00384ABA">
        <w:rPr>
          <w:rFonts w:cs="宋体" w:hint="eastAsia"/>
          <w:szCs w:val="21"/>
        </w:rPr>
        <w:t>年</w:t>
      </w:r>
      <w:r w:rsidR="00234C53">
        <w:rPr>
          <w:rFonts w:cs="宋体"/>
          <w:szCs w:val="21"/>
        </w:rPr>
        <w:t>5</w:t>
      </w:r>
      <w:r w:rsidR="00384ABA" w:rsidRPr="00384ABA">
        <w:rPr>
          <w:rFonts w:cs="宋体" w:hint="eastAsia"/>
          <w:szCs w:val="21"/>
        </w:rPr>
        <w:t>月</w:t>
      </w:r>
      <w:r w:rsidR="003B2203">
        <w:rPr>
          <w:rFonts w:cs="宋体" w:hint="eastAsia"/>
          <w:szCs w:val="21"/>
        </w:rPr>
        <w:t>11</w:t>
      </w:r>
      <w:r w:rsidR="00384ABA" w:rsidRPr="00384ABA">
        <w:rPr>
          <w:rFonts w:cs="宋体" w:hint="eastAsia"/>
          <w:szCs w:val="21"/>
        </w:rPr>
        <w:t>日</w:t>
      </w:r>
    </w:p>
    <w:sectPr w:rsidR="002223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F88" w:rsidRDefault="00055F88" w:rsidP="004D4FD4">
      <w:r>
        <w:separator/>
      </w:r>
    </w:p>
  </w:endnote>
  <w:endnote w:type="continuationSeparator" w:id="0">
    <w:p w:rsidR="00055F88" w:rsidRDefault="00055F88" w:rsidP="004D4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F88" w:rsidRDefault="00055F88" w:rsidP="004D4FD4">
      <w:r>
        <w:separator/>
      </w:r>
    </w:p>
  </w:footnote>
  <w:footnote w:type="continuationSeparator" w:id="0">
    <w:p w:rsidR="00055F88" w:rsidRDefault="00055F88" w:rsidP="004D4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5E28EE34"/>
    <w:multiLevelType w:val="singleLevel"/>
    <w:tmpl w:val="5E28EE34"/>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55F88"/>
    <w:rsid w:val="0009599E"/>
    <w:rsid w:val="000A42E0"/>
    <w:rsid w:val="000B1FB9"/>
    <w:rsid w:val="000D59AC"/>
    <w:rsid w:val="000E651F"/>
    <w:rsid w:val="000F612E"/>
    <w:rsid w:val="00123F4F"/>
    <w:rsid w:val="00174219"/>
    <w:rsid w:val="00180EFA"/>
    <w:rsid w:val="00185A7B"/>
    <w:rsid w:val="001A262C"/>
    <w:rsid w:val="001B0862"/>
    <w:rsid w:val="001B278B"/>
    <w:rsid w:val="001C2706"/>
    <w:rsid w:val="001C6613"/>
    <w:rsid w:val="001D1398"/>
    <w:rsid w:val="002038DF"/>
    <w:rsid w:val="00207526"/>
    <w:rsid w:val="002223D9"/>
    <w:rsid w:val="00234C53"/>
    <w:rsid w:val="00264331"/>
    <w:rsid w:val="00264D21"/>
    <w:rsid w:val="00286994"/>
    <w:rsid w:val="00293433"/>
    <w:rsid w:val="002B5F30"/>
    <w:rsid w:val="002C2F4D"/>
    <w:rsid w:val="002D2115"/>
    <w:rsid w:val="002D5F30"/>
    <w:rsid w:val="002F49D9"/>
    <w:rsid w:val="00312488"/>
    <w:rsid w:val="00330975"/>
    <w:rsid w:val="00354A87"/>
    <w:rsid w:val="00374201"/>
    <w:rsid w:val="00384ABA"/>
    <w:rsid w:val="003878A4"/>
    <w:rsid w:val="00393AFF"/>
    <w:rsid w:val="00394115"/>
    <w:rsid w:val="00397F6D"/>
    <w:rsid w:val="003B013E"/>
    <w:rsid w:val="003B2203"/>
    <w:rsid w:val="003C68FA"/>
    <w:rsid w:val="003F0DDD"/>
    <w:rsid w:val="003F1F12"/>
    <w:rsid w:val="003F797E"/>
    <w:rsid w:val="004035F4"/>
    <w:rsid w:val="004155AF"/>
    <w:rsid w:val="00434FA4"/>
    <w:rsid w:val="00437AFE"/>
    <w:rsid w:val="004433D6"/>
    <w:rsid w:val="004558F4"/>
    <w:rsid w:val="00471B57"/>
    <w:rsid w:val="004B6426"/>
    <w:rsid w:val="004D2E56"/>
    <w:rsid w:val="004D4FD4"/>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B12CE"/>
    <w:rsid w:val="007D1EBA"/>
    <w:rsid w:val="007D5E95"/>
    <w:rsid w:val="007F3ED7"/>
    <w:rsid w:val="007F632E"/>
    <w:rsid w:val="00826717"/>
    <w:rsid w:val="00831E1A"/>
    <w:rsid w:val="00837B68"/>
    <w:rsid w:val="00856F66"/>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3EC4"/>
    <w:rsid w:val="00B54A3E"/>
    <w:rsid w:val="00B63E86"/>
    <w:rsid w:val="00B7560D"/>
    <w:rsid w:val="00B82CA0"/>
    <w:rsid w:val="00BA13C9"/>
    <w:rsid w:val="00BB6BBB"/>
    <w:rsid w:val="00BD031D"/>
    <w:rsid w:val="00BD7E83"/>
    <w:rsid w:val="00BE6693"/>
    <w:rsid w:val="00BE76E5"/>
    <w:rsid w:val="00C0245E"/>
    <w:rsid w:val="00C165AF"/>
    <w:rsid w:val="00C17BA5"/>
    <w:rsid w:val="00C2200A"/>
    <w:rsid w:val="00C42510"/>
    <w:rsid w:val="00C52319"/>
    <w:rsid w:val="00C5547D"/>
    <w:rsid w:val="00C5667B"/>
    <w:rsid w:val="00C56FF7"/>
    <w:rsid w:val="00C61D19"/>
    <w:rsid w:val="00C6298D"/>
    <w:rsid w:val="00C63722"/>
    <w:rsid w:val="00C65C6A"/>
    <w:rsid w:val="00CC690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46D15"/>
    <w:rsid w:val="00F57D17"/>
    <w:rsid w:val="00F62BB7"/>
    <w:rsid w:val="00F854C4"/>
    <w:rsid w:val="00F91A49"/>
    <w:rsid w:val="00FA490F"/>
    <w:rsid w:val="00FA728E"/>
    <w:rsid w:val="00FC5112"/>
    <w:rsid w:val="00FC5A8B"/>
    <w:rsid w:val="00FD5138"/>
    <w:rsid w:val="011B6997"/>
    <w:rsid w:val="01266495"/>
    <w:rsid w:val="014F75AE"/>
    <w:rsid w:val="018141F9"/>
    <w:rsid w:val="01DA3C64"/>
    <w:rsid w:val="025E6EF2"/>
    <w:rsid w:val="027F6AB2"/>
    <w:rsid w:val="028E4041"/>
    <w:rsid w:val="02A9126A"/>
    <w:rsid w:val="02AC2AD9"/>
    <w:rsid w:val="02C4633C"/>
    <w:rsid w:val="02FE7A2C"/>
    <w:rsid w:val="03164509"/>
    <w:rsid w:val="037B608B"/>
    <w:rsid w:val="03900D70"/>
    <w:rsid w:val="03BF4636"/>
    <w:rsid w:val="03CA0201"/>
    <w:rsid w:val="043833BC"/>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A3905"/>
    <w:rsid w:val="0CFC7345"/>
    <w:rsid w:val="0D240982"/>
    <w:rsid w:val="0D781E29"/>
    <w:rsid w:val="0DCF7E51"/>
    <w:rsid w:val="0E345530"/>
    <w:rsid w:val="0E947D89"/>
    <w:rsid w:val="0F2D2C5D"/>
    <w:rsid w:val="0F304F86"/>
    <w:rsid w:val="0F420568"/>
    <w:rsid w:val="0F4A6B73"/>
    <w:rsid w:val="0F5A6124"/>
    <w:rsid w:val="0FCE7E58"/>
    <w:rsid w:val="103852DA"/>
    <w:rsid w:val="103D7A7A"/>
    <w:rsid w:val="10AF4A06"/>
    <w:rsid w:val="10EA5DD8"/>
    <w:rsid w:val="10ED011B"/>
    <w:rsid w:val="11252F1A"/>
    <w:rsid w:val="117D03B7"/>
    <w:rsid w:val="1199174F"/>
    <w:rsid w:val="11D35ECA"/>
    <w:rsid w:val="121B17A1"/>
    <w:rsid w:val="12260115"/>
    <w:rsid w:val="126C35C1"/>
    <w:rsid w:val="12A80A9A"/>
    <w:rsid w:val="12ED0AC1"/>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12816"/>
    <w:rsid w:val="16BB2E3C"/>
    <w:rsid w:val="16CB1DD4"/>
    <w:rsid w:val="16E41E49"/>
    <w:rsid w:val="176C38A0"/>
    <w:rsid w:val="17837E4E"/>
    <w:rsid w:val="17AB4629"/>
    <w:rsid w:val="17F654E3"/>
    <w:rsid w:val="1808590F"/>
    <w:rsid w:val="183F3F70"/>
    <w:rsid w:val="185A6A58"/>
    <w:rsid w:val="18723695"/>
    <w:rsid w:val="18AC5BF4"/>
    <w:rsid w:val="18B358E3"/>
    <w:rsid w:val="18C748B7"/>
    <w:rsid w:val="19502AFF"/>
    <w:rsid w:val="196E49C7"/>
    <w:rsid w:val="19AE35ED"/>
    <w:rsid w:val="1A0B0B52"/>
    <w:rsid w:val="1A4100CF"/>
    <w:rsid w:val="1A9B556D"/>
    <w:rsid w:val="1B7D7FE3"/>
    <w:rsid w:val="1BD41A17"/>
    <w:rsid w:val="1BED5CE0"/>
    <w:rsid w:val="1C3152AF"/>
    <w:rsid w:val="1C320D13"/>
    <w:rsid w:val="1C677BCF"/>
    <w:rsid w:val="1C863E5F"/>
    <w:rsid w:val="1CA27161"/>
    <w:rsid w:val="1CDF3654"/>
    <w:rsid w:val="1D3E15EC"/>
    <w:rsid w:val="1DE62317"/>
    <w:rsid w:val="1E3644FF"/>
    <w:rsid w:val="1E4870C3"/>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5231CF"/>
    <w:rsid w:val="239B35B7"/>
    <w:rsid w:val="23A83A0D"/>
    <w:rsid w:val="24140680"/>
    <w:rsid w:val="243B7B17"/>
    <w:rsid w:val="24492F66"/>
    <w:rsid w:val="246062EC"/>
    <w:rsid w:val="24E07885"/>
    <w:rsid w:val="25123A35"/>
    <w:rsid w:val="2534229A"/>
    <w:rsid w:val="257D32B1"/>
    <w:rsid w:val="25EC6BD7"/>
    <w:rsid w:val="26165B41"/>
    <w:rsid w:val="26881B2A"/>
    <w:rsid w:val="26D42FC1"/>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691501"/>
    <w:rsid w:val="2A7603D1"/>
    <w:rsid w:val="2A944F41"/>
    <w:rsid w:val="2AA32102"/>
    <w:rsid w:val="2AAE6793"/>
    <w:rsid w:val="2AB46763"/>
    <w:rsid w:val="2B382728"/>
    <w:rsid w:val="2B5C6850"/>
    <w:rsid w:val="2B8A529A"/>
    <w:rsid w:val="2BAA0794"/>
    <w:rsid w:val="2BAD2685"/>
    <w:rsid w:val="2BC43604"/>
    <w:rsid w:val="2C445CD5"/>
    <w:rsid w:val="2C957B69"/>
    <w:rsid w:val="2CA653A9"/>
    <w:rsid w:val="2CAD70E4"/>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371F6E"/>
    <w:rsid w:val="36774B69"/>
    <w:rsid w:val="36AC5178"/>
    <w:rsid w:val="36BE381C"/>
    <w:rsid w:val="370C6F24"/>
    <w:rsid w:val="373E372F"/>
    <w:rsid w:val="37CA3A87"/>
    <w:rsid w:val="38137F9C"/>
    <w:rsid w:val="381E150F"/>
    <w:rsid w:val="384D2127"/>
    <w:rsid w:val="38B03454"/>
    <w:rsid w:val="39A04924"/>
    <w:rsid w:val="39E949C6"/>
    <w:rsid w:val="39F5319F"/>
    <w:rsid w:val="39FB0130"/>
    <w:rsid w:val="3A0D111F"/>
    <w:rsid w:val="3A0D38CD"/>
    <w:rsid w:val="3A387FA7"/>
    <w:rsid w:val="3A4C3187"/>
    <w:rsid w:val="3A88044D"/>
    <w:rsid w:val="3AD30201"/>
    <w:rsid w:val="3B2E782F"/>
    <w:rsid w:val="3B893F22"/>
    <w:rsid w:val="3BCF2D0F"/>
    <w:rsid w:val="3C44454F"/>
    <w:rsid w:val="3CB42A10"/>
    <w:rsid w:val="3CDB60E7"/>
    <w:rsid w:val="3D6E29EB"/>
    <w:rsid w:val="3D7374F4"/>
    <w:rsid w:val="3D994F8E"/>
    <w:rsid w:val="3D9B70CD"/>
    <w:rsid w:val="3DA939C5"/>
    <w:rsid w:val="3E1F1601"/>
    <w:rsid w:val="3E431917"/>
    <w:rsid w:val="3EA74EA6"/>
    <w:rsid w:val="3EAB2453"/>
    <w:rsid w:val="3F0D38BA"/>
    <w:rsid w:val="3F156B28"/>
    <w:rsid w:val="40591B82"/>
    <w:rsid w:val="406900CD"/>
    <w:rsid w:val="40943065"/>
    <w:rsid w:val="409B7B27"/>
    <w:rsid w:val="40C76B56"/>
    <w:rsid w:val="40ED1605"/>
    <w:rsid w:val="411C46C3"/>
    <w:rsid w:val="411E0D3B"/>
    <w:rsid w:val="412133EB"/>
    <w:rsid w:val="414B2DA0"/>
    <w:rsid w:val="41F017A8"/>
    <w:rsid w:val="423544BC"/>
    <w:rsid w:val="425828A0"/>
    <w:rsid w:val="42786324"/>
    <w:rsid w:val="42AE565B"/>
    <w:rsid w:val="42D52A3F"/>
    <w:rsid w:val="42F17050"/>
    <w:rsid w:val="431369E3"/>
    <w:rsid w:val="436A00A2"/>
    <w:rsid w:val="4399457F"/>
    <w:rsid w:val="443C6B00"/>
    <w:rsid w:val="445157F9"/>
    <w:rsid w:val="44676143"/>
    <w:rsid w:val="44794D63"/>
    <w:rsid w:val="44D067D1"/>
    <w:rsid w:val="44E670C8"/>
    <w:rsid w:val="450528D3"/>
    <w:rsid w:val="453E3F7B"/>
    <w:rsid w:val="4572211D"/>
    <w:rsid w:val="46692B10"/>
    <w:rsid w:val="467C28B2"/>
    <w:rsid w:val="46924683"/>
    <w:rsid w:val="46B05CA5"/>
    <w:rsid w:val="473A5625"/>
    <w:rsid w:val="476F114B"/>
    <w:rsid w:val="47C02C46"/>
    <w:rsid w:val="47C17D67"/>
    <w:rsid w:val="482B7945"/>
    <w:rsid w:val="48463A92"/>
    <w:rsid w:val="488515F1"/>
    <w:rsid w:val="489354A0"/>
    <w:rsid w:val="49083735"/>
    <w:rsid w:val="490F7BDD"/>
    <w:rsid w:val="49B758A3"/>
    <w:rsid w:val="4A18225E"/>
    <w:rsid w:val="4A8E51ED"/>
    <w:rsid w:val="4AAF17BC"/>
    <w:rsid w:val="4AFB1112"/>
    <w:rsid w:val="4C2F6420"/>
    <w:rsid w:val="4C8C3A8E"/>
    <w:rsid w:val="4D0C302C"/>
    <w:rsid w:val="4D473B61"/>
    <w:rsid w:val="4E053C46"/>
    <w:rsid w:val="4E13044B"/>
    <w:rsid w:val="4E1E499E"/>
    <w:rsid w:val="4E2906CE"/>
    <w:rsid w:val="4EC201C3"/>
    <w:rsid w:val="4F1C2EFD"/>
    <w:rsid w:val="4F691C56"/>
    <w:rsid w:val="4FA249DE"/>
    <w:rsid w:val="4FD81752"/>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BD677F"/>
    <w:rsid w:val="57564D00"/>
    <w:rsid w:val="57755916"/>
    <w:rsid w:val="5794651A"/>
    <w:rsid w:val="57BD2906"/>
    <w:rsid w:val="57EC095E"/>
    <w:rsid w:val="580F7213"/>
    <w:rsid w:val="58310C72"/>
    <w:rsid w:val="58BB67A0"/>
    <w:rsid w:val="58DA0FD3"/>
    <w:rsid w:val="58F65C68"/>
    <w:rsid w:val="58FD4074"/>
    <w:rsid w:val="58FF5142"/>
    <w:rsid w:val="5923594F"/>
    <w:rsid w:val="59391735"/>
    <w:rsid w:val="596E70E3"/>
    <w:rsid w:val="59C33488"/>
    <w:rsid w:val="5A131408"/>
    <w:rsid w:val="5A2B49EC"/>
    <w:rsid w:val="5A5E5E28"/>
    <w:rsid w:val="5A6F1F2F"/>
    <w:rsid w:val="5A765101"/>
    <w:rsid w:val="5A9F0071"/>
    <w:rsid w:val="5AAF379B"/>
    <w:rsid w:val="5AF57022"/>
    <w:rsid w:val="5B524A71"/>
    <w:rsid w:val="5B6C4405"/>
    <w:rsid w:val="5B850857"/>
    <w:rsid w:val="5B9E2DB8"/>
    <w:rsid w:val="5BA33C64"/>
    <w:rsid w:val="5BE71D34"/>
    <w:rsid w:val="5BED401D"/>
    <w:rsid w:val="5BF159D4"/>
    <w:rsid w:val="5C0E2860"/>
    <w:rsid w:val="5C712910"/>
    <w:rsid w:val="5C992924"/>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9D0F1D"/>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4DB3340"/>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9309E8"/>
    <w:rsid w:val="68FC32F2"/>
    <w:rsid w:val="69A07404"/>
    <w:rsid w:val="69E95778"/>
    <w:rsid w:val="6A596387"/>
    <w:rsid w:val="6A732B77"/>
    <w:rsid w:val="6AA55DB5"/>
    <w:rsid w:val="6AC975E8"/>
    <w:rsid w:val="6AE83011"/>
    <w:rsid w:val="6B3016EB"/>
    <w:rsid w:val="6B722607"/>
    <w:rsid w:val="6BA2466A"/>
    <w:rsid w:val="6BBB6AAD"/>
    <w:rsid w:val="6C50732E"/>
    <w:rsid w:val="6C7E270E"/>
    <w:rsid w:val="6C8860A9"/>
    <w:rsid w:val="6C9768B4"/>
    <w:rsid w:val="6CA61A3A"/>
    <w:rsid w:val="6CC60CEF"/>
    <w:rsid w:val="6D267968"/>
    <w:rsid w:val="6DB15CE3"/>
    <w:rsid w:val="6DCF7A62"/>
    <w:rsid w:val="6E044B8A"/>
    <w:rsid w:val="6E0C35E8"/>
    <w:rsid w:val="6EB448FD"/>
    <w:rsid w:val="6F383D07"/>
    <w:rsid w:val="6F421085"/>
    <w:rsid w:val="6FC714F2"/>
    <w:rsid w:val="6FF414D4"/>
    <w:rsid w:val="700746B2"/>
    <w:rsid w:val="70077DE7"/>
    <w:rsid w:val="704F233D"/>
    <w:rsid w:val="706C7FA2"/>
    <w:rsid w:val="70845812"/>
    <w:rsid w:val="70E37F8D"/>
    <w:rsid w:val="71127BA2"/>
    <w:rsid w:val="713E488C"/>
    <w:rsid w:val="7187084F"/>
    <w:rsid w:val="718F50E7"/>
    <w:rsid w:val="71FB5066"/>
    <w:rsid w:val="72165F65"/>
    <w:rsid w:val="72181581"/>
    <w:rsid w:val="72262C1C"/>
    <w:rsid w:val="726F6D4C"/>
    <w:rsid w:val="72835E6E"/>
    <w:rsid w:val="72B30DC7"/>
    <w:rsid w:val="73975252"/>
    <w:rsid w:val="73BB1804"/>
    <w:rsid w:val="73F12CD0"/>
    <w:rsid w:val="73FD2CDB"/>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5A5208"/>
    <w:rsid w:val="795D3C37"/>
    <w:rsid w:val="79833C7C"/>
    <w:rsid w:val="79C91A00"/>
    <w:rsid w:val="79DB41C3"/>
    <w:rsid w:val="79EE3760"/>
    <w:rsid w:val="7A3D23EC"/>
    <w:rsid w:val="7A5709DC"/>
    <w:rsid w:val="7A8F4748"/>
    <w:rsid w:val="7A9629B0"/>
    <w:rsid w:val="7ACB744D"/>
    <w:rsid w:val="7AD832E2"/>
    <w:rsid w:val="7B3E4593"/>
    <w:rsid w:val="7B533629"/>
    <w:rsid w:val="7B7D3AA2"/>
    <w:rsid w:val="7B9F358C"/>
    <w:rsid w:val="7BC6770E"/>
    <w:rsid w:val="7C1D1B1D"/>
    <w:rsid w:val="7C271FE0"/>
    <w:rsid w:val="7C464660"/>
    <w:rsid w:val="7CE03CA6"/>
    <w:rsid w:val="7D0801C2"/>
    <w:rsid w:val="7D3B2EE5"/>
    <w:rsid w:val="7D450D50"/>
    <w:rsid w:val="7D6E64F9"/>
    <w:rsid w:val="7DA60233"/>
    <w:rsid w:val="7DE92D15"/>
    <w:rsid w:val="7E1150D6"/>
    <w:rsid w:val="7E1A4758"/>
    <w:rsid w:val="7E4159BB"/>
    <w:rsid w:val="7E590F57"/>
    <w:rsid w:val="7F1076A5"/>
    <w:rsid w:val="7F2A644F"/>
    <w:rsid w:val="7F530FF6"/>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character" w:customStyle="1" w:styleId="a4">
    <w:name w:val="文档结构图 字符"/>
    <w:link w:val="a3"/>
    <w:rPr>
      <w:rFonts w:ascii="宋体"/>
      <w:kern w:val="2"/>
      <w:sz w:val="18"/>
      <w:szCs w:val="18"/>
    </w:rPr>
  </w:style>
  <w:style w:type="paragraph" w:styleId="a5">
    <w:name w:val="annotation text"/>
    <w:basedOn w:val="a"/>
    <w:semiHidden/>
    <w:pPr>
      <w:jc w:val="left"/>
    </w:pPr>
  </w:style>
  <w:style w:type="paragraph" w:styleId="a6">
    <w:name w:val="Balloon Text"/>
    <w:basedOn w:val="a"/>
    <w:link w:val="a7"/>
    <w:semiHidden/>
    <w:rPr>
      <w:sz w:val="18"/>
      <w:szCs w:val="18"/>
    </w:rPr>
  </w:style>
  <w:style w:type="character" w:customStyle="1" w:styleId="a7">
    <w:name w:val="批注框文本 字符"/>
    <w:link w:val="a6"/>
    <w:rPr>
      <w:rFonts w:ascii="宋体" w:eastAsia="宋体" w:hAnsi="宋体" w:cs="宋体" w:hint="eastAsia"/>
    </w:rPr>
  </w:style>
  <w:style w:type="paragraph" w:styleId="a8">
    <w:name w:val="footer"/>
    <w:basedOn w:val="a"/>
    <w:link w:val="a9"/>
    <w:pPr>
      <w:tabs>
        <w:tab w:val="center" w:pos="4153"/>
        <w:tab w:val="right" w:pos="8306"/>
      </w:tabs>
      <w:snapToGrid w:val="0"/>
      <w:jc w:val="left"/>
    </w:pPr>
    <w:rPr>
      <w:sz w:val="18"/>
      <w:szCs w:val="18"/>
    </w:rPr>
  </w:style>
  <w:style w:type="character" w:customStyle="1" w:styleId="a9">
    <w:name w:val="页脚 字符"/>
    <w:link w:val="a8"/>
    <w:rPr>
      <w:kern w:val="2"/>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c">
    <w:name w:val="Normal (Web)"/>
    <w:basedOn w:val="a"/>
    <w:pPr>
      <w:widowControl/>
      <w:spacing w:before="100" w:beforeAutospacing="1" w:after="100" w:afterAutospacing="1"/>
      <w:jc w:val="left"/>
    </w:pPr>
    <w:rPr>
      <w:rFonts w:ascii="宋体" w:hAnsi="宋体"/>
      <w:kern w:val="0"/>
      <w:sz w:val="24"/>
    </w:rPr>
  </w:style>
  <w:style w:type="paragraph" w:styleId="ad">
    <w:name w:val="annotation subject"/>
    <w:basedOn w:val="a5"/>
    <w:next w:val="a5"/>
    <w:semiHidden/>
    <w:rPr>
      <w:b/>
      <w:bCs/>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f">
    <w:name w:val="Strong"/>
    <w:qFormat/>
    <w:rPr>
      <w:b/>
    </w:rPr>
  </w:style>
  <w:style w:type="character" w:styleId="af0">
    <w:name w:val="page number"/>
  </w:style>
  <w:style w:type="character" w:styleId="af1">
    <w:name w:val="访问过的超链接"/>
    <w:rPr>
      <w:color w:val="954F72"/>
      <w:u w:val="single"/>
    </w:rPr>
  </w:style>
  <w:style w:type="character" w:styleId="af2">
    <w:name w:val="Hyperlink"/>
    <w:rPr>
      <w:color w:val="0000FF"/>
      <w:u w:val="single"/>
    </w:rPr>
  </w:style>
  <w:style w:type="character" w:styleId="af3">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shz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fund.com.cn" TargetMode="External"/><Relationship Id="rId5" Type="http://schemas.openxmlformats.org/officeDocument/2006/relationships/webSettings" Target="webSettings.xml"/><Relationship Id="rId10" Type="http://schemas.openxmlformats.org/officeDocument/2006/relationships/hyperlink" Target="http://www.hgccpb.com" TargetMode="External"/><Relationship Id="rId4" Type="http://schemas.openxmlformats.org/officeDocument/2006/relationships/settings" Target="settings.xml"/><Relationship Id="rId9" Type="http://schemas.openxmlformats.org/officeDocument/2006/relationships/hyperlink" Target="https://www.licaimofan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E18EF-058B-4A3B-9B9C-8D91751B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1762</Characters>
  <Application>Microsoft Office Word</Application>
  <DocSecurity>4</DocSecurity>
  <PresentationFormat/>
  <Lines>14</Lines>
  <Paragraphs>4</Paragraphs>
  <Slides>0</Slides>
  <Notes>0</Notes>
  <HiddenSlides>0</HiddenSlides>
  <MMClips>0</MMClips>
  <ScaleCrop>false</ScaleCrop>
  <Manager/>
  <Company/>
  <LinksUpToDate>false</LinksUpToDate>
  <CharactersWithSpaces>2066</CharactersWithSpaces>
  <SharedDoc>false</SharedDoc>
  <HLinks>
    <vt:vector size="24" baseType="variant">
      <vt:variant>
        <vt:i4>5308495</vt:i4>
      </vt:variant>
      <vt:variant>
        <vt:i4>9</vt:i4>
      </vt:variant>
      <vt:variant>
        <vt:i4>0</vt:i4>
      </vt:variant>
      <vt:variant>
        <vt:i4>5</vt:i4>
      </vt:variant>
      <vt:variant>
        <vt:lpwstr>http://www.scfund.com.cn/</vt:lpwstr>
      </vt:variant>
      <vt:variant>
        <vt:lpwstr/>
      </vt:variant>
      <vt:variant>
        <vt:i4>4063288</vt:i4>
      </vt:variant>
      <vt:variant>
        <vt:i4>6</vt:i4>
      </vt:variant>
      <vt:variant>
        <vt:i4>0</vt:i4>
      </vt:variant>
      <vt:variant>
        <vt:i4>5</vt:i4>
      </vt:variant>
      <vt:variant>
        <vt:lpwstr>http://www.hgccpb.com/</vt:lpwstr>
      </vt:variant>
      <vt:variant>
        <vt:lpwstr/>
      </vt:variant>
      <vt:variant>
        <vt:i4>6619180</vt:i4>
      </vt:variant>
      <vt:variant>
        <vt:i4>3</vt:i4>
      </vt:variant>
      <vt:variant>
        <vt:i4>0</vt:i4>
      </vt:variant>
      <vt:variant>
        <vt:i4>5</vt:i4>
      </vt:variant>
      <vt:variant>
        <vt:lpwstr>https://www.licaimofang.cn/</vt:lpwstr>
      </vt:variant>
      <vt:variant>
        <vt:lpwstr/>
      </vt:variant>
      <vt:variant>
        <vt:i4>4980807</vt:i4>
      </vt:variant>
      <vt:variant>
        <vt:i4>0</vt:i4>
      </vt:variant>
      <vt:variant>
        <vt:i4>0</vt:i4>
      </vt:variant>
      <vt:variant>
        <vt:i4>5</vt:i4>
      </vt:variant>
      <vt:variant>
        <vt:lpwstr>http://www.shzq.com/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dingxue</dc:creator>
  <cp:keywords/>
  <dc:description/>
  <cp:lastModifiedBy>ZHONGM</cp:lastModifiedBy>
  <cp:revision>2</cp:revision>
  <cp:lastPrinted>2015-06-11T02:51:00Z</cp:lastPrinted>
  <dcterms:created xsi:type="dcterms:W3CDTF">2026-05-10T16:00:00Z</dcterms:created>
  <dcterms:modified xsi:type="dcterms:W3CDTF">2026-05-10T16:00:00Z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620B6A91F85B4888AB2AAA583A37450F_13</vt:lpwstr>
  </property>
</Properties>
</file>