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0" w:rsidRDefault="008C1E69">
      <w:pPr>
        <w:pStyle w:val="Default"/>
        <w:jc w:val="center"/>
        <w:rPr>
          <w:rFonts w:asciiTheme="minorEastAsia" w:eastAsiaTheme="minorEastAsia" w:hAnsiTheme="minorEastAsia"/>
          <w:b/>
        </w:rPr>
      </w:pPr>
      <w:r>
        <w:rPr>
          <w:rFonts w:asciiTheme="minorEastAsia" w:eastAsiaTheme="minorEastAsia" w:hAnsiTheme="minorEastAsia" w:hint="eastAsia"/>
          <w:b/>
        </w:rPr>
        <w:t>平安基金管理有限公司</w:t>
      </w:r>
    </w:p>
    <w:p w:rsidR="004D0410" w:rsidRDefault="008C1E69">
      <w:pPr>
        <w:pStyle w:val="Default"/>
        <w:spacing w:line="360" w:lineRule="auto"/>
        <w:ind w:leftChars="200" w:left="3612" w:hangingChars="1300" w:hanging="3132"/>
        <w:rPr>
          <w:rFonts w:asciiTheme="minorEastAsia" w:eastAsiaTheme="minorEastAsia" w:hAnsiTheme="minorEastAsia"/>
          <w:b/>
        </w:rPr>
      </w:pPr>
      <w:r>
        <w:rPr>
          <w:rFonts w:asciiTheme="minorEastAsia" w:eastAsiaTheme="minorEastAsia" w:hAnsiTheme="minorEastAsia" w:hint="eastAsia"/>
          <w:b/>
        </w:rPr>
        <w:t>关于新增深圳市前海排排网基金销售有限责任公司为旗下基金销售机构的公告</w:t>
      </w:r>
    </w:p>
    <w:p w:rsidR="004D0410" w:rsidRDefault="004D0410">
      <w:pPr>
        <w:pStyle w:val="Default"/>
        <w:spacing w:line="360" w:lineRule="auto"/>
        <w:ind w:firstLineChars="200" w:firstLine="420"/>
        <w:rPr>
          <w:rFonts w:asciiTheme="minorEastAsia" w:eastAsiaTheme="minorEastAsia" w:hAnsiTheme="minorEastAsia"/>
          <w:sz w:val="21"/>
          <w:szCs w:val="21"/>
        </w:rPr>
      </w:pPr>
    </w:p>
    <w:p w:rsidR="004D0410" w:rsidRDefault="008C1E6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）与深圳市前海排排网基金销售有限责任公司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排排网</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日起新增排排网销售本公司旗下部分基金，现将相关事项公告如下：</w:t>
      </w:r>
    </w:p>
    <w:p w:rsidR="004D0410" w:rsidRDefault="008C1E69">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5</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8</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，投资者可通过排排网办理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52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1070"/>
        <w:gridCol w:w="4840"/>
        <w:gridCol w:w="850"/>
        <w:gridCol w:w="851"/>
        <w:gridCol w:w="1209"/>
      </w:tblGrid>
      <w:tr w:rsidR="004D0410">
        <w:trPr>
          <w:trHeight w:val="521"/>
        </w:trPr>
        <w:tc>
          <w:tcPr>
            <w:tcW w:w="700" w:type="dxa"/>
            <w:vAlign w:val="center"/>
          </w:tcPr>
          <w:p w:rsidR="004D0410" w:rsidRDefault="008C1E6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070" w:type="dxa"/>
            <w:vAlign w:val="center"/>
          </w:tcPr>
          <w:p w:rsidR="004D0410" w:rsidRDefault="008C1E6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840" w:type="dxa"/>
            <w:vAlign w:val="center"/>
          </w:tcPr>
          <w:p w:rsidR="004D0410" w:rsidRDefault="008C1E6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850" w:type="dxa"/>
            <w:vAlign w:val="center"/>
          </w:tcPr>
          <w:p w:rsidR="004D0410" w:rsidRDefault="008C1E69">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851" w:type="dxa"/>
            <w:vAlign w:val="center"/>
          </w:tcPr>
          <w:p w:rsidR="004D0410" w:rsidRDefault="008C1E69">
            <w:pPr>
              <w:spacing w:before="100" w:beforeAutospacing="1" w:after="100" w:afterAutospacing="1" w:line="27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209" w:type="dxa"/>
          </w:tcPr>
          <w:p w:rsidR="004D0410" w:rsidRDefault="008C1E6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4D0410">
        <w:trPr>
          <w:trHeight w:val="227"/>
        </w:trPr>
        <w:tc>
          <w:tcPr>
            <w:tcW w:w="700" w:type="dxa"/>
            <w:vAlign w:val="center"/>
          </w:tcPr>
          <w:p w:rsidR="004D0410" w:rsidRDefault="008C1E69">
            <w:pPr>
              <w:jc w:val="center"/>
              <w:rPr>
                <w:sz w:val="21"/>
                <w:szCs w:val="21"/>
              </w:rPr>
            </w:pPr>
            <w:r>
              <w:rPr>
                <w:rFonts w:hint="eastAsia"/>
                <w:sz w:val="21"/>
                <w:szCs w:val="21"/>
              </w:rPr>
              <w:t>1</w:t>
            </w:r>
          </w:p>
        </w:tc>
        <w:tc>
          <w:tcPr>
            <w:tcW w:w="1070" w:type="dxa"/>
          </w:tcPr>
          <w:p w:rsidR="004D0410" w:rsidRDefault="008C1E69">
            <w:pPr>
              <w:jc w:val="center"/>
              <w:rPr>
                <w:sz w:val="21"/>
                <w:szCs w:val="21"/>
              </w:rPr>
            </w:pPr>
            <w:r>
              <w:rPr>
                <w:rFonts w:hint="eastAsia"/>
                <w:sz w:val="21"/>
                <w:szCs w:val="21"/>
              </w:rPr>
              <w:t>0</w:t>
            </w:r>
            <w:r>
              <w:rPr>
                <w:rFonts w:hint="eastAsia"/>
                <w:sz w:val="21"/>
                <w:szCs w:val="21"/>
              </w:rPr>
              <w:t>01664</w:t>
            </w:r>
          </w:p>
        </w:tc>
        <w:tc>
          <w:tcPr>
            <w:tcW w:w="4840" w:type="dxa"/>
            <w:vAlign w:val="center"/>
          </w:tcPr>
          <w:p w:rsidR="004D0410" w:rsidRDefault="008C1E69">
            <w:pPr>
              <w:rPr>
                <w:sz w:val="21"/>
                <w:szCs w:val="21"/>
              </w:rPr>
            </w:pPr>
            <w:r>
              <w:rPr>
                <w:rFonts w:hint="eastAsia"/>
                <w:sz w:val="21"/>
                <w:szCs w:val="21"/>
              </w:rPr>
              <w:t>平安鑫安混合型证券投资基金（</w:t>
            </w:r>
            <w:r>
              <w:rPr>
                <w:rFonts w:hint="eastAsia"/>
                <w:sz w:val="21"/>
                <w:szCs w:val="21"/>
              </w:rPr>
              <w:t>A</w:t>
            </w:r>
            <w:r>
              <w:rPr>
                <w:rFonts w:hint="eastAsia"/>
                <w:sz w:val="21"/>
                <w:szCs w:val="21"/>
              </w:rPr>
              <w:t>类）</w:t>
            </w:r>
          </w:p>
        </w:tc>
        <w:tc>
          <w:tcPr>
            <w:tcW w:w="850" w:type="dxa"/>
            <w:vAlign w:val="center"/>
          </w:tcPr>
          <w:p w:rsidR="004D0410" w:rsidRDefault="008C1E69">
            <w:pPr>
              <w:jc w:val="center"/>
              <w:rPr>
                <w:sz w:val="21"/>
                <w:szCs w:val="21"/>
              </w:rPr>
            </w:pPr>
            <w:r>
              <w:rPr>
                <w:rFonts w:hint="eastAsia"/>
                <w:sz w:val="21"/>
                <w:szCs w:val="21"/>
              </w:rPr>
              <w:t>开通</w:t>
            </w:r>
          </w:p>
        </w:tc>
        <w:tc>
          <w:tcPr>
            <w:tcW w:w="851" w:type="dxa"/>
            <w:vAlign w:val="center"/>
          </w:tcPr>
          <w:p w:rsidR="004D0410" w:rsidRDefault="008C1E69">
            <w:pPr>
              <w:jc w:val="center"/>
              <w:rPr>
                <w:sz w:val="21"/>
                <w:szCs w:val="21"/>
              </w:rPr>
            </w:pPr>
            <w:r>
              <w:rPr>
                <w:rFonts w:hint="eastAsia"/>
                <w:sz w:val="21"/>
                <w:szCs w:val="21"/>
              </w:rPr>
              <w:t>开通</w:t>
            </w:r>
          </w:p>
        </w:tc>
        <w:tc>
          <w:tcPr>
            <w:tcW w:w="1209" w:type="dxa"/>
            <w:vAlign w:val="bottom"/>
          </w:tcPr>
          <w:p w:rsidR="004D0410" w:rsidRDefault="008C1E69">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是</w:t>
            </w:r>
          </w:p>
        </w:tc>
      </w:tr>
      <w:tr w:rsidR="004D0410">
        <w:trPr>
          <w:trHeight w:val="227"/>
        </w:trPr>
        <w:tc>
          <w:tcPr>
            <w:tcW w:w="700" w:type="dxa"/>
            <w:vAlign w:val="center"/>
          </w:tcPr>
          <w:p w:rsidR="004D0410" w:rsidRDefault="008C1E69">
            <w:pPr>
              <w:jc w:val="center"/>
              <w:rPr>
                <w:sz w:val="21"/>
                <w:szCs w:val="21"/>
              </w:rPr>
            </w:pPr>
            <w:r>
              <w:rPr>
                <w:rFonts w:hint="eastAsia"/>
                <w:sz w:val="21"/>
                <w:szCs w:val="21"/>
              </w:rPr>
              <w:t>2</w:t>
            </w:r>
          </w:p>
        </w:tc>
        <w:tc>
          <w:tcPr>
            <w:tcW w:w="1070" w:type="dxa"/>
          </w:tcPr>
          <w:p w:rsidR="004D0410" w:rsidRDefault="008C1E69">
            <w:pPr>
              <w:jc w:val="center"/>
              <w:rPr>
                <w:sz w:val="21"/>
                <w:szCs w:val="21"/>
              </w:rPr>
            </w:pPr>
            <w:r>
              <w:rPr>
                <w:rFonts w:hint="eastAsia"/>
                <w:sz w:val="21"/>
                <w:szCs w:val="21"/>
              </w:rPr>
              <w:t>0</w:t>
            </w:r>
            <w:r>
              <w:rPr>
                <w:rFonts w:hint="eastAsia"/>
                <w:sz w:val="21"/>
                <w:szCs w:val="21"/>
              </w:rPr>
              <w:t>01665</w:t>
            </w:r>
          </w:p>
        </w:tc>
        <w:tc>
          <w:tcPr>
            <w:tcW w:w="4840" w:type="dxa"/>
            <w:vAlign w:val="center"/>
          </w:tcPr>
          <w:p w:rsidR="004D0410" w:rsidRDefault="008C1E69">
            <w:pPr>
              <w:rPr>
                <w:sz w:val="21"/>
                <w:szCs w:val="21"/>
              </w:rPr>
            </w:pPr>
            <w:r>
              <w:rPr>
                <w:rFonts w:hint="eastAsia"/>
                <w:sz w:val="21"/>
                <w:szCs w:val="21"/>
              </w:rPr>
              <w:t>平安鑫安混合型证券投资基金（</w:t>
            </w:r>
            <w:r>
              <w:rPr>
                <w:rFonts w:hint="eastAsia"/>
                <w:sz w:val="21"/>
                <w:szCs w:val="21"/>
              </w:rPr>
              <w:t>C</w:t>
            </w:r>
            <w:r>
              <w:rPr>
                <w:rFonts w:hint="eastAsia"/>
                <w:sz w:val="21"/>
                <w:szCs w:val="21"/>
              </w:rPr>
              <w:t>类）</w:t>
            </w:r>
          </w:p>
        </w:tc>
        <w:tc>
          <w:tcPr>
            <w:tcW w:w="850" w:type="dxa"/>
            <w:vAlign w:val="center"/>
          </w:tcPr>
          <w:p w:rsidR="004D0410" w:rsidRDefault="008C1E69">
            <w:pPr>
              <w:jc w:val="center"/>
              <w:rPr>
                <w:sz w:val="21"/>
                <w:szCs w:val="21"/>
              </w:rPr>
            </w:pPr>
            <w:r>
              <w:rPr>
                <w:rFonts w:hint="eastAsia"/>
                <w:sz w:val="21"/>
                <w:szCs w:val="21"/>
              </w:rPr>
              <w:t>开通</w:t>
            </w:r>
          </w:p>
        </w:tc>
        <w:tc>
          <w:tcPr>
            <w:tcW w:w="851" w:type="dxa"/>
            <w:vAlign w:val="center"/>
          </w:tcPr>
          <w:p w:rsidR="004D0410" w:rsidRDefault="008C1E69">
            <w:pPr>
              <w:jc w:val="center"/>
              <w:rPr>
                <w:sz w:val="21"/>
                <w:szCs w:val="21"/>
              </w:rPr>
            </w:pPr>
            <w:r>
              <w:rPr>
                <w:rFonts w:hint="eastAsia"/>
                <w:sz w:val="21"/>
                <w:szCs w:val="21"/>
              </w:rPr>
              <w:t>开通</w:t>
            </w:r>
          </w:p>
        </w:tc>
        <w:tc>
          <w:tcPr>
            <w:tcW w:w="1209" w:type="dxa"/>
          </w:tcPr>
          <w:p w:rsidR="004D0410" w:rsidRDefault="008C1E69">
            <w:pPr>
              <w:jc w:val="center"/>
            </w:pPr>
            <w:r>
              <w:rPr>
                <w:rFonts w:asciiTheme="minorEastAsia" w:eastAsiaTheme="minorEastAsia" w:hAnsiTheme="minorEastAsia" w:hint="eastAsia"/>
                <w:sz w:val="21"/>
                <w:szCs w:val="21"/>
              </w:rPr>
              <w:t>是</w:t>
            </w:r>
          </w:p>
        </w:tc>
      </w:tr>
      <w:tr w:rsidR="004D0410">
        <w:trPr>
          <w:trHeight w:val="227"/>
        </w:trPr>
        <w:tc>
          <w:tcPr>
            <w:tcW w:w="700" w:type="dxa"/>
            <w:vAlign w:val="center"/>
          </w:tcPr>
          <w:p w:rsidR="004D0410" w:rsidRDefault="008C1E69">
            <w:pPr>
              <w:jc w:val="center"/>
              <w:rPr>
                <w:sz w:val="21"/>
                <w:szCs w:val="21"/>
              </w:rPr>
            </w:pPr>
            <w:r>
              <w:rPr>
                <w:rFonts w:hint="eastAsia"/>
                <w:sz w:val="21"/>
                <w:szCs w:val="21"/>
              </w:rPr>
              <w:t>3</w:t>
            </w:r>
          </w:p>
        </w:tc>
        <w:tc>
          <w:tcPr>
            <w:tcW w:w="1070" w:type="dxa"/>
          </w:tcPr>
          <w:p w:rsidR="004D0410" w:rsidRDefault="008C1E69">
            <w:pPr>
              <w:jc w:val="center"/>
              <w:rPr>
                <w:sz w:val="21"/>
                <w:szCs w:val="21"/>
              </w:rPr>
            </w:pPr>
            <w:r>
              <w:rPr>
                <w:rFonts w:hint="eastAsia"/>
                <w:sz w:val="21"/>
                <w:szCs w:val="21"/>
              </w:rPr>
              <w:t>0</w:t>
            </w:r>
            <w:r>
              <w:rPr>
                <w:rFonts w:hint="eastAsia"/>
                <w:sz w:val="21"/>
                <w:szCs w:val="21"/>
              </w:rPr>
              <w:t>07049</w:t>
            </w:r>
          </w:p>
        </w:tc>
        <w:tc>
          <w:tcPr>
            <w:tcW w:w="4840" w:type="dxa"/>
            <w:vAlign w:val="center"/>
          </w:tcPr>
          <w:p w:rsidR="004D0410" w:rsidRDefault="008C1E69">
            <w:pPr>
              <w:rPr>
                <w:sz w:val="21"/>
                <w:szCs w:val="21"/>
              </w:rPr>
            </w:pPr>
            <w:r>
              <w:rPr>
                <w:rFonts w:hint="eastAsia"/>
                <w:sz w:val="21"/>
                <w:szCs w:val="21"/>
              </w:rPr>
              <w:t>平安鑫安混合型证券投资基金（</w:t>
            </w:r>
            <w:r>
              <w:rPr>
                <w:rFonts w:hint="eastAsia"/>
                <w:sz w:val="21"/>
                <w:szCs w:val="21"/>
              </w:rPr>
              <w:t>E</w:t>
            </w:r>
            <w:r>
              <w:rPr>
                <w:rFonts w:hint="eastAsia"/>
                <w:sz w:val="21"/>
                <w:szCs w:val="21"/>
              </w:rPr>
              <w:t>类）</w:t>
            </w:r>
          </w:p>
        </w:tc>
        <w:tc>
          <w:tcPr>
            <w:tcW w:w="850" w:type="dxa"/>
            <w:vAlign w:val="center"/>
          </w:tcPr>
          <w:p w:rsidR="004D0410" w:rsidRDefault="008C1E69">
            <w:pPr>
              <w:jc w:val="center"/>
              <w:rPr>
                <w:sz w:val="21"/>
                <w:szCs w:val="21"/>
              </w:rPr>
            </w:pPr>
            <w:r>
              <w:rPr>
                <w:rFonts w:hint="eastAsia"/>
                <w:sz w:val="21"/>
                <w:szCs w:val="21"/>
              </w:rPr>
              <w:t>开通</w:t>
            </w:r>
          </w:p>
        </w:tc>
        <w:tc>
          <w:tcPr>
            <w:tcW w:w="851" w:type="dxa"/>
            <w:vAlign w:val="center"/>
          </w:tcPr>
          <w:p w:rsidR="004D0410" w:rsidRDefault="008C1E69">
            <w:pPr>
              <w:jc w:val="center"/>
              <w:rPr>
                <w:sz w:val="21"/>
                <w:szCs w:val="21"/>
              </w:rPr>
            </w:pPr>
            <w:r>
              <w:rPr>
                <w:rFonts w:hint="eastAsia"/>
                <w:sz w:val="21"/>
                <w:szCs w:val="21"/>
              </w:rPr>
              <w:t>开通</w:t>
            </w:r>
          </w:p>
        </w:tc>
        <w:tc>
          <w:tcPr>
            <w:tcW w:w="1209" w:type="dxa"/>
          </w:tcPr>
          <w:p w:rsidR="004D0410" w:rsidRDefault="008C1E69">
            <w:pPr>
              <w:jc w:val="center"/>
            </w:pPr>
            <w:r>
              <w:rPr>
                <w:rFonts w:asciiTheme="minorEastAsia" w:eastAsiaTheme="minorEastAsia" w:hAnsiTheme="minorEastAsia" w:hint="eastAsia"/>
                <w:sz w:val="21"/>
                <w:szCs w:val="21"/>
              </w:rPr>
              <w:t>是</w:t>
            </w:r>
          </w:p>
        </w:tc>
      </w:tr>
      <w:tr w:rsidR="004D0410">
        <w:trPr>
          <w:trHeight w:val="227"/>
        </w:trPr>
        <w:tc>
          <w:tcPr>
            <w:tcW w:w="700" w:type="dxa"/>
            <w:vAlign w:val="center"/>
          </w:tcPr>
          <w:p w:rsidR="004D0410" w:rsidRDefault="008C1E69">
            <w:pPr>
              <w:jc w:val="center"/>
              <w:rPr>
                <w:sz w:val="21"/>
                <w:szCs w:val="21"/>
              </w:rPr>
            </w:pPr>
            <w:r>
              <w:rPr>
                <w:rFonts w:hint="eastAsia"/>
                <w:sz w:val="21"/>
                <w:szCs w:val="21"/>
              </w:rPr>
              <w:t>4</w:t>
            </w:r>
          </w:p>
        </w:tc>
        <w:tc>
          <w:tcPr>
            <w:tcW w:w="1070" w:type="dxa"/>
          </w:tcPr>
          <w:p w:rsidR="004D0410" w:rsidRDefault="008C1E69">
            <w:pPr>
              <w:jc w:val="center"/>
              <w:rPr>
                <w:sz w:val="21"/>
                <w:szCs w:val="21"/>
              </w:rPr>
            </w:pPr>
            <w:r>
              <w:rPr>
                <w:rFonts w:hint="eastAsia"/>
                <w:sz w:val="21"/>
                <w:szCs w:val="21"/>
              </w:rPr>
              <w:t>167002</w:t>
            </w:r>
          </w:p>
        </w:tc>
        <w:tc>
          <w:tcPr>
            <w:tcW w:w="4840" w:type="dxa"/>
            <w:vAlign w:val="center"/>
          </w:tcPr>
          <w:p w:rsidR="004D0410" w:rsidRDefault="008C1E69">
            <w:pPr>
              <w:rPr>
                <w:sz w:val="21"/>
                <w:szCs w:val="21"/>
              </w:rPr>
            </w:pPr>
            <w:r>
              <w:rPr>
                <w:rFonts w:hint="eastAsia"/>
                <w:sz w:val="21"/>
                <w:szCs w:val="21"/>
              </w:rPr>
              <w:t>平安鼎越灵活配置混合型证券投资基金</w:t>
            </w:r>
          </w:p>
        </w:tc>
        <w:tc>
          <w:tcPr>
            <w:tcW w:w="850" w:type="dxa"/>
            <w:vAlign w:val="center"/>
          </w:tcPr>
          <w:p w:rsidR="004D0410" w:rsidRDefault="008C1E69">
            <w:pPr>
              <w:jc w:val="center"/>
              <w:rPr>
                <w:sz w:val="21"/>
                <w:szCs w:val="21"/>
              </w:rPr>
            </w:pPr>
            <w:r>
              <w:rPr>
                <w:rFonts w:hint="eastAsia"/>
                <w:sz w:val="21"/>
                <w:szCs w:val="21"/>
              </w:rPr>
              <w:t>开通</w:t>
            </w:r>
          </w:p>
        </w:tc>
        <w:tc>
          <w:tcPr>
            <w:tcW w:w="851" w:type="dxa"/>
            <w:vAlign w:val="center"/>
          </w:tcPr>
          <w:p w:rsidR="004D0410" w:rsidRDefault="008C1E69">
            <w:pPr>
              <w:jc w:val="center"/>
              <w:rPr>
                <w:sz w:val="21"/>
                <w:szCs w:val="21"/>
              </w:rPr>
            </w:pPr>
            <w:r>
              <w:rPr>
                <w:rFonts w:hint="eastAsia"/>
                <w:sz w:val="21"/>
                <w:szCs w:val="21"/>
              </w:rPr>
              <w:t>不</w:t>
            </w:r>
            <w:r>
              <w:rPr>
                <w:rFonts w:hint="eastAsia"/>
                <w:sz w:val="21"/>
                <w:szCs w:val="21"/>
              </w:rPr>
              <w:t>开通</w:t>
            </w:r>
          </w:p>
        </w:tc>
        <w:tc>
          <w:tcPr>
            <w:tcW w:w="1209" w:type="dxa"/>
          </w:tcPr>
          <w:p w:rsidR="004D0410" w:rsidRDefault="008C1E69">
            <w:pPr>
              <w:jc w:val="center"/>
            </w:pPr>
            <w:r>
              <w:rPr>
                <w:rFonts w:asciiTheme="minorEastAsia" w:eastAsiaTheme="minorEastAsia" w:hAnsiTheme="minorEastAsia" w:hint="eastAsia"/>
                <w:sz w:val="21"/>
                <w:szCs w:val="21"/>
              </w:rPr>
              <w:t>是</w:t>
            </w:r>
          </w:p>
        </w:tc>
      </w:tr>
      <w:tr w:rsidR="004D0410">
        <w:trPr>
          <w:trHeight w:val="227"/>
        </w:trPr>
        <w:tc>
          <w:tcPr>
            <w:tcW w:w="700" w:type="dxa"/>
            <w:vAlign w:val="center"/>
          </w:tcPr>
          <w:p w:rsidR="004D0410" w:rsidRDefault="008C1E69">
            <w:pPr>
              <w:jc w:val="center"/>
              <w:rPr>
                <w:sz w:val="21"/>
                <w:szCs w:val="21"/>
              </w:rPr>
            </w:pPr>
            <w:r>
              <w:rPr>
                <w:rFonts w:hint="eastAsia"/>
                <w:sz w:val="21"/>
                <w:szCs w:val="21"/>
              </w:rPr>
              <w:t>5</w:t>
            </w:r>
          </w:p>
        </w:tc>
        <w:tc>
          <w:tcPr>
            <w:tcW w:w="1070" w:type="dxa"/>
          </w:tcPr>
          <w:p w:rsidR="004D0410" w:rsidRDefault="008C1E69">
            <w:pPr>
              <w:jc w:val="center"/>
              <w:rPr>
                <w:sz w:val="21"/>
                <w:szCs w:val="21"/>
              </w:rPr>
            </w:pPr>
            <w:r>
              <w:rPr>
                <w:rFonts w:hint="eastAsia"/>
                <w:sz w:val="21"/>
                <w:szCs w:val="21"/>
              </w:rPr>
              <w:t>0</w:t>
            </w:r>
            <w:r>
              <w:rPr>
                <w:rFonts w:hint="eastAsia"/>
                <w:sz w:val="21"/>
                <w:szCs w:val="21"/>
              </w:rPr>
              <w:t>26210</w:t>
            </w:r>
          </w:p>
        </w:tc>
        <w:tc>
          <w:tcPr>
            <w:tcW w:w="4840" w:type="dxa"/>
            <w:vAlign w:val="center"/>
          </w:tcPr>
          <w:p w:rsidR="004D0410" w:rsidRDefault="008C1E69">
            <w:pPr>
              <w:rPr>
                <w:sz w:val="21"/>
                <w:szCs w:val="21"/>
              </w:rPr>
            </w:pPr>
            <w:r>
              <w:rPr>
                <w:rFonts w:hint="eastAsia"/>
                <w:sz w:val="21"/>
                <w:szCs w:val="21"/>
              </w:rPr>
              <w:t>平安科技精选混合型发起式证券投资基金</w:t>
            </w:r>
            <w:r>
              <w:rPr>
                <w:rFonts w:hint="eastAsia"/>
                <w:sz w:val="21"/>
                <w:szCs w:val="21"/>
              </w:rPr>
              <w:t>（</w:t>
            </w:r>
            <w:r>
              <w:rPr>
                <w:rFonts w:hint="eastAsia"/>
                <w:sz w:val="21"/>
                <w:szCs w:val="21"/>
              </w:rPr>
              <w:t>A</w:t>
            </w:r>
            <w:r>
              <w:rPr>
                <w:rFonts w:hint="eastAsia"/>
                <w:sz w:val="21"/>
                <w:szCs w:val="21"/>
              </w:rPr>
              <w:t>类</w:t>
            </w:r>
            <w:r>
              <w:rPr>
                <w:rFonts w:hint="eastAsia"/>
                <w:sz w:val="21"/>
                <w:szCs w:val="21"/>
              </w:rPr>
              <w:t>）</w:t>
            </w:r>
          </w:p>
        </w:tc>
        <w:tc>
          <w:tcPr>
            <w:tcW w:w="850" w:type="dxa"/>
            <w:vAlign w:val="center"/>
          </w:tcPr>
          <w:p w:rsidR="004D0410" w:rsidRDefault="008C1E69">
            <w:pPr>
              <w:jc w:val="center"/>
              <w:rPr>
                <w:sz w:val="21"/>
                <w:szCs w:val="21"/>
              </w:rPr>
            </w:pPr>
            <w:r>
              <w:rPr>
                <w:rFonts w:hint="eastAsia"/>
                <w:sz w:val="21"/>
                <w:szCs w:val="21"/>
              </w:rPr>
              <w:t>开通</w:t>
            </w:r>
          </w:p>
        </w:tc>
        <w:tc>
          <w:tcPr>
            <w:tcW w:w="851" w:type="dxa"/>
            <w:vAlign w:val="center"/>
          </w:tcPr>
          <w:p w:rsidR="004D0410" w:rsidRDefault="008C1E69">
            <w:pPr>
              <w:jc w:val="center"/>
              <w:rPr>
                <w:sz w:val="21"/>
                <w:szCs w:val="21"/>
              </w:rPr>
            </w:pPr>
            <w:r>
              <w:rPr>
                <w:rFonts w:hint="eastAsia"/>
                <w:sz w:val="21"/>
                <w:szCs w:val="21"/>
              </w:rPr>
              <w:t>开通</w:t>
            </w:r>
          </w:p>
        </w:tc>
        <w:tc>
          <w:tcPr>
            <w:tcW w:w="1209" w:type="dxa"/>
          </w:tcPr>
          <w:p w:rsidR="004D0410" w:rsidRDefault="008C1E69">
            <w:pPr>
              <w:jc w:val="center"/>
            </w:pPr>
            <w:r>
              <w:rPr>
                <w:rFonts w:asciiTheme="minorEastAsia" w:eastAsiaTheme="minorEastAsia" w:hAnsiTheme="minorEastAsia" w:hint="eastAsia"/>
                <w:sz w:val="21"/>
                <w:szCs w:val="21"/>
              </w:rPr>
              <w:t>是</w:t>
            </w:r>
          </w:p>
        </w:tc>
      </w:tr>
      <w:tr w:rsidR="004D0410">
        <w:trPr>
          <w:trHeight w:val="227"/>
        </w:trPr>
        <w:tc>
          <w:tcPr>
            <w:tcW w:w="700" w:type="dxa"/>
            <w:vAlign w:val="center"/>
          </w:tcPr>
          <w:p w:rsidR="004D0410" w:rsidRDefault="008C1E69">
            <w:pPr>
              <w:jc w:val="center"/>
              <w:rPr>
                <w:sz w:val="21"/>
                <w:szCs w:val="21"/>
              </w:rPr>
            </w:pPr>
            <w:r>
              <w:rPr>
                <w:rFonts w:hint="eastAsia"/>
                <w:sz w:val="21"/>
                <w:szCs w:val="21"/>
              </w:rPr>
              <w:t>6</w:t>
            </w:r>
          </w:p>
        </w:tc>
        <w:tc>
          <w:tcPr>
            <w:tcW w:w="1070" w:type="dxa"/>
          </w:tcPr>
          <w:p w:rsidR="004D0410" w:rsidRDefault="008C1E69">
            <w:pPr>
              <w:jc w:val="center"/>
              <w:rPr>
                <w:sz w:val="21"/>
                <w:szCs w:val="21"/>
              </w:rPr>
            </w:pPr>
            <w:r>
              <w:rPr>
                <w:rFonts w:hint="eastAsia"/>
                <w:sz w:val="21"/>
                <w:szCs w:val="21"/>
              </w:rPr>
              <w:t>0</w:t>
            </w:r>
            <w:r>
              <w:rPr>
                <w:rFonts w:hint="eastAsia"/>
                <w:sz w:val="21"/>
                <w:szCs w:val="21"/>
              </w:rPr>
              <w:t>26211</w:t>
            </w:r>
          </w:p>
        </w:tc>
        <w:tc>
          <w:tcPr>
            <w:tcW w:w="4840" w:type="dxa"/>
            <w:vAlign w:val="center"/>
          </w:tcPr>
          <w:p w:rsidR="004D0410" w:rsidRDefault="008C1E69">
            <w:pPr>
              <w:rPr>
                <w:sz w:val="21"/>
                <w:szCs w:val="21"/>
              </w:rPr>
            </w:pPr>
            <w:r>
              <w:rPr>
                <w:rFonts w:hint="eastAsia"/>
                <w:sz w:val="21"/>
                <w:szCs w:val="21"/>
              </w:rPr>
              <w:t>平安科技精选混合型发起式证券投资基金</w:t>
            </w:r>
            <w:r>
              <w:rPr>
                <w:rFonts w:hint="eastAsia"/>
                <w:sz w:val="21"/>
                <w:szCs w:val="21"/>
              </w:rPr>
              <w:t>（</w:t>
            </w:r>
            <w:r>
              <w:rPr>
                <w:rFonts w:hint="eastAsia"/>
                <w:sz w:val="21"/>
                <w:szCs w:val="21"/>
              </w:rPr>
              <w:t>C</w:t>
            </w:r>
            <w:r>
              <w:rPr>
                <w:rFonts w:hint="eastAsia"/>
                <w:sz w:val="21"/>
                <w:szCs w:val="21"/>
              </w:rPr>
              <w:t>类</w:t>
            </w:r>
            <w:r>
              <w:rPr>
                <w:rFonts w:hint="eastAsia"/>
                <w:sz w:val="21"/>
                <w:szCs w:val="21"/>
              </w:rPr>
              <w:t>）</w:t>
            </w:r>
            <w:bookmarkStart w:id="0" w:name="_GoBack"/>
            <w:bookmarkEnd w:id="0"/>
          </w:p>
        </w:tc>
        <w:tc>
          <w:tcPr>
            <w:tcW w:w="850" w:type="dxa"/>
            <w:vAlign w:val="center"/>
          </w:tcPr>
          <w:p w:rsidR="004D0410" w:rsidRDefault="008C1E69">
            <w:pPr>
              <w:jc w:val="center"/>
              <w:rPr>
                <w:sz w:val="21"/>
                <w:szCs w:val="21"/>
              </w:rPr>
            </w:pPr>
            <w:r>
              <w:rPr>
                <w:rFonts w:hint="eastAsia"/>
                <w:sz w:val="21"/>
                <w:szCs w:val="21"/>
              </w:rPr>
              <w:t>开通</w:t>
            </w:r>
          </w:p>
        </w:tc>
        <w:tc>
          <w:tcPr>
            <w:tcW w:w="851" w:type="dxa"/>
            <w:vAlign w:val="center"/>
          </w:tcPr>
          <w:p w:rsidR="004D0410" w:rsidRDefault="008C1E69">
            <w:pPr>
              <w:jc w:val="center"/>
              <w:rPr>
                <w:sz w:val="21"/>
                <w:szCs w:val="21"/>
              </w:rPr>
            </w:pPr>
            <w:r>
              <w:rPr>
                <w:rFonts w:hint="eastAsia"/>
                <w:sz w:val="21"/>
                <w:szCs w:val="21"/>
              </w:rPr>
              <w:t>开通</w:t>
            </w:r>
          </w:p>
        </w:tc>
        <w:tc>
          <w:tcPr>
            <w:tcW w:w="1209" w:type="dxa"/>
          </w:tcPr>
          <w:p w:rsidR="004D0410" w:rsidRDefault="008C1E69">
            <w:pPr>
              <w:jc w:val="center"/>
            </w:pPr>
            <w:r>
              <w:rPr>
                <w:rFonts w:asciiTheme="minorEastAsia" w:eastAsiaTheme="minorEastAsia" w:hAnsiTheme="minorEastAsia" w:hint="eastAsia"/>
                <w:sz w:val="21"/>
                <w:szCs w:val="21"/>
              </w:rPr>
              <w:t>是</w:t>
            </w:r>
          </w:p>
        </w:tc>
      </w:tr>
    </w:tbl>
    <w:p w:rsidR="004D0410" w:rsidRDefault="004D0410">
      <w:pPr>
        <w:pStyle w:val="Default"/>
        <w:rPr>
          <w:rFonts w:asciiTheme="minorEastAsia" w:eastAsiaTheme="minorEastAsia" w:hAnsiTheme="minorEastAsia"/>
          <w:sz w:val="21"/>
          <w:szCs w:val="21"/>
        </w:rPr>
      </w:pPr>
    </w:p>
    <w:p w:rsidR="004D0410" w:rsidRDefault="008C1E69">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4D0410" w:rsidRDefault="008C1E69">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4D0410" w:rsidRDefault="008C1E69">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w:t>
      </w:r>
      <w:r>
        <w:rPr>
          <w:rFonts w:asciiTheme="minorEastAsia" w:eastAsiaTheme="minorEastAsia" w:hAnsiTheme="minorEastAsia"/>
          <w:sz w:val="21"/>
          <w:szCs w:val="21"/>
        </w:rPr>
        <w:t>构办理注册登记的其他基金的基金份额的行为。基金转换业务规则与转换业务的收费计算公式参见本公司网站的《平安基金管理有限公司关于旗下开放式基金转换业务规则说明的公告》。</w:t>
      </w:r>
    </w:p>
    <w:p w:rsidR="004D0410" w:rsidRDefault="008C1E69">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4D0410" w:rsidRDefault="008C1E6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排排网申购或定期定额申购、转换上述基金，享受费率优惠，优惠活动解释权归排排网所有，请投资者咨询排排网。本公司对其申购费率、定期定额申购费率以及转换业务的申购补差费率均不设折扣限制，优惠活动的费率折扣由排排网决定和执行，本公司根据排排网提供的费率折扣办理，若费率优惠活动内容变更，以排排网的活动公告为准，本公</w:t>
      </w:r>
      <w:r>
        <w:rPr>
          <w:rFonts w:asciiTheme="minorEastAsia" w:eastAsiaTheme="minorEastAsia" w:hAnsiTheme="minorEastAsia" w:hint="eastAsia"/>
          <w:sz w:val="21"/>
          <w:szCs w:val="21"/>
        </w:rPr>
        <w:lastRenderedPageBreak/>
        <w:t>司不再另行公告。</w:t>
      </w:r>
    </w:p>
    <w:p w:rsidR="004D0410" w:rsidRDefault="008C1E6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4D0410" w:rsidRDefault="008C1E69">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、深圳市前海排排网基金销售有限责任公司</w:t>
      </w:r>
    </w:p>
    <w:p w:rsidR="004D0410" w:rsidRDefault="008C1E69">
      <w:pPr>
        <w:pStyle w:val="Default"/>
        <w:spacing w:line="360" w:lineRule="auto"/>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sz w:val="21"/>
          <w:szCs w:val="21"/>
        </w:rPr>
        <w:t xml:space="preserve"> </w:t>
      </w:r>
      <w:r>
        <w:rPr>
          <w:rFonts w:hint="eastAsia"/>
          <w:sz w:val="21"/>
          <w:szCs w:val="21"/>
        </w:rPr>
        <w:t>400-666-7388</w:t>
      </w:r>
      <w:r>
        <w:rPr>
          <w:rFonts w:asciiTheme="minorEastAsia" w:eastAsiaTheme="minorEastAsia" w:hAnsiTheme="minorEastAsia"/>
          <w:sz w:val="21"/>
          <w:szCs w:val="21"/>
        </w:rPr>
        <w:t xml:space="preserve">                                        </w:t>
      </w:r>
    </w:p>
    <w:p w:rsidR="004D0410" w:rsidRDefault="008C1E69">
      <w:pPr>
        <w:pStyle w:val="Default"/>
        <w:spacing w:line="360" w:lineRule="auto"/>
        <w:ind w:firstLineChars="450" w:firstLine="945"/>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hint="eastAsia"/>
          <w:sz w:val="21"/>
          <w:szCs w:val="21"/>
        </w:rPr>
        <w:t>www.simuwang.com</w:t>
      </w:r>
    </w:p>
    <w:p w:rsidR="004D0410" w:rsidRDefault="008C1E69">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4D0410" w:rsidRDefault="008C1E69">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4D0410" w:rsidRDefault="008C1E69">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4D0410" w:rsidRDefault="004D0410">
      <w:pPr>
        <w:pStyle w:val="Default"/>
        <w:spacing w:line="360" w:lineRule="auto"/>
        <w:ind w:firstLineChars="400" w:firstLine="840"/>
        <w:rPr>
          <w:rFonts w:asciiTheme="minorEastAsia" w:eastAsiaTheme="minorEastAsia" w:hAnsiTheme="minorEastAsia"/>
          <w:sz w:val="21"/>
          <w:szCs w:val="21"/>
        </w:rPr>
      </w:pPr>
    </w:p>
    <w:p w:rsidR="004D0410" w:rsidRDefault="008C1E69">
      <w:pPr>
        <w:pStyle w:val="Default"/>
        <w:spacing w:line="360" w:lineRule="auto"/>
        <w:ind w:firstLineChars="200" w:firstLine="420"/>
        <w:rPr>
          <w:sz w:val="21"/>
          <w:szCs w:val="21"/>
        </w:rPr>
      </w:pPr>
      <w:r>
        <w:rPr>
          <w:rFonts w:asciiTheme="minorEastAsia" w:eastAsiaTheme="minorEastAsia" w:hAnsiTheme="minorEastAsia"/>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基金管理人承诺以诚实信用、勤勉尽责的原则管理和运用基金资产，但不保证基金一定盈利，也不保证最低收益。销售机构根据法规要求对投资者类别、风险承受能力和基金的风</w:t>
      </w:r>
      <w:r>
        <w:rPr>
          <w:rFonts w:hint="eastAsia"/>
          <w:sz w:val="21"/>
          <w:szCs w:val="21"/>
        </w:rPr>
        <w:t>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D0410" w:rsidRDefault="004D0410">
      <w:pPr>
        <w:pStyle w:val="Default"/>
        <w:spacing w:line="360" w:lineRule="auto"/>
        <w:ind w:firstLineChars="200" w:firstLine="420"/>
        <w:rPr>
          <w:sz w:val="21"/>
          <w:szCs w:val="21"/>
        </w:rPr>
      </w:pPr>
    </w:p>
    <w:p w:rsidR="004D0410" w:rsidRDefault="008C1E6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4D0410" w:rsidRDefault="004D0410">
      <w:pPr>
        <w:pStyle w:val="Default"/>
        <w:spacing w:line="360" w:lineRule="auto"/>
        <w:ind w:right="630" w:firstLineChars="2400" w:firstLine="5040"/>
        <w:rPr>
          <w:rFonts w:asciiTheme="minorEastAsia" w:eastAsiaTheme="minorEastAsia" w:hAnsiTheme="minorEastAsia"/>
          <w:sz w:val="21"/>
          <w:szCs w:val="21"/>
        </w:rPr>
      </w:pPr>
    </w:p>
    <w:p w:rsidR="004D0410" w:rsidRDefault="008C1E69">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4D0410" w:rsidRDefault="008C1E69">
      <w:pPr>
        <w:pStyle w:val="Default"/>
        <w:spacing w:line="360" w:lineRule="auto"/>
        <w:ind w:leftChars="1750" w:left="4200" w:right="1575" w:firstLineChars="400" w:firstLine="840"/>
        <w:jc w:val="center"/>
        <w:rPr>
          <w:rFonts w:asciiTheme="minorEastAsia" w:eastAsiaTheme="minorEastAsia" w:hAnsiTheme="minorEastAsia"/>
          <w:sz w:val="21"/>
          <w:szCs w:val="21"/>
        </w:rPr>
      </w:pP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日</w:t>
      </w:r>
      <w:r>
        <w:rPr>
          <w:rFonts w:asciiTheme="minorEastAsia" w:eastAsiaTheme="minorEastAsia" w:hAnsiTheme="minorEastAsia"/>
          <w:sz w:val="21"/>
          <w:szCs w:val="21"/>
        </w:rPr>
        <w:t xml:space="preserve"> </w:t>
      </w:r>
    </w:p>
    <w:sectPr w:rsidR="004D0410" w:rsidSect="004D0410">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CE0610"/>
    <w:rsid w:val="00012625"/>
    <w:rsid w:val="00012D9D"/>
    <w:rsid w:val="00016318"/>
    <w:rsid w:val="0002140B"/>
    <w:rsid w:val="00027AC4"/>
    <w:rsid w:val="00030B0B"/>
    <w:rsid w:val="000354A0"/>
    <w:rsid w:val="00036EDC"/>
    <w:rsid w:val="00037138"/>
    <w:rsid w:val="00044D94"/>
    <w:rsid w:val="00045F81"/>
    <w:rsid w:val="0004793A"/>
    <w:rsid w:val="000528A8"/>
    <w:rsid w:val="00053C68"/>
    <w:rsid w:val="00055F46"/>
    <w:rsid w:val="00057E98"/>
    <w:rsid w:val="00060834"/>
    <w:rsid w:val="00060DC5"/>
    <w:rsid w:val="00076A4D"/>
    <w:rsid w:val="000821A0"/>
    <w:rsid w:val="00087302"/>
    <w:rsid w:val="000909E4"/>
    <w:rsid w:val="00096844"/>
    <w:rsid w:val="000A104A"/>
    <w:rsid w:val="000A2DC0"/>
    <w:rsid w:val="000A429E"/>
    <w:rsid w:val="000A487D"/>
    <w:rsid w:val="000A705E"/>
    <w:rsid w:val="000B0A39"/>
    <w:rsid w:val="000B34DF"/>
    <w:rsid w:val="000F04AA"/>
    <w:rsid w:val="000F5543"/>
    <w:rsid w:val="000F7983"/>
    <w:rsid w:val="001040F7"/>
    <w:rsid w:val="00105558"/>
    <w:rsid w:val="001200D9"/>
    <w:rsid w:val="00121C7D"/>
    <w:rsid w:val="001248DF"/>
    <w:rsid w:val="00137BAA"/>
    <w:rsid w:val="001436E1"/>
    <w:rsid w:val="00144639"/>
    <w:rsid w:val="00145957"/>
    <w:rsid w:val="00151B0E"/>
    <w:rsid w:val="0016572D"/>
    <w:rsid w:val="0017436C"/>
    <w:rsid w:val="00183BFE"/>
    <w:rsid w:val="001A13E2"/>
    <w:rsid w:val="001A3354"/>
    <w:rsid w:val="001A461E"/>
    <w:rsid w:val="001A53DF"/>
    <w:rsid w:val="001A7949"/>
    <w:rsid w:val="001C3AAC"/>
    <w:rsid w:val="001C784F"/>
    <w:rsid w:val="001D3740"/>
    <w:rsid w:val="001D7E4A"/>
    <w:rsid w:val="001E6755"/>
    <w:rsid w:val="001E753F"/>
    <w:rsid w:val="001F36E7"/>
    <w:rsid w:val="001F6A68"/>
    <w:rsid w:val="00207505"/>
    <w:rsid w:val="00207911"/>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2E7539"/>
    <w:rsid w:val="002F2BC6"/>
    <w:rsid w:val="0030002A"/>
    <w:rsid w:val="0030498E"/>
    <w:rsid w:val="003112DC"/>
    <w:rsid w:val="003113D2"/>
    <w:rsid w:val="003124F4"/>
    <w:rsid w:val="00315199"/>
    <w:rsid w:val="003173A6"/>
    <w:rsid w:val="00317A54"/>
    <w:rsid w:val="003220E0"/>
    <w:rsid w:val="003244F3"/>
    <w:rsid w:val="00331175"/>
    <w:rsid w:val="00340F68"/>
    <w:rsid w:val="00343DBE"/>
    <w:rsid w:val="00344D02"/>
    <w:rsid w:val="00350F2C"/>
    <w:rsid w:val="00360980"/>
    <w:rsid w:val="00364908"/>
    <w:rsid w:val="003802DF"/>
    <w:rsid w:val="0038388D"/>
    <w:rsid w:val="0039533D"/>
    <w:rsid w:val="00396D5E"/>
    <w:rsid w:val="003A1668"/>
    <w:rsid w:val="003A26C1"/>
    <w:rsid w:val="003A31CD"/>
    <w:rsid w:val="003A4CDD"/>
    <w:rsid w:val="003A5787"/>
    <w:rsid w:val="003D6CA9"/>
    <w:rsid w:val="003E2A45"/>
    <w:rsid w:val="003E5816"/>
    <w:rsid w:val="003E60B8"/>
    <w:rsid w:val="003F2FBD"/>
    <w:rsid w:val="00401141"/>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0410"/>
    <w:rsid w:val="004D4038"/>
    <w:rsid w:val="004D403D"/>
    <w:rsid w:val="004D7A02"/>
    <w:rsid w:val="004E21A9"/>
    <w:rsid w:val="004E259C"/>
    <w:rsid w:val="004E4D7E"/>
    <w:rsid w:val="004E5ACD"/>
    <w:rsid w:val="004E63BB"/>
    <w:rsid w:val="004E6988"/>
    <w:rsid w:val="004E74ED"/>
    <w:rsid w:val="004F77A6"/>
    <w:rsid w:val="0050467B"/>
    <w:rsid w:val="00515571"/>
    <w:rsid w:val="00545F1E"/>
    <w:rsid w:val="00555610"/>
    <w:rsid w:val="00560F21"/>
    <w:rsid w:val="00571749"/>
    <w:rsid w:val="00572C09"/>
    <w:rsid w:val="005830D5"/>
    <w:rsid w:val="00586EAC"/>
    <w:rsid w:val="00596E50"/>
    <w:rsid w:val="00596F6A"/>
    <w:rsid w:val="005A18A1"/>
    <w:rsid w:val="005A2F75"/>
    <w:rsid w:val="005B5C22"/>
    <w:rsid w:val="005B6769"/>
    <w:rsid w:val="005E2EE7"/>
    <w:rsid w:val="005F7347"/>
    <w:rsid w:val="006040D4"/>
    <w:rsid w:val="00607259"/>
    <w:rsid w:val="00610622"/>
    <w:rsid w:val="0061168A"/>
    <w:rsid w:val="0062125F"/>
    <w:rsid w:val="00623877"/>
    <w:rsid w:val="00630E86"/>
    <w:rsid w:val="006310F8"/>
    <w:rsid w:val="00632D9D"/>
    <w:rsid w:val="00634D47"/>
    <w:rsid w:val="00635CEC"/>
    <w:rsid w:val="006367AF"/>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6E5EBD"/>
    <w:rsid w:val="007007DD"/>
    <w:rsid w:val="007151C6"/>
    <w:rsid w:val="00726CA5"/>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84A13"/>
    <w:rsid w:val="00794816"/>
    <w:rsid w:val="007A4CD6"/>
    <w:rsid w:val="007B0882"/>
    <w:rsid w:val="007C1B84"/>
    <w:rsid w:val="007C3CC6"/>
    <w:rsid w:val="007D3438"/>
    <w:rsid w:val="007D51DC"/>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24FB"/>
    <w:rsid w:val="00873883"/>
    <w:rsid w:val="00873DA8"/>
    <w:rsid w:val="00884C3A"/>
    <w:rsid w:val="0088546F"/>
    <w:rsid w:val="00887A1D"/>
    <w:rsid w:val="00892EA5"/>
    <w:rsid w:val="00895EDF"/>
    <w:rsid w:val="008A5267"/>
    <w:rsid w:val="008A7B1C"/>
    <w:rsid w:val="008C18C0"/>
    <w:rsid w:val="008C1E69"/>
    <w:rsid w:val="008D5AD3"/>
    <w:rsid w:val="008D6265"/>
    <w:rsid w:val="008D7993"/>
    <w:rsid w:val="008E48D7"/>
    <w:rsid w:val="008F2029"/>
    <w:rsid w:val="008F3E97"/>
    <w:rsid w:val="008F456A"/>
    <w:rsid w:val="008F64CD"/>
    <w:rsid w:val="008F7019"/>
    <w:rsid w:val="00904B21"/>
    <w:rsid w:val="00913D41"/>
    <w:rsid w:val="00915B20"/>
    <w:rsid w:val="00917531"/>
    <w:rsid w:val="00920403"/>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72F36"/>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63F0"/>
    <w:rsid w:val="00A079A1"/>
    <w:rsid w:val="00A07AAE"/>
    <w:rsid w:val="00A24C6B"/>
    <w:rsid w:val="00A30624"/>
    <w:rsid w:val="00A30C9E"/>
    <w:rsid w:val="00A30E56"/>
    <w:rsid w:val="00A3101B"/>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26FE"/>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A752A"/>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5DDD"/>
    <w:rsid w:val="00C167D6"/>
    <w:rsid w:val="00C2678F"/>
    <w:rsid w:val="00C268D4"/>
    <w:rsid w:val="00C31032"/>
    <w:rsid w:val="00C36B4B"/>
    <w:rsid w:val="00C40E64"/>
    <w:rsid w:val="00C44146"/>
    <w:rsid w:val="00C54632"/>
    <w:rsid w:val="00C54668"/>
    <w:rsid w:val="00C56A04"/>
    <w:rsid w:val="00C64EAF"/>
    <w:rsid w:val="00C66A64"/>
    <w:rsid w:val="00C76074"/>
    <w:rsid w:val="00C80A91"/>
    <w:rsid w:val="00C9249B"/>
    <w:rsid w:val="00C95347"/>
    <w:rsid w:val="00CB2B31"/>
    <w:rsid w:val="00CB496D"/>
    <w:rsid w:val="00CC4133"/>
    <w:rsid w:val="00CD6E9E"/>
    <w:rsid w:val="00CE0610"/>
    <w:rsid w:val="00CE0C83"/>
    <w:rsid w:val="00CE2F0F"/>
    <w:rsid w:val="00D03A72"/>
    <w:rsid w:val="00D06F2F"/>
    <w:rsid w:val="00D07A53"/>
    <w:rsid w:val="00D272D6"/>
    <w:rsid w:val="00D4218F"/>
    <w:rsid w:val="00D47829"/>
    <w:rsid w:val="00D505A6"/>
    <w:rsid w:val="00D533A2"/>
    <w:rsid w:val="00D55B63"/>
    <w:rsid w:val="00D62E26"/>
    <w:rsid w:val="00D67302"/>
    <w:rsid w:val="00D748C9"/>
    <w:rsid w:val="00D90CA5"/>
    <w:rsid w:val="00D94D1C"/>
    <w:rsid w:val="00DB0349"/>
    <w:rsid w:val="00DB67B7"/>
    <w:rsid w:val="00DC5666"/>
    <w:rsid w:val="00DC5CC9"/>
    <w:rsid w:val="00DD2E94"/>
    <w:rsid w:val="00DD4674"/>
    <w:rsid w:val="00DD48F3"/>
    <w:rsid w:val="00DD4AB5"/>
    <w:rsid w:val="00DE053A"/>
    <w:rsid w:val="00DE72AA"/>
    <w:rsid w:val="00E144D9"/>
    <w:rsid w:val="00E20726"/>
    <w:rsid w:val="00E21264"/>
    <w:rsid w:val="00E35E59"/>
    <w:rsid w:val="00E40D05"/>
    <w:rsid w:val="00E410C3"/>
    <w:rsid w:val="00E419A5"/>
    <w:rsid w:val="00E50A75"/>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25868"/>
    <w:rsid w:val="00F40147"/>
    <w:rsid w:val="00F45200"/>
    <w:rsid w:val="00F46744"/>
    <w:rsid w:val="00F53891"/>
    <w:rsid w:val="00F64745"/>
    <w:rsid w:val="00F67064"/>
    <w:rsid w:val="00F67CA2"/>
    <w:rsid w:val="00F72841"/>
    <w:rsid w:val="00F73C54"/>
    <w:rsid w:val="00F77D48"/>
    <w:rsid w:val="00F859BA"/>
    <w:rsid w:val="00F91D66"/>
    <w:rsid w:val="00F9569D"/>
    <w:rsid w:val="00F961FD"/>
    <w:rsid w:val="00FA1853"/>
    <w:rsid w:val="00FA2238"/>
    <w:rsid w:val="00FA57C9"/>
    <w:rsid w:val="00FB347D"/>
    <w:rsid w:val="00FB7DF0"/>
    <w:rsid w:val="00FC1DFE"/>
    <w:rsid w:val="00FC462A"/>
    <w:rsid w:val="00FD5EA2"/>
    <w:rsid w:val="00FD710A"/>
    <w:rsid w:val="00FE082D"/>
    <w:rsid w:val="00FE6E0E"/>
    <w:rsid w:val="244707EC"/>
    <w:rsid w:val="2F0E252B"/>
    <w:rsid w:val="62D4454A"/>
    <w:rsid w:val="638E7BD1"/>
    <w:rsid w:val="67583B5E"/>
    <w:rsid w:val="731E6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410"/>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4D0410"/>
  </w:style>
  <w:style w:type="paragraph" w:styleId="a4">
    <w:name w:val="Date"/>
    <w:basedOn w:val="a"/>
    <w:next w:val="a"/>
    <w:link w:val="Char0"/>
    <w:semiHidden/>
    <w:unhideWhenUsed/>
    <w:qFormat/>
    <w:rsid w:val="004D0410"/>
    <w:pPr>
      <w:ind w:leftChars="2500" w:left="100"/>
    </w:pPr>
  </w:style>
  <w:style w:type="paragraph" w:styleId="a5">
    <w:name w:val="Balloon Text"/>
    <w:basedOn w:val="a"/>
    <w:link w:val="Char1"/>
    <w:semiHidden/>
    <w:unhideWhenUsed/>
    <w:qFormat/>
    <w:rsid w:val="004D0410"/>
    <w:rPr>
      <w:sz w:val="18"/>
      <w:szCs w:val="18"/>
    </w:rPr>
  </w:style>
  <w:style w:type="paragraph" w:styleId="a6">
    <w:name w:val="footer"/>
    <w:basedOn w:val="a"/>
    <w:link w:val="Char2"/>
    <w:uiPriority w:val="99"/>
    <w:unhideWhenUsed/>
    <w:qFormat/>
    <w:rsid w:val="004D0410"/>
    <w:pPr>
      <w:widowControl w:val="0"/>
      <w:tabs>
        <w:tab w:val="center" w:pos="4153"/>
        <w:tab w:val="right" w:pos="8306"/>
      </w:tabs>
      <w:snapToGrid w:val="0"/>
    </w:pPr>
    <w:rPr>
      <w:rFonts w:ascii="Calibri" w:hAnsi="Calibri"/>
      <w:kern w:val="2"/>
      <w:sz w:val="18"/>
      <w:szCs w:val="18"/>
    </w:rPr>
  </w:style>
  <w:style w:type="paragraph" w:styleId="a7">
    <w:name w:val="header"/>
    <w:basedOn w:val="a"/>
    <w:link w:val="Char3"/>
    <w:uiPriority w:val="99"/>
    <w:unhideWhenUsed/>
    <w:rsid w:val="004D0410"/>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8">
    <w:name w:val="annotation subject"/>
    <w:basedOn w:val="a3"/>
    <w:next w:val="a3"/>
    <w:link w:val="Char4"/>
    <w:semiHidden/>
    <w:unhideWhenUsed/>
    <w:qFormat/>
    <w:rsid w:val="004D0410"/>
    <w:rPr>
      <w:b/>
      <w:bCs/>
    </w:rPr>
  </w:style>
  <w:style w:type="character" w:styleId="a9">
    <w:name w:val="Hyperlink"/>
    <w:basedOn w:val="a0"/>
    <w:unhideWhenUsed/>
    <w:qFormat/>
    <w:rsid w:val="004D0410"/>
    <w:rPr>
      <w:color w:val="0000FF" w:themeColor="hyperlink"/>
      <w:u w:val="single"/>
    </w:rPr>
  </w:style>
  <w:style w:type="character" w:styleId="aa">
    <w:name w:val="annotation reference"/>
    <w:basedOn w:val="a0"/>
    <w:semiHidden/>
    <w:unhideWhenUsed/>
    <w:qFormat/>
    <w:rsid w:val="004D0410"/>
    <w:rPr>
      <w:sz w:val="21"/>
      <w:szCs w:val="21"/>
    </w:rPr>
  </w:style>
  <w:style w:type="paragraph" w:customStyle="1" w:styleId="Default">
    <w:name w:val="Default"/>
    <w:qFormat/>
    <w:rsid w:val="004D0410"/>
    <w:pPr>
      <w:widowControl w:val="0"/>
      <w:autoSpaceDE w:val="0"/>
      <w:autoSpaceDN w:val="0"/>
      <w:adjustRightInd w:val="0"/>
    </w:pPr>
    <w:rPr>
      <w:rFonts w:ascii="宋体" w:cs="宋体"/>
      <w:color w:val="000000"/>
      <w:sz w:val="24"/>
      <w:szCs w:val="24"/>
    </w:rPr>
  </w:style>
  <w:style w:type="character" w:customStyle="1" w:styleId="Char3">
    <w:name w:val="页眉 Char"/>
    <w:basedOn w:val="a0"/>
    <w:link w:val="a7"/>
    <w:uiPriority w:val="99"/>
    <w:qFormat/>
    <w:rsid w:val="004D0410"/>
    <w:rPr>
      <w:sz w:val="18"/>
      <w:szCs w:val="18"/>
    </w:rPr>
  </w:style>
  <w:style w:type="character" w:customStyle="1" w:styleId="Char2">
    <w:name w:val="页脚 Char"/>
    <w:basedOn w:val="a0"/>
    <w:link w:val="a6"/>
    <w:uiPriority w:val="99"/>
    <w:qFormat/>
    <w:rsid w:val="004D0410"/>
    <w:rPr>
      <w:sz w:val="18"/>
      <w:szCs w:val="18"/>
    </w:rPr>
  </w:style>
  <w:style w:type="character" w:customStyle="1" w:styleId="Char1">
    <w:name w:val="批注框文本 Char"/>
    <w:basedOn w:val="a0"/>
    <w:link w:val="a5"/>
    <w:semiHidden/>
    <w:qFormat/>
    <w:rsid w:val="004D0410"/>
    <w:rPr>
      <w:rFonts w:ascii="宋体" w:hAnsi="宋体" w:cs="宋体"/>
      <w:sz w:val="18"/>
      <w:szCs w:val="18"/>
    </w:rPr>
  </w:style>
  <w:style w:type="character" w:customStyle="1" w:styleId="Char">
    <w:name w:val="批注文字 Char"/>
    <w:basedOn w:val="a0"/>
    <w:link w:val="a3"/>
    <w:semiHidden/>
    <w:qFormat/>
    <w:rsid w:val="004D0410"/>
    <w:rPr>
      <w:rFonts w:ascii="宋体" w:hAnsi="宋体" w:cs="宋体"/>
      <w:sz w:val="24"/>
      <w:szCs w:val="24"/>
    </w:rPr>
  </w:style>
  <w:style w:type="character" w:customStyle="1" w:styleId="Char4">
    <w:name w:val="批注主题 Char"/>
    <w:basedOn w:val="Char"/>
    <w:link w:val="a8"/>
    <w:semiHidden/>
    <w:qFormat/>
    <w:rsid w:val="004D0410"/>
    <w:rPr>
      <w:rFonts w:ascii="宋体" w:hAnsi="宋体" w:cs="宋体"/>
      <w:b/>
      <w:bCs/>
      <w:sz w:val="24"/>
      <w:szCs w:val="24"/>
    </w:rPr>
  </w:style>
  <w:style w:type="paragraph" w:styleId="ab">
    <w:name w:val="List Paragraph"/>
    <w:basedOn w:val="a"/>
    <w:uiPriority w:val="34"/>
    <w:qFormat/>
    <w:rsid w:val="004D0410"/>
    <w:pPr>
      <w:ind w:firstLineChars="200" w:firstLine="420"/>
    </w:pPr>
  </w:style>
  <w:style w:type="character" w:customStyle="1" w:styleId="Char0">
    <w:name w:val="日期 Char"/>
    <w:basedOn w:val="a0"/>
    <w:link w:val="a4"/>
    <w:semiHidden/>
    <w:qFormat/>
    <w:rsid w:val="004D0410"/>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807F-3E6C-4F37-9AB9-96DE4E9C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1201</Characters>
  <Application>Microsoft Office Word</Application>
  <DocSecurity>4</DocSecurity>
  <Lines>10</Lines>
  <Paragraphs>2</Paragraphs>
  <ScaleCrop>false</ScaleCrop>
  <Company>中国平安保险(集团)股份有限公司</Company>
  <LinksUpToDate>false</LinksUpToDate>
  <CharactersWithSpaces>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2026-05-07T16:00:00Z</dcterms:created>
  <dcterms:modified xsi:type="dcterms:W3CDTF">2026-05-07T16:00:00Z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EC869D476B5F45C6A6E77905802DEBC3_12</vt:lpwstr>
  </property>
</Properties>
</file>