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00000" w:rsidRDefault="00EE53FD">
      <w:pPr>
        <w:jc w:val="center"/>
        <w:rPr>
          <w:rFonts w:ascii="宋体" w:hAnsi="宋体" w:hint="eastAsia"/>
          <w:b/>
          <w:sz w:val="32"/>
          <w:szCs w:val="32"/>
        </w:rPr>
      </w:pPr>
      <w:bookmarkStart w:id="0" w:name="_Toc436040501"/>
      <w:bookmarkStart w:id="1" w:name="_Toc435537894"/>
      <w:bookmarkStart w:id="2" w:name="_Toc435537850"/>
      <w:bookmarkStart w:id="3" w:name="_Toc510201001"/>
      <w:bookmarkStart w:id="4" w:name="_Toc435538034"/>
      <w:bookmarkStart w:id="5" w:name="_Toc435538201"/>
      <w:bookmarkStart w:id="6" w:name="_Toc435716465"/>
      <w:bookmarkEnd w:id="0"/>
      <w:bookmarkEnd w:id="1"/>
      <w:bookmarkEnd w:id="2"/>
      <w:bookmarkEnd w:id="3"/>
      <w:bookmarkEnd w:id="4"/>
      <w:bookmarkEnd w:id="5"/>
      <w:bookmarkEnd w:id="6"/>
      <w:r>
        <w:rPr>
          <w:rFonts w:ascii="宋体" w:hAnsi="宋体" w:hint="eastAsia"/>
          <w:b/>
          <w:sz w:val="32"/>
          <w:szCs w:val="32"/>
        </w:rPr>
        <w:t>银华智享混合型证券投资基金开放日常申购、赎回、定期定额投资及转换业务的公告</w:t>
      </w:r>
    </w:p>
    <w:p w:rsidR="00000000" w:rsidRDefault="00EE53FD">
      <w:pPr>
        <w:jc w:val="center"/>
        <w:rPr>
          <w:rFonts w:ascii="宋体" w:hAnsi="宋体" w:hint="eastAsia"/>
          <w:b/>
          <w:sz w:val="28"/>
          <w:szCs w:val="28"/>
        </w:rPr>
      </w:pPr>
    </w:p>
    <w:p w:rsidR="00000000" w:rsidRDefault="00EE53FD">
      <w:pPr>
        <w:jc w:val="center"/>
        <w:rPr>
          <w:rFonts w:ascii="宋体" w:hAnsi="宋体" w:hint="eastAsia"/>
          <w:b/>
          <w:sz w:val="28"/>
          <w:szCs w:val="28"/>
        </w:rPr>
      </w:pPr>
      <w:r>
        <w:rPr>
          <w:rFonts w:ascii="宋体" w:hAnsi="宋体" w:hint="eastAsia"/>
          <w:b/>
          <w:sz w:val="28"/>
          <w:szCs w:val="28"/>
        </w:rPr>
        <w:t>公告</w:t>
      </w:r>
      <w:r>
        <w:rPr>
          <w:rFonts w:ascii="宋体" w:hAnsi="宋体"/>
          <w:b/>
          <w:sz w:val="28"/>
          <w:szCs w:val="28"/>
        </w:rPr>
        <w:t>送出日期：</w:t>
      </w:r>
      <w:bookmarkStart w:id="7" w:name="t_2_0_0003_a1_fm1"/>
      <w:bookmarkEnd w:id="7"/>
      <w:r>
        <w:rPr>
          <w:rFonts w:ascii="宋体" w:hAnsi="宋体" w:hint="eastAsia"/>
          <w:b/>
          <w:sz w:val="28"/>
          <w:szCs w:val="28"/>
        </w:rPr>
        <w:t>2026</w:t>
      </w:r>
      <w:r>
        <w:rPr>
          <w:rFonts w:ascii="宋体" w:hAnsi="宋体" w:hint="eastAsia"/>
          <w:b/>
          <w:sz w:val="28"/>
          <w:szCs w:val="28"/>
        </w:rPr>
        <w:t>年</w:t>
      </w:r>
      <w:r>
        <w:rPr>
          <w:rFonts w:ascii="宋体" w:hAnsi="宋体" w:hint="eastAsia"/>
          <w:b/>
          <w:sz w:val="28"/>
          <w:szCs w:val="28"/>
        </w:rPr>
        <w:t>5</w:t>
      </w:r>
      <w:r>
        <w:rPr>
          <w:rFonts w:ascii="宋体" w:hAnsi="宋体" w:hint="eastAsia"/>
          <w:b/>
          <w:sz w:val="28"/>
          <w:szCs w:val="28"/>
        </w:rPr>
        <w:t>月</w:t>
      </w:r>
      <w:r>
        <w:rPr>
          <w:rFonts w:ascii="宋体" w:hAnsi="宋体" w:hint="eastAsia"/>
          <w:b/>
          <w:sz w:val="28"/>
          <w:szCs w:val="28"/>
        </w:rPr>
        <w:t>6</w:t>
      </w:r>
      <w:r>
        <w:rPr>
          <w:rFonts w:ascii="宋体" w:hAnsi="宋体" w:hint="eastAsia"/>
          <w:b/>
          <w:sz w:val="28"/>
          <w:szCs w:val="28"/>
        </w:rPr>
        <w:t>日</w:t>
      </w:r>
    </w:p>
    <w:p w:rsidR="00000000" w:rsidRDefault="00EE53FD">
      <w:pPr>
        <w:pStyle w:val="2"/>
        <w:spacing w:beforeLines="50" w:afterLines="50" w:line="240" w:lineRule="auto"/>
        <w:rPr>
          <w:rFonts w:ascii="宋体" w:eastAsia="宋体" w:hAnsi="宋体" w:hint="eastAsia"/>
          <w:bCs/>
          <w:sz w:val="24"/>
          <w:szCs w:val="24"/>
        </w:rPr>
      </w:pPr>
      <w:r>
        <w:rPr>
          <w:rFonts w:ascii="宋体" w:eastAsia="宋体" w:hAnsi="宋体" w:hint="eastAsia"/>
          <w:bCs/>
          <w:sz w:val="24"/>
          <w:szCs w:val="24"/>
        </w:rPr>
        <w:t>1</w:t>
      </w:r>
      <w:bookmarkStart w:id="8" w:name="t_2_1_table"/>
      <w:bookmarkEnd w:id="8"/>
      <w:r>
        <w:rPr>
          <w:rFonts w:ascii="宋体" w:eastAsia="宋体" w:hAnsi="宋体" w:hint="eastAsia"/>
          <w:bCs/>
          <w:sz w:val="24"/>
          <w:szCs w:val="24"/>
        </w:rPr>
        <w:t>公告基本信息</w:t>
      </w:r>
    </w:p>
    <w:tbl>
      <w:tblPr>
        <w:tblW w:w="8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907"/>
        <w:gridCol w:w="2382"/>
        <w:gridCol w:w="2431"/>
      </w:tblGrid>
      <w:tr w:rsidR="00000000">
        <w:trPr>
          <w:trHeight w:val="289"/>
        </w:trPr>
        <w:tc>
          <w:tcPr>
            <w:tcW w:w="3907" w:type="dxa"/>
          </w:tcPr>
          <w:p w:rsidR="00000000" w:rsidRDefault="00EE53FD">
            <w:pPr>
              <w:rPr>
                <w:rFonts w:ascii="宋体" w:hAnsi="宋体" w:hint="eastAsia"/>
                <w:szCs w:val="21"/>
              </w:rPr>
            </w:pPr>
            <w:r>
              <w:rPr>
                <w:rFonts w:ascii="宋体" w:hAnsi="宋体" w:hint="eastAsia"/>
                <w:szCs w:val="21"/>
              </w:rPr>
              <w:t>基金名称</w:t>
            </w:r>
          </w:p>
        </w:tc>
        <w:tc>
          <w:tcPr>
            <w:tcW w:w="4813" w:type="dxa"/>
            <w:gridSpan w:val="2"/>
          </w:tcPr>
          <w:p w:rsidR="00000000" w:rsidRDefault="00EE53FD">
            <w:pPr>
              <w:rPr>
                <w:rFonts w:ascii="宋体" w:hAnsi="宋体" w:hint="eastAsia"/>
                <w:szCs w:val="21"/>
              </w:rPr>
            </w:pPr>
            <w:bookmarkStart w:id="9" w:name="t_2_1_0009_a1_fm1"/>
            <w:bookmarkEnd w:id="9"/>
            <w:r>
              <w:rPr>
                <w:rFonts w:ascii="宋体" w:hAnsi="宋体" w:hint="eastAsia"/>
                <w:szCs w:val="21"/>
              </w:rPr>
              <w:t>银华智享混合型证券投资基金</w:t>
            </w:r>
          </w:p>
        </w:tc>
      </w:tr>
      <w:tr w:rsidR="00000000">
        <w:trPr>
          <w:trHeight w:val="322"/>
        </w:trPr>
        <w:tc>
          <w:tcPr>
            <w:tcW w:w="3907" w:type="dxa"/>
          </w:tcPr>
          <w:p w:rsidR="00000000" w:rsidRDefault="00EE53FD">
            <w:pPr>
              <w:tabs>
                <w:tab w:val="left" w:pos="1473"/>
              </w:tabs>
              <w:rPr>
                <w:rFonts w:ascii="宋体" w:hAnsi="宋体" w:hint="eastAsia"/>
                <w:szCs w:val="21"/>
              </w:rPr>
            </w:pPr>
            <w:r>
              <w:rPr>
                <w:rFonts w:ascii="宋体" w:hAnsi="宋体" w:hint="eastAsia"/>
                <w:szCs w:val="21"/>
              </w:rPr>
              <w:t>基金简称</w:t>
            </w:r>
            <w:r>
              <w:rPr>
                <w:rFonts w:ascii="宋体" w:hAnsi="宋体"/>
                <w:szCs w:val="21"/>
              </w:rPr>
              <w:tab/>
            </w:r>
          </w:p>
        </w:tc>
        <w:tc>
          <w:tcPr>
            <w:tcW w:w="4813" w:type="dxa"/>
            <w:gridSpan w:val="2"/>
          </w:tcPr>
          <w:p w:rsidR="00000000" w:rsidRDefault="00EE53FD">
            <w:pPr>
              <w:rPr>
                <w:rFonts w:ascii="宋体" w:hAnsi="宋体" w:hint="eastAsia"/>
                <w:szCs w:val="21"/>
              </w:rPr>
            </w:pPr>
            <w:bookmarkStart w:id="10" w:name="t_2_1_0011_a1_fm1"/>
            <w:bookmarkEnd w:id="10"/>
            <w:r>
              <w:rPr>
                <w:rFonts w:ascii="宋体" w:hAnsi="宋体" w:hint="eastAsia"/>
                <w:szCs w:val="21"/>
              </w:rPr>
              <w:t>银华</w:t>
            </w:r>
            <w:r>
              <w:rPr>
                <w:rFonts w:ascii="宋体" w:hAnsi="宋体" w:hint="eastAsia"/>
                <w:szCs w:val="21"/>
              </w:rPr>
              <w:t>智享混合</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基金主代码</w:t>
            </w:r>
          </w:p>
        </w:tc>
        <w:tc>
          <w:tcPr>
            <w:tcW w:w="4813" w:type="dxa"/>
            <w:gridSpan w:val="2"/>
          </w:tcPr>
          <w:p w:rsidR="00000000" w:rsidRDefault="00EE53FD">
            <w:pPr>
              <w:rPr>
                <w:rFonts w:ascii="宋体" w:hAnsi="宋体" w:hint="eastAsia"/>
                <w:szCs w:val="21"/>
              </w:rPr>
            </w:pPr>
            <w:bookmarkStart w:id="11" w:name="t_2_1_0012_a1_fm1"/>
            <w:bookmarkEnd w:id="11"/>
            <w:r>
              <w:rPr>
                <w:rFonts w:ascii="宋体" w:hAnsi="宋体"/>
                <w:szCs w:val="21"/>
              </w:rPr>
              <w:t>026261</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基金运作方式</w:t>
            </w:r>
          </w:p>
        </w:tc>
        <w:tc>
          <w:tcPr>
            <w:tcW w:w="4813" w:type="dxa"/>
            <w:gridSpan w:val="2"/>
          </w:tcPr>
          <w:p w:rsidR="00000000" w:rsidRDefault="00EE53FD">
            <w:pPr>
              <w:rPr>
                <w:rFonts w:ascii="宋体" w:hAnsi="宋体" w:hint="eastAsia"/>
                <w:szCs w:val="21"/>
              </w:rPr>
            </w:pPr>
            <w:bookmarkStart w:id="12" w:name="t_2_1_0017_a1_fm1"/>
            <w:bookmarkEnd w:id="12"/>
            <w:r>
              <w:rPr>
                <w:rFonts w:ascii="宋体" w:hAnsi="宋体" w:hint="eastAsia"/>
                <w:szCs w:val="21"/>
              </w:rPr>
              <w:t>契约型开放式</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基金合同生效日</w:t>
            </w:r>
          </w:p>
        </w:tc>
        <w:tc>
          <w:tcPr>
            <w:tcW w:w="4813" w:type="dxa"/>
            <w:gridSpan w:val="2"/>
          </w:tcPr>
          <w:p w:rsidR="00000000" w:rsidRDefault="00EE53FD">
            <w:pPr>
              <w:rPr>
                <w:rFonts w:ascii="宋体" w:hAnsi="宋体" w:hint="eastAsia"/>
                <w:szCs w:val="21"/>
              </w:rPr>
            </w:pPr>
            <w:bookmarkStart w:id="13" w:name="t_2_1_0018_a1_fm1"/>
            <w:bookmarkEnd w:id="13"/>
            <w:r>
              <w:rPr>
                <w:rFonts w:ascii="宋体" w:hAnsi="宋体" w:hint="eastAsia"/>
                <w:szCs w:val="21"/>
              </w:rPr>
              <w:t>202</w:t>
            </w:r>
            <w:r>
              <w:rPr>
                <w:rFonts w:ascii="宋体" w:hAnsi="宋体"/>
                <w:szCs w:val="21"/>
              </w:rPr>
              <w:t>6</w:t>
            </w:r>
            <w:r>
              <w:rPr>
                <w:rFonts w:ascii="宋体" w:hAnsi="宋体" w:hint="eastAsia"/>
                <w:szCs w:val="21"/>
              </w:rPr>
              <w:t>年</w:t>
            </w:r>
            <w:r>
              <w:rPr>
                <w:rFonts w:ascii="宋体" w:hAnsi="宋体" w:hint="eastAsia"/>
                <w:szCs w:val="21"/>
              </w:rPr>
              <w:t>2</w:t>
            </w:r>
            <w:r>
              <w:rPr>
                <w:rFonts w:ascii="宋体" w:hAnsi="宋体" w:hint="eastAsia"/>
                <w:szCs w:val="21"/>
              </w:rPr>
              <w:t>月</w:t>
            </w:r>
            <w:r>
              <w:rPr>
                <w:rFonts w:ascii="宋体" w:hAnsi="宋体"/>
                <w:szCs w:val="21"/>
              </w:rPr>
              <w:t>1</w:t>
            </w:r>
            <w:r>
              <w:rPr>
                <w:rFonts w:ascii="宋体" w:hAnsi="宋体" w:hint="eastAsia"/>
                <w:szCs w:val="21"/>
              </w:rPr>
              <w:t>0</w:t>
            </w:r>
            <w:r>
              <w:rPr>
                <w:rFonts w:ascii="宋体" w:hAnsi="宋体" w:hint="eastAsia"/>
                <w:szCs w:val="21"/>
              </w:rPr>
              <w:t>日</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基金管理人名称</w:t>
            </w:r>
          </w:p>
        </w:tc>
        <w:tc>
          <w:tcPr>
            <w:tcW w:w="4813" w:type="dxa"/>
            <w:gridSpan w:val="2"/>
          </w:tcPr>
          <w:p w:rsidR="00000000" w:rsidRDefault="00EE53FD">
            <w:pPr>
              <w:rPr>
                <w:rFonts w:ascii="宋体" w:hAnsi="宋体" w:hint="eastAsia"/>
                <w:szCs w:val="21"/>
              </w:rPr>
            </w:pPr>
            <w:bookmarkStart w:id="14" w:name="t_2_1_0186_a1_fm1"/>
            <w:bookmarkEnd w:id="14"/>
            <w:r>
              <w:rPr>
                <w:rFonts w:ascii="宋体" w:hAnsi="宋体" w:hint="eastAsia"/>
                <w:szCs w:val="21"/>
              </w:rPr>
              <w:t>银华基金管理股份有限公司</w:t>
            </w:r>
          </w:p>
        </w:tc>
      </w:tr>
      <w:tr w:rsidR="00000000">
        <w:trPr>
          <w:trHeight w:val="279"/>
        </w:trPr>
        <w:tc>
          <w:tcPr>
            <w:tcW w:w="3907" w:type="dxa"/>
          </w:tcPr>
          <w:p w:rsidR="00000000" w:rsidRDefault="00EE53FD">
            <w:pPr>
              <w:rPr>
                <w:rFonts w:ascii="宋体" w:hAnsi="宋体" w:hint="eastAsia"/>
                <w:szCs w:val="21"/>
              </w:rPr>
            </w:pPr>
            <w:r>
              <w:rPr>
                <w:rFonts w:ascii="宋体" w:hAnsi="宋体" w:hint="eastAsia"/>
                <w:szCs w:val="21"/>
              </w:rPr>
              <w:t>基金托管人名称</w:t>
            </w:r>
          </w:p>
        </w:tc>
        <w:tc>
          <w:tcPr>
            <w:tcW w:w="4813" w:type="dxa"/>
            <w:gridSpan w:val="2"/>
          </w:tcPr>
          <w:p w:rsidR="00000000" w:rsidRDefault="00EE53FD">
            <w:pPr>
              <w:rPr>
                <w:rFonts w:ascii="宋体" w:hAnsi="宋体" w:hint="eastAsia"/>
                <w:szCs w:val="21"/>
              </w:rPr>
            </w:pPr>
            <w:bookmarkStart w:id="15" w:name="t_2_1_0213_a1_fm1"/>
            <w:bookmarkEnd w:id="15"/>
            <w:r>
              <w:rPr>
                <w:rFonts w:ascii="宋体" w:hAnsi="宋体" w:hint="eastAsia"/>
                <w:szCs w:val="21"/>
              </w:rPr>
              <w:t>中国建设银行股份有限公司</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基金注册登记机构名称</w:t>
            </w:r>
          </w:p>
        </w:tc>
        <w:tc>
          <w:tcPr>
            <w:tcW w:w="4813" w:type="dxa"/>
            <w:gridSpan w:val="2"/>
          </w:tcPr>
          <w:p w:rsidR="00000000" w:rsidRDefault="00EE53FD">
            <w:pPr>
              <w:rPr>
                <w:rFonts w:ascii="宋体" w:hAnsi="宋体" w:hint="eastAsia"/>
                <w:szCs w:val="21"/>
              </w:rPr>
            </w:pPr>
            <w:bookmarkStart w:id="16" w:name="t_2_1_0310_a1_fm1"/>
            <w:bookmarkEnd w:id="16"/>
            <w:r>
              <w:rPr>
                <w:rFonts w:ascii="宋体" w:hAnsi="宋体" w:hint="eastAsia"/>
                <w:szCs w:val="21"/>
              </w:rPr>
              <w:t>银华基金管理股份有限公司</w:t>
            </w:r>
          </w:p>
        </w:tc>
      </w:tr>
      <w:tr w:rsidR="00000000">
        <w:trPr>
          <w:trHeight w:val="1880"/>
        </w:trPr>
        <w:tc>
          <w:tcPr>
            <w:tcW w:w="3907" w:type="dxa"/>
          </w:tcPr>
          <w:p w:rsidR="00000000" w:rsidRDefault="00EE53FD">
            <w:pPr>
              <w:rPr>
                <w:rFonts w:ascii="宋体" w:hAnsi="宋体" w:hint="eastAsia"/>
                <w:szCs w:val="21"/>
              </w:rPr>
            </w:pPr>
            <w:r>
              <w:rPr>
                <w:rFonts w:ascii="宋体" w:hAnsi="宋体" w:hint="eastAsia"/>
                <w:szCs w:val="21"/>
              </w:rPr>
              <w:t>公告依据</w:t>
            </w:r>
          </w:p>
        </w:tc>
        <w:tc>
          <w:tcPr>
            <w:tcW w:w="4813" w:type="dxa"/>
            <w:gridSpan w:val="2"/>
          </w:tcPr>
          <w:p w:rsidR="00000000" w:rsidRDefault="00EE53FD">
            <w:pPr>
              <w:rPr>
                <w:rFonts w:ascii="宋体" w:hAnsi="宋体" w:hint="eastAsia"/>
                <w:szCs w:val="21"/>
              </w:rPr>
            </w:pPr>
            <w:bookmarkStart w:id="17" w:name="t_2_1_2631_a1_fm1"/>
            <w:bookmarkEnd w:id="17"/>
            <w:r>
              <w:rPr>
                <w:rFonts w:ascii="宋体" w:hAnsi="宋体" w:hint="eastAsia"/>
                <w:szCs w:val="21"/>
              </w:rPr>
              <w:t>《中华人民共和国证券投资基金法》、《公开募集证券投资基金运作管理办法》</w:t>
            </w:r>
            <w:r>
              <w:rPr>
                <w:rFonts w:ascii="宋体" w:hAnsi="宋体" w:hint="eastAsia"/>
                <w:szCs w:val="21"/>
              </w:rPr>
              <w:t>等法律法规以及《</w:t>
            </w:r>
            <w:r>
              <w:rPr>
                <w:rFonts w:ascii="宋体" w:hAnsi="宋体" w:hint="eastAsia"/>
                <w:szCs w:val="21"/>
              </w:rPr>
              <w:t>银华智享混合型证券投资基金</w:t>
            </w:r>
            <w:r>
              <w:rPr>
                <w:rFonts w:ascii="宋体" w:hAnsi="宋体" w:hint="eastAsia"/>
                <w:szCs w:val="21"/>
              </w:rPr>
              <w:t>基金合同》（以下简称“《基金合同》”或“基金合同”）、《</w:t>
            </w:r>
            <w:r>
              <w:rPr>
                <w:rFonts w:ascii="宋体" w:hAnsi="宋体" w:hint="eastAsia"/>
                <w:szCs w:val="21"/>
              </w:rPr>
              <w:t>银华智享混合型证券投资基金</w:t>
            </w:r>
            <w:r>
              <w:rPr>
                <w:rFonts w:ascii="宋体" w:hAnsi="宋体" w:hint="eastAsia"/>
                <w:szCs w:val="21"/>
              </w:rPr>
              <w:t>招募说明书》</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申购起始日</w:t>
            </w:r>
          </w:p>
        </w:tc>
        <w:tc>
          <w:tcPr>
            <w:tcW w:w="4813" w:type="dxa"/>
            <w:gridSpan w:val="2"/>
          </w:tcPr>
          <w:p w:rsidR="00000000" w:rsidRDefault="00EE53FD">
            <w:pPr>
              <w:rPr>
                <w:rFonts w:ascii="宋体" w:hAnsi="宋体" w:hint="eastAsia"/>
                <w:szCs w:val="21"/>
              </w:rPr>
            </w:pPr>
            <w:bookmarkStart w:id="18" w:name="t_2_1_2660_a1_fm1"/>
            <w:bookmarkEnd w:id="18"/>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8</w:t>
            </w:r>
            <w:r>
              <w:rPr>
                <w:rFonts w:ascii="宋体" w:hAnsi="宋体" w:hint="eastAsia"/>
                <w:szCs w:val="21"/>
              </w:rPr>
              <w:t>日</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赎回起始日</w:t>
            </w:r>
          </w:p>
        </w:tc>
        <w:tc>
          <w:tcPr>
            <w:tcW w:w="4813" w:type="dxa"/>
            <w:gridSpan w:val="2"/>
          </w:tcPr>
          <w:p w:rsidR="00000000" w:rsidRDefault="00EE53FD">
            <w:pPr>
              <w:rPr>
                <w:rFonts w:ascii="宋体" w:hAnsi="宋体" w:hint="eastAsia"/>
                <w:szCs w:val="21"/>
              </w:rPr>
            </w:pPr>
            <w:bookmarkStart w:id="19" w:name="t_2_1_2661_a1_fm1"/>
            <w:bookmarkEnd w:id="19"/>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8</w:t>
            </w:r>
            <w:r>
              <w:rPr>
                <w:rFonts w:ascii="宋体" w:hAnsi="宋体" w:hint="eastAsia"/>
                <w:szCs w:val="21"/>
              </w:rPr>
              <w:t>日</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转换转入起始日</w:t>
            </w:r>
          </w:p>
        </w:tc>
        <w:tc>
          <w:tcPr>
            <w:tcW w:w="4813" w:type="dxa"/>
            <w:gridSpan w:val="2"/>
          </w:tcPr>
          <w:p w:rsidR="00000000" w:rsidRDefault="00EE53FD">
            <w:pPr>
              <w:rPr>
                <w:rFonts w:ascii="宋体" w:hAnsi="宋体" w:hint="eastAsia"/>
                <w:szCs w:val="21"/>
              </w:rPr>
            </w:pPr>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8</w:t>
            </w:r>
            <w:r>
              <w:rPr>
                <w:rFonts w:ascii="宋体" w:hAnsi="宋体" w:hint="eastAsia"/>
                <w:szCs w:val="21"/>
              </w:rPr>
              <w:t>日</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转换转出起始日</w:t>
            </w:r>
          </w:p>
        </w:tc>
        <w:tc>
          <w:tcPr>
            <w:tcW w:w="4813" w:type="dxa"/>
            <w:gridSpan w:val="2"/>
          </w:tcPr>
          <w:p w:rsidR="00000000" w:rsidRDefault="00EE53FD">
            <w:pPr>
              <w:rPr>
                <w:rFonts w:ascii="宋体" w:hAnsi="宋体" w:hint="eastAsia"/>
                <w:szCs w:val="21"/>
              </w:rPr>
            </w:pPr>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8</w:t>
            </w:r>
            <w:r>
              <w:rPr>
                <w:rFonts w:ascii="宋体" w:hAnsi="宋体" w:hint="eastAsia"/>
                <w:szCs w:val="21"/>
              </w:rPr>
              <w:t>日</w:t>
            </w:r>
          </w:p>
        </w:tc>
      </w:tr>
      <w:tr w:rsidR="00000000">
        <w:trPr>
          <w:trHeight w:val="322"/>
        </w:trPr>
        <w:tc>
          <w:tcPr>
            <w:tcW w:w="3907" w:type="dxa"/>
          </w:tcPr>
          <w:p w:rsidR="00000000" w:rsidRDefault="00EE53FD">
            <w:pPr>
              <w:rPr>
                <w:rFonts w:ascii="宋体" w:hAnsi="宋体" w:hint="eastAsia"/>
                <w:szCs w:val="21"/>
              </w:rPr>
            </w:pPr>
            <w:r>
              <w:rPr>
                <w:rFonts w:ascii="宋体" w:hAnsi="宋体" w:hint="eastAsia"/>
                <w:szCs w:val="21"/>
              </w:rPr>
              <w:t>定期定额投资起始日</w:t>
            </w:r>
          </w:p>
        </w:tc>
        <w:tc>
          <w:tcPr>
            <w:tcW w:w="4813" w:type="dxa"/>
            <w:gridSpan w:val="2"/>
          </w:tcPr>
          <w:p w:rsidR="00000000" w:rsidRDefault="00EE53FD">
            <w:pPr>
              <w:rPr>
                <w:rFonts w:ascii="宋体" w:hAnsi="宋体" w:hint="eastAsia"/>
                <w:szCs w:val="21"/>
              </w:rPr>
            </w:pPr>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8</w:t>
            </w:r>
            <w:r>
              <w:rPr>
                <w:rFonts w:ascii="宋体" w:hAnsi="宋体" w:hint="eastAsia"/>
                <w:szCs w:val="21"/>
              </w:rPr>
              <w:t>日</w:t>
            </w:r>
          </w:p>
        </w:tc>
      </w:tr>
      <w:tr w:rsidR="00000000">
        <w:trPr>
          <w:trHeight w:val="379"/>
        </w:trPr>
        <w:tc>
          <w:tcPr>
            <w:tcW w:w="3907" w:type="dxa"/>
          </w:tcPr>
          <w:p w:rsidR="00000000" w:rsidRDefault="00EE53FD">
            <w:pPr>
              <w:rPr>
                <w:rFonts w:ascii="宋体" w:hAnsi="宋体" w:hint="eastAsia"/>
                <w:szCs w:val="21"/>
              </w:rPr>
            </w:pPr>
            <w:r>
              <w:rPr>
                <w:rFonts w:ascii="宋体" w:hAnsi="宋体" w:hint="eastAsia"/>
                <w:szCs w:val="21"/>
              </w:rPr>
              <w:t>下属各类基金的基金简称</w:t>
            </w:r>
          </w:p>
        </w:tc>
        <w:tc>
          <w:tcPr>
            <w:tcW w:w="2382" w:type="dxa"/>
          </w:tcPr>
          <w:p w:rsidR="00000000" w:rsidRDefault="00EE53FD">
            <w:pPr>
              <w:jc w:val="center"/>
              <w:rPr>
                <w:rFonts w:ascii="宋体" w:hAnsi="宋体" w:cs="宋体" w:hint="eastAsia"/>
                <w:szCs w:val="21"/>
              </w:rPr>
            </w:pPr>
            <w:r>
              <w:rPr>
                <w:rFonts w:ascii="宋体" w:hAnsi="宋体" w:hint="eastAsia"/>
                <w:szCs w:val="21"/>
              </w:rPr>
              <w:t>银华智享混合</w:t>
            </w:r>
            <w:r>
              <w:rPr>
                <w:rFonts w:ascii="宋体" w:hAnsi="宋体" w:hint="eastAsia"/>
                <w:szCs w:val="21"/>
              </w:rPr>
              <w:t>A</w:t>
            </w:r>
          </w:p>
        </w:tc>
        <w:tc>
          <w:tcPr>
            <w:tcW w:w="2431" w:type="dxa"/>
          </w:tcPr>
          <w:p w:rsidR="00000000" w:rsidRDefault="00EE53FD">
            <w:pPr>
              <w:jc w:val="center"/>
              <w:rPr>
                <w:rFonts w:ascii="宋体" w:hAnsi="宋体" w:cs="宋体" w:hint="eastAsia"/>
                <w:szCs w:val="24"/>
              </w:rPr>
            </w:pPr>
            <w:r>
              <w:rPr>
                <w:rFonts w:ascii="宋体" w:hAnsi="宋体" w:hint="eastAsia"/>
                <w:szCs w:val="21"/>
              </w:rPr>
              <w:t>银华智享混合</w:t>
            </w:r>
            <w:r>
              <w:rPr>
                <w:rFonts w:ascii="宋体" w:hAnsi="宋体" w:hint="eastAsia"/>
                <w:szCs w:val="21"/>
              </w:rPr>
              <w:t>C</w:t>
            </w:r>
          </w:p>
        </w:tc>
      </w:tr>
      <w:tr w:rsidR="00000000">
        <w:trPr>
          <w:trHeight w:val="343"/>
        </w:trPr>
        <w:tc>
          <w:tcPr>
            <w:tcW w:w="3907" w:type="dxa"/>
          </w:tcPr>
          <w:p w:rsidR="00000000" w:rsidRDefault="00EE53FD">
            <w:pPr>
              <w:rPr>
                <w:rFonts w:ascii="宋体" w:hAnsi="宋体" w:hint="eastAsia"/>
                <w:szCs w:val="21"/>
              </w:rPr>
            </w:pPr>
            <w:r>
              <w:rPr>
                <w:rFonts w:ascii="宋体" w:hAnsi="宋体" w:hint="eastAsia"/>
                <w:szCs w:val="21"/>
              </w:rPr>
              <w:t>下属各类基金的交易代码</w:t>
            </w:r>
          </w:p>
        </w:tc>
        <w:tc>
          <w:tcPr>
            <w:tcW w:w="2382" w:type="dxa"/>
          </w:tcPr>
          <w:p w:rsidR="00000000" w:rsidRDefault="00EE53FD">
            <w:pPr>
              <w:jc w:val="center"/>
              <w:rPr>
                <w:rFonts w:ascii="宋体" w:hAnsi="宋体" w:cs="宋体" w:hint="eastAsia"/>
                <w:szCs w:val="24"/>
              </w:rPr>
            </w:pPr>
            <w:r>
              <w:rPr>
                <w:rFonts w:ascii="宋体" w:hAnsi="宋体"/>
                <w:szCs w:val="21"/>
              </w:rPr>
              <w:t>026261</w:t>
            </w:r>
          </w:p>
        </w:tc>
        <w:tc>
          <w:tcPr>
            <w:tcW w:w="2431" w:type="dxa"/>
          </w:tcPr>
          <w:p w:rsidR="00000000" w:rsidRDefault="00EE53FD">
            <w:pPr>
              <w:jc w:val="center"/>
              <w:rPr>
                <w:rFonts w:ascii="宋体" w:hAnsi="宋体" w:cs="宋体"/>
                <w:szCs w:val="24"/>
              </w:rPr>
            </w:pPr>
            <w:r>
              <w:rPr>
                <w:rFonts w:ascii="宋体" w:hAnsi="宋体"/>
                <w:szCs w:val="21"/>
              </w:rPr>
              <w:t>026262</w:t>
            </w:r>
          </w:p>
        </w:tc>
      </w:tr>
      <w:tr w:rsidR="00000000">
        <w:trPr>
          <w:trHeight w:val="644"/>
        </w:trPr>
        <w:tc>
          <w:tcPr>
            <w:tcW w:w="3907" w:type="dxa"/>
          </w:tcPr>
          <w:p w:rsidR="00000000" w:rsidRDefault="00EE53FD">
            <w:pPr>
              <w:rPr>
                <w:rFonts w:ascii="宋体" w:hAnsi="宋体" w:hint="eastAsia"/>
                <w:szCs w:val="21"/>
              </w:rPr>
            </w:pPr>
            <w:r>
              <w:rPr>
                <w:rFonts w:ascii="宋体" w:hAnsi="宋体" w:hint="eastAsia"/>
                <w:szCs w:val="21"/>
              </w:rPr>
              <w:t>是否开放申购、赎回、定期定额投资及转换业务</w:t>
            </w:r>
          </w:p>
        </w:tc>
        <w:tc>
          <w:tcPr>
            <w:tcW w:w="2382" w:type="dxa"/>
            <w:vAlign w:val="center"/>
          </w:tcPr>
          <w:p w:rsidR="00000000" w:rsidRDefault="00EE53FD">
            <w:pPr>
              <w:jc w:val="center"/>
              <w:rPr>
                <w:rFonts w:ascii="宋体" w:hAnsi="宋体" w:cs="宋体" w:hint="eastAsia"/>
                <w:szCs w:val="24"/>
              </w:rPr>
            </w:pPr>
            <w:r>
              <w:rPr>
                <w:rFonts w:ascii="宋体" w:hAnsi="宋体" w:cs="宋体" w:hint="eastAsia"/>
                <w:szCs w:val="24"/>
              </w:rPr>
              <w:t>是</w:t>
            </w:r>
          </w:p>
        </w:tc>
        <w:tc>
          <w:tcPr>
            <w:tcW w:w="2431" w:type="dxa"/>
            <w:vAlign w:val="center"/>
          </w:tcPr>
          <w:p w:rsidR="00000000" w:rsidRDefault="00EE53FD">
            <w:pPr>
              <w:jc w:val="center"/>
              <w:rPr>
                <w:rFonts w:ascii="宋体" w:hAnsi="宋体" w:cs="宋体" w:hint="eastAsia"/>
                <w:szCs w:val="24"/>
              </w:rPr>
            </w:pPr>
            <w:r>
              <w:rPr>
                <w:rFonts w:ascii="宋体" w:hAnsi="宋体" w:cs="宋体" w:hint="eastAsia"/>
                <w:szCs w:val="24"/>
              </w:rPr>
              <w:t>是</w:t>
            </w:r>
          </w:p>
        </w:tc>
      </w:tr>
    </w:tbl>
    <w:p w:rsidR="00000000" w:rsidRDefault="00EE53FD">
      <w:pPr>
        <w:pStyle w:val="2"/>
        <w:spacing w:beforeLines="50" w:afterLines="50" w:line="240" w:lineRule="auto"/>
        <w:rPr>
          <w:rFonts w:ascii="宋体" w:eastAsia="宋体" w:hAnsi="宋体" w:hint="eastAsia"/>
          <w:bCs/>
          <w:sz w:val="24"/>
          <w:szCs w:val="24"/>
        </w:rPr>
      </w:pPr>
      <w:r>
        <w:rPr>
          <w:rFonts w:ascii="宋体" w:eastAsia="宋体" w:hAnsi="宋体" w:hint="eastAsia"/>
          <w:bCs/>
          <w:sz w:val="24"/>
          <w:szCs w:val="24"/>
        </w:rPr>
        <w:t xml:space="preserve">2 </w:t>
      </w:r>
      <w:bookmarkStart w:id="20" w:name="t_2_2_table"/>
      <w:bookmarkEnd w:id="20"/>
      <w:r>
        <w:rPr>
          <w:rFonts w:ascii="宋体" w:eastAsia="宋体" w:hAnsi="宋体" w:hint="eastAsia"/>
          <w:bCs/>
          <w:sz w:val="24"/>
          <w:szCs w:val="24"/>
        </w:rPr>
        <w:t>本基金日常申购、</w:t>
      </w:r>
      <w:r>
        <w:rPr>
          <w:rFonts w:ascii="宋体" w:eastAsia="宋体" w:hAnsi="宋体" w:hint="eastAsia"/>
          <w:bCs/>
          <w:sz w:val="24"/>
          <w:szCs w:val="24"/>
        </w:rPr>
        <w:t>赎回、定期定额投资及转换业务的办理时间</w:t>
      </w:r>
    </w:p>
    <w:p w:rsidR="00000000" w:rsidRDefault="00EE53FD">
      <w:pPr>
        <w:adjustRightInd w:val="0"/>
        <w:snapToGrid w:val="0"/>
        <w:spacing w:line="360" w:lineRule="auto"/>
        <w:ind w:firstLineChars="200" w:firstLine="420"/>
        <w:rPr>
          <w:rFonts w:ascii="宋体" w:hAnsi="宋体" w:cs="宋体" w:hint="eastAsia"/>
          <w:szCs w:val="21"/>
        </w:rPr>
      </w:pPr>
      <w:bookmarkStart w:id="21" w:name="t_2_2_2819_a1_fm1"/>
      <w:bookmarkEnd w:id="21"/>
      <w:r>
        <w:rPr>
          <w:rFonts w:ascii="宋体" w:hAnsi="宋体" w:cs="宋体" w:hint="eastAsia"/>
          <w:szCs w:val="21"/>
        </w:rPr>
        <w:t>投资人在开放日办理基金份额的申购和赎回，开放日的具体业务办理时间为上海证券交易所、深圳证券交易所的正常交易日的交易时间（若本基金参与港股通交易，且该工作日为非港股通交易日或该工作日港股通暂停交易时，则基金管理人可根据实际情况决定本基金是否开放申购、赎回及转换业务，具体以届时的公告为准），但基金管理人根据法律法规、中国证监会的要求或基金合同的规定公告暂停申购、赎回时除外。基金合同生效后，若出现不可抗力、新的证券</w:t>
      </w:r>
      <w:r>
        <w:rPr>
          <w:rFonts w:ascii="宋体" w:hAnsi="宋体" w:cs="宋体" w:hint="eastAsia"/>
          <w:szCs w:val="21"/>
        </w:rPr>
        <w:t>/</w:t>
      </w:r>
      <w:r>
        <w:rPr>
          <w:rFonts w:ascii="宋体" w:hAnsi="宋体" w:cs="宋体" w:hint="eastAsia"/>
          <w:szCs w:val="21"/>
        </w:rPr>
        <w:t>期货交易市场、证券</w:t>
      </w:r>
      <w:r>
        <w:rPr>
          <w:rFonts w:ascii="宋体" w:hAnsi="宋体" w:cs="宋体" w:hint="eastAsia"/>
          <w:szCs w:val="21"/>
        </w:rPr>
        <w:t>/</w:t>
      </w:r>
      <w:r>
        <w:rPr>
          <w:rFonts w:ascii="宋体" w:hAnsi="宋体" w:cs="宋体" w:hint="eastAsia"/>
          <w:szCs w:val="21"/>
        </w:rPr>
        <w:t>期货交易所交易时间变更、港股通交易规则</w:t>
      </w:r>
      <w:r>
        <w:rPr>
          <w:rFonts w:ascii="宋体" w:hAnsi="宋体" w:cs="宋体" w:hint="eastAsia"/>
          <w:szCs w:val="21"/>
        </w:rPr>
        <w:t>变更或</w:t>
      </w:r>
      <w:r>
        <w:rPr>
          <w:rFonts w:ascii="宋体" w:hAnsi="宋体" w:cs="宋体" w:hint="eastAsia"/>
          <w:szCs w:val="21"/>
        </w:rPr>
        <w:lastRenderedPageBreak/>
        <w:t>其他特殊情况或根据业务需要，基金管理人有权视情况对前述开放日及开放时间进行相应的调整，但应在实施日前依照《信息披露办法》的有关规定在规定媒介上公告。</w:t>
      </w:r>
    </w:p>
    <w:p w:rsidR="00000000" w:rsidRDefault="00EE53FD">
      <w:pPr>
        <w:pStyle w:val="2"/>
        <w:spacing w:beforeLines="50" w:afterLines="50" w:line="240" w:lineRule="auto"/>
        <w:rPr>
          <w:rFonts w:ascii="宋体" w:eastAsia="宋体" w:hAnsi="宋体" w:hint="eastAsia"/>
          <w:bCs/>
          <w:sz w:val="24"/>
          <w:szCs w:val="24"/>
        </w:rPr>
      </w:pPr>
      <w:r>
        <w:rPr>
          <w:rFonts w:ascii="宋体" w:eastAsia="宋体" w:hAnsi="宋体" w:hint="eastAsia"/>
          <w:bCs/>
          <w:sz w:val="24"/>
          <w:szCs w:val="24"/>
        </w:rPr>
        <w:t xml:space="preserve">3 </w:t>
      </w:r>
      <w:r>
        <w:rPr>
          <w:rFonts w:ascii="宋体" w:eastAsia="宋体" w:hAnsi="宋体" w:hint="eastAsia"/>
          <w:bCs/>
          <w:sz w:val="24"/>
          <w:szCs w:val="24"/>
        </w:rPr>
        <w:t>本基金日常申购业务</w:t>
      </w:r>
    </w:p>
    <w:p w:rsidR="00000000" w:rsidRDefault="00EE53FD">
      <w:pPr>
        <w:spacing w:beforeLines="50" w:afterLines="50" w:line="360" w:lineRule="auto"/>
        <w:rPr>
          <w:rFonts w:ascii="宋体" w:hAnsi="宋体"/>
          <w:b/>
          <w:sz w:val="24"/>
        </w:rPr>
      </w:pPr>
      <w:r>
        <w:rPr>
          <w:rFonts w:ascii="宋体" w:hAnsi="宋体" w:hint="eastAsia"/>
          <w:b/>
          <w:sz w:val="24"/>
        </w:rPr>
        <w:t xml:space="preserve">3.1 </w:t>
      </w:r>
      <w:bookmarkStart w:id="22" w:name="t_2_3_1_table"/>
      <w:bookmarkEnd w:id="22"/>
      <w:r>
        <w:rPr>
          <w:rFonts w:ascii="宋体" w:hAnsi="宋体" w:hint="eastAsia"/>
          <w:b/>
          <w:sz w:val="24"/>
        </w:rPr>
        <w:t>申购金额限制</w:t>
      </w:r>
    </w:p>
    <w:p w:rsidR="00000000" w:rsidRDefault="00EE53FD">
      <w:pPr>
        <w:pStyle w:val="20"/>
        <w:adjustRightInd w:val="0"/>
        <w:snapToGrid w:val="0"/>
        <w:rPr>
          <w:rFonts w:cs="宋体" w:hint="eastAsia"/>
          <w:szCs w:val="21"/>
        </w:rPr>
      </w:pPr>
      <w:bookmarkStart w:id="23" w:name="t_2_3_1_2820_a1_fm1"/>
      <w:bookmarkEnd w:id="23"/>
      <w:r>
        <w:rPr>
          <w:rFonts w:cs="宋体" w:hint="eastAsia"/>
          <w:szCs w:val="21"/>
        </w:rPr>
        <w:t>在本基金代销机构的销售网点及网上直销交易系统进行申购时，每个基金账户首笔申购的最低金额为人民币</w:t>
      </w:r>
      <w:r>
        <w:rPr>
          <w:rFonts w:cs="宋体" w:hint="eastAsia"/>
          <w:szCs w:val="21"/>
        </w:rPr>
        <w:t>10</w:t>
      </w:r>
      <w:r>
        <w:rPr>
          <w:rFonts w:cs="宋体" w:hint="eastAsia"/>
          <w:szCs w:val="21"/>
        </w:rPr>
        <w:t>元，每笔追加申购的最低金额为人民币</w:t>
      </w:r>
      <w:r>
        <w:rPr>
          <w:rFonts w:cs="宋体" w:hint="eastAsia"/>
          <w:szCs w:val="21"/>
        </w:rPr>
        <w:t>10</w:t>
      </w:r>
      <w:r>
        <w:rPr>
          <w:rFonts w:cs="宋体" w:hint="eastAsia"/>
          <w:szCs w:val="21"/>
        </w:rPr>
        <w:t>元。直销中心办理业务时以其相关规则为准。基金管理人直销机构或代销机构对最低申购限额及交易级差另有规定的，从其规定，但不得低于上述最低申购金额。</w:t>
      </w:r>
    </w:p>
    <w:p w:rsidR="00000000" w:rsidRDefault="00EE53FD">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本基金管理人有权对单个投资人累</w:t>
      </w:r>
      <w:r>
        <w:rPr>
          <w:rFonts w:ascii="宋体" w:hAnsi="宋体" w:cs="宋体" w:hint="eastAsia"/>
          <w:szCs w:val="21"/>
        </w:rPr>
        <w:t>计持有的基金份额上限或累计持有的基金份额占基金份额总数的比例上限进行限制，具体规定请参见更新的招募说明书或相关公告。如本基金单一投资人累计申购的基金份额数达到或者超过基金总份额的</w:t>
      </w:r>
      <w:r>
        <w:rPr>
          <w:rFonts w:ascii="宋体" w:hAnsi="宋体" w:cs="宋体" w:hint="eastAsia"/>
          <w:szCs w:val="21"/>
        </w:rPr>
        <w:t>50%</w:t>
      </w:r>
      <w:r>
        <w:rPr>
          <w:rFonts w:ascii="宋体" w:hAnsi="宋体" w:cs="宋体" w:hint="eastAsia"/>
          <w:szCs w:val="21"/>
        </w:rPr>
        <w:t>，基金管理人有权对该投资人的申购申请进行限制。基金管理人接受某笔或者某些申购申请有可能导致单一投资人持有基金份额的比例达到或者超过</w:t>
      </w:r>
      <w:r>
        <w:rPr>
          <w:rFonts w:ascii="宋体" w:hAnsi="宋体" w:cs="宋体" w:hint="eastAsia"/>
          <w:szCs w:val="21"/>
        </w:rPr>
        <w:t>50%</w:t>
      </w:r>
      <w:r>
        <w:rPr>
          <w:rFonts w:ascii="宋体" w:hAnsi="宋体" w:cs="宋体" w:hint="eastAsia"/>
          <w:szCs w:val="21"/>
        </w:rPr>
        <w:t>，或者变相规避前述</w:t>
      </w:r>
      <w:r>
        <w:rPr>
          <w:rFonts w:ascii="宋体" w:hAnsi="宋体" w:cs="宋体" w:hint="eastAsia"/>
          <w:szCs w:val="21"/>
        </w:rPr>
        <w:t>50%</w:t>
      </w:r>
      <w:r>
        <w:rPr>
          <w:rFonts w:ascii="宋体" w:hAnsi="宋体" w:cs="宋体" w:hint="eastAsia"/>
          <w:szCs w:val="21"/>
        </w:rPr>
        <w:t>比例要求的，基金管理人有权拒绝该等全部或者部分申购申请。</w:t>
      </w:r>
    </w:p>
    <w:p w:rsidR="00000000" w:rsidRDefault="00EE53FD">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基金管理人可以规定本基金的总规模限额、单日申购金额限制、单日净申购比例上限、单个投资者单日或单笔申购金额上限，</w:t>
      </w:r>
      <w:r>
        <w:rPr>
          <w:rFonts w:ascii="宋体" w:hAnsi="宋体" w:cs="宋体" w:hint="eastAsia"/>
          <w:szCs w:val="21"/>
        </w:rPr>
        <w:t>具体规定请参见更新的招募说明书或相关公告。</w:t>
      </w:r>
    </w:p>
    <w:p w:rsidR="00000000" w:rsidRDefault="00EE53FD">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rPr>
        <w:t>当接受申购申请对存量基金份额持有人利益构成潜在重大不利影响时，基金管理人应当采取设定单一投资人申购金额上限或基金单日净申购比例上限、拒绝大额申购、暂停基金申购等措施，切实保护存量基金份额持有人的合法权益。基金管理人基于投资运作与风险控制的需要，可采取上述措施对基金规模予以控制。具体见基金管理人相关公告。</w:t>
      </w:r>
    </w:p>
    <w:p w:rsidR="00000000" w:rsidRDefault="00EE53FD">
      <w:pPr>
        <w:adjustRightInd w:val="0"/>
        <w:snapToGrid w:val="0"/>
        <w:spacing w:line="360" w:lineRule="auto"/>
        <w:ind w:firstLineChars="200" w:firstLine="420"/>
        <w:rPr>
          <w:rFonts w:ascii="宋体" w:hAnsi="宋体" w:cs="宋体" w:hint="eastAsia"/>
          <w:szCs w:val="21"/>
        </w:rPr>
      </w:pPr>
      <w:r>
        <w:rPr>
          <w:rFonts w:ascii="宋体" w:hAnsi="宋体" w:cs="宋体" w:hint="eastAsia"/>
          <w:szCs w:val="21"/>
          <w:lang/>
        </w:rPr>
        <w:t>基金管理人可在不违反法律法规的情况下，调整上述规定申购金额的数量限制，或者新增基金规模控制措施。基金管理人应依照《信息披露办法》的有关规定在规定媒介上公告。</w:t>
      </w:r>
    </w:p>
    <w:p w:rsidR="00000000" w:rsidRDefault="00EE53FD">
      <w:pPr>
        <w:spacing w:line="360" w:lineRule="auto"/>
        <w:jc w:val="left"/>
        <w:rPr>
          <w:rFonts w:ascii="宋体" w:hAnsi="宋体" w:hint="eastAsia"/>
          <w:b/>
          <w:sz w:val="24"/>
        </w:rPr>
      </w:pPr>
      <w:r>
        <w:rPr>
          <w:rFonts w:ascii="宋体" w:hAnsi="宋体" w:hint="eastAsia"/>
          <w:b/>
          <w:sz w:val="24"/>
        </w:rPr>
        <w:t>3.</w:t>
      </w:r>
      <w:r>
        <w:rPr>
          <w:rFonts w:ascii="宋体" w:hAnsi="宋体" w:hint="eastAsia"/>
          <w:b/>
          <w:sz w:val="24"/>
        </w:rPr>
        <w:t xml:space="preserve">2 </w:t>
      </w:r>
      <w:bookmarkStart w:id="24" w:name="t_2_3_2_table"/>
      <w:bookmarkEnd w:id="24"/>
      <w:r>
        <w:rPr>
          <w:rFonts w:ascii="宋体" w:hAnsi="宋体" w:hint="eastAsia"/>
          <w:b/>
          <w:sz w:val="24"/>
        </w:rPr>
        <w:t>申购费率</w:t>
      </w:r>
    </w:p>
    <w:p w:rsidR="00000000" w:rsidRDefault="00EE53FD">
      <w:pPr>
        <w:spacing w:beforeLines="50" w:afterLines="50" w:line="360" w:lineRule="auto"/>
        <w:jc w:val="left"/>
        <w:rPr>
          <w:rFonts w:ascii="宋体" w:hAnsi="宋体" w:hint="eastAsia"/>
          <w:b/>
          <w:sz w:val="24"/>
        </w:rPr>
      </w:pPr>
      <w:bookmarkStart w:id="25" w:name="t_2_3_2_2842_a1_fm1"/>
      <w:bookmarkEnd w:id="25"/>
      <w:r>
        <w:rPr>
          <w:rFonts w:ascii="宋体" w:hAnsi="宋体" w:hint="eastAsia"/>
          <w:b/>
          <w:sz w:val="24"/>
        </w:rPr>
        <w:t>3.2.1</w:t>
      </w:r>
      <w:bookmarkStart w:id="26" w:name="t_2_3_2_q_table"/>
      <w:bookmarkEnd w:id="26"/>
      <w:r>
        <w:rPr>
          <w:rFonts w:ascii="宋体" w:hAnsi="宋体" w:hint="eastAsia"/>
          <w:b/>
          <w:sz w:val="24"/>
        </w:rPr>
        <w:t xml:space="preserve"> </w:t>
      </w:r>
      <w:r>
        <w:rPr>
          <w:rFonts w:ascii="宋体" w:hAnsi="宋体" w:hint="eastAsia"/>
          <w:b/>
          <w:sz w:val="24"/>
        </w:rPr>
        <w:t>前端收费</w:t>
      </w:r>
    </w:p>
    <w:p w:rsidR="00000000" w:rsidRDefault="00EE53FD">
      <w:pPr>
        <w:pStyle w:val="20"/>
        <w:adjustRightInd w:val="0"/>
        <w:snapToGrid w:val="0"/>
        <w:rPr>
          <w:rFonts w:cs="宋体" w:hint="eastAsia"/>
          <w:szCs w:val="21"/>
        </w:rPr>
      </w:pPr>
      <w:r>
        <w:rPr>
          <w:rFonts w:cs="宋体" w:hint="eastAsia"/>
          <w:szCs w:val="21"/>
        </w:rPr>
        <w:t>通过直销机构申购本基金基金份额的，不收取申购费。</w:t>
      </w:r>
    </w:p>
    <w:p w:rsidR="00000000" w:rsidRDefault="00EE53FD">
      <w:pPr>
        <w:pStyle w:val="20"/>
        <w:adjustRightInd w:val="0"/>
        <w:snapToGrid w:val="0"/>
        <w:rPr>
          <w:rFonts w:cs="宋体" w:hint="eastAsia"/>
          <w:szCs w:val="21"/>
        </w:rPr>
      </w:pPr>
      <w:r>
        <w:rPr>
          <w:rFonts w:cs="宋体" w:hint="eastAsia"/>
          <w:szCs w:val="21"/>
        </w:rPr>
        <w:t>通过代销机构申购本基金基金份额的，</w:t>
      </w:r>
      <w:r>
        <w:rPr>
          <w:rFonts w:cs="宋体" w:hint="eastAsia"/>
          <w:szCs w:val="21"/>
        </w:rPr>
        <w:t>A</w:t>
      </w:r>
      <w:r>
        <w:rPr>
          <w:rFonts w:cs="宋体" w:hint="eastAsia"/>
          <w:szCs w:val="21"/>
        </w:rPr>
        <w:t>类基金份额在申购时收取基金申购费用；</w:t>
      </w:r>
      <w:r>
        <w:rPr>
          <w:rFonts w:cs="宋体" w:hint="eastAsia"/>
          <w:szCs w:val="21"/>
        </w:rPr>
        <w:t>C</w:t>
      </w:r>
      <w:r>
        <w:rPr>
          <w:rFonts w:cs="宋体" w:hint="eastAsia"/>
          <w:szCs w:val="21"/>
        </w:rPr>
        <w:t>类基金份额不收取申购费用。</w:t>
      </w:r>
    </w:p>
    <w:p w:rsidR="00000000" w:rsidRDefault="00EE53FD">
      <w:pPr>
        <w:pStyle w:val="20"/>
        <w:adjustRightInd w:val="0"/>
        <w:snapToGrid w:val="0"/>
        <w:rPr>
          <w:rFonts w:cs="宋体" w:hint="eastAsia"/>
          <w:szCs w:val="21"/>
        </w:rPr>
      </w:pPr>
      <w:r>
        <w:rPr>
          <w:rFonts w:cs="宋体" w:hint="eastAsia"/>
          <w:szCs w:val="21"/>
        </w:rPr>
        <w:t>投资人通过代销机构申购本基金</w:t>
      </w:r>
      <w:r>
        <w:rPr>
          <w:rFonts w:cs="宋体" w:hint="eastAsia"/>
          <w:szCs w:val="21"/>
        </w:rPr>
        <w:t>A</w:t>
      </w:r>
      <w:r>
        <w:rPr>
          <w:rFonts w:cs="宋体" w:hint="eastAsia"/>
          <w:szCs w:val="21"/>
        </w:rPr>
        <w:t>类基金份额所适用的申购费率如下所示：</w:t>
      </w:r>
    </w:p>
    <w:tbl>
      <w:tblPr>
        <w:tblW w:w="821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1465"/>
        <w:gridCol w:w="2886"/>
        <w:gridCol w:w="3866"/>
      </w:tblGrid>
      <w:tr w:rsidR="00000000">
        <w:trPr>
          <w:trHeight w:val="313"/>
        </w:trPr>
        <w:tc>
          <w:tcPr>
            <w:tcW w:w="1465" w:type="dxa"/>
            <w:vMerge w:val="restart"/>
            <w:tcMar>
              <w:top w:w="15" w:type="dxa"/>
              <w:left w:w="15" w:type="dxa"/>
              <w:bottom w:w="0" w:type="dxa"/>
              <w:right w:w="15" w:type="dxa"/>
            </w:tcMar>
            <w:vAlign w:val="center"/>
          </w:tcPr>
          <w:p w:rsidR="00000000" w:rsidRDefault="00EE53FD">
            <w:pPr>
              <w:pStyle w:val="20"/>
              <w:ind w:firstLineChars="0" w:firstLine="0"/>
              <w:jc w:val="center"/>
              <w:rPr>
                <w:rFonts w:cs="宋体" w:hint="eastAsia"/>
                <w:b/>
                <w:sz w:val="20"/>
              </w:rPr>
            </w:pPr>
            <w:r>
              <w:rPr>
                <w:rFonts w:hint="eastAsia"/>
                <w:b/>
                <w:sz w:val="22"/>
                <w:szCs w:val="22"/>
              </w:rPr>
              <w:t>A</w:t>
            </w:r>
            <w:r>
              <w:rPr>
                <w:b/>
                <w:sz w:val="22"/>
                <w:szCs w:val="22"/>
              </w:rPr>
              <w:t>类基金份额</w:t>
            </w:r>
            <w:r>
              <w:rPr>
                <w:rFonts w:hint="eastAsia"/>
                <w:b/>
                <w:sz w:val="22"/>
                <w:szCs w:val="22"/>
              </w:rPr>
              <w:t>申购费率</w:t>
            </w:r>
          </w:p>
        </w:tc>
        <w:tc>
          <w:tcPr>
            <w:tcW w:w="2886" w:type="dxa"/>
            <w:tcMar>
              <w:top w:w="15" w:type="dxa"/>
              <w:left w:w="15" w:type="dxa"/>
              <w:bottom w:w="0" w:type="dxa"/>
              <w:right w:w="15" w:type="dxa"/>
            </w:tcMar>
            <w:vAlign w:val="center"/>
          </w:tcPr>
          <w:p w:rsidR="00000000" w:rsidRDefault="00EE53FD">
            <w:pPr>
              <w:pStyle w:val="20"/>
              <w:ind w:firstLine="442"/>
              <w:rPr>
                <w:rFonts w:cs="宋体" w:hint="eastAsia"/>
                <w:b/>
                <w:sz w:val="20"/>
              </w:rPr>
            </w:pPr>
            <w:r>
              <w:rPr>
                <w:rFonts w:hint="eastAsia"/>
                <w:b/>
                <w:sz w:val="22"/>
                <w:szCs w:val="18"/>
              </w:rPr>
              <w:t>申购金额（</w:t>
            </w:r>
            <w:r>
              <w:rPr>
                <w:rFonts w:hint="eastAsia"/>
                <w:b/>
                <w:sz w:val="22"/>
                <w:szCs w:val="18"/>
              </w:rPr>
              <w:t>M,</w:t>
            </w:r>
            <w:r>
              <w:rPr>
                <w:rFonts w:hint="eastAsia"/>
                <w:b/>
                <w:sz w:val="22"/>
                <w:szCs w:val="18"/>
              </w:rPr>
              <w:t>含申购费）</w:t>
            </w:r>
          </w:p>
        </w:tc>
        <w:tc>
          <w:tcPr>
            <w:tcW w:w="3866" w:type="dxa"/>
            <w:vAlign w:val="center"/>
          </w:tcPr>
          <w:p w:rsidR="00000000" w:rsidRDefault="00EE53FD">
            <w:pPr>
              <w:pStyle w:val="20"/>
              <w:ind w:firstLineChars="0" w:firstLine="0"/>
              <w:jc w:val="center"/>
              <w:rPr>
                <w:rFonts w:cs="宋体" w:hint="eastAsia"/>
                <w:b/>
                <w:sz w:val="20"/>
              </w:rPr>
            </w:pPr>
            <w:r>
              <w:rPr>
                <w:rFonts w:hint="eastAsia"/>
                <w:b/>
                <w:kern w:val="0"/>
                <w:sz w:val="22"/>
                <w:szCs w:val="18"/>
              </w:rPr>
              <w:t>申购费率</w:t>
            </w:r>
          </w:p>
        </w:tc>
      </w:tr>
      <w:tr w:rsidR="00000000">
        <w:trPr>
          <w:trHeight w:val="313"/>
        </w:trPr>
        <w:tc>
          <w:tcPr>
            <w:tcW w:w="1465" w:type="dxa"/>
            <w:vMerge/>
            <w:tcMar>
              <w:top w:w="15" w:type="dxa"/>
              <w:left w:w="15" w:type="dxa"/>
              <w:bottom w:w="0" w:type="dxa"/>
              <w:right w:w="15" w:type="dxa"/>
            </w:tcMar>
            <w:vAlign w:val="center"/>
          </w:tcPr>
          <w:p w:rsidR="00000000" w:rsidRDefault="00EE53FD">
            <w:pPr>
              <w:autoSpaceDE w:val="0"/>
              <w:autoSpaceDN w:val="0"/>
              <w:spacing w:line="360" w:lineRule="auto"/>
              <w:jc w:val="center"/>
              <w:rPr>
                <w:rFonts w:ascii="宋体" w:hAnsi="宋体" w:cs="宋体" w:hint="eastAsia"/>
                <w:b/>
                <w:sz w:val="20"/>
              </w:rPr>
            </w:pPr>
          </w:p>
        </w:tc>
        <w:tc>
          <w:tcPr>
            <w:tcW w:w="2886" w:type="dxa"/>
            <w:tcMar>
              <w:top w:w="15" w:type="dxa"/>
              <w:left w:w="15" w:type="dxa"/>
              <w:bottom w:w="0" w:type="dxa"/>
              <w:right w:w="15" w:type="dxa"/>
            </w:tcMar>
            <w:vAlign w:val="center"/>
          </w:tcPr>
          <w:p w:rsidR="00000000" w:rsidRDefault="00EE53FD">
            <w:pPr>
              <w:ind w:leftChars="-7" w:hangingChars="7" w:hanging="15"/>
              <w:jc w:val="center"/>
              <w:rPr>
                <w:rFonts w:ascii="宋体" w:hAnsi="宋体" w:cs="宋体" w:hint="eastAsia"/>
                <w:sz w:val="16"/>
                <w:szCs w:val="16"/>
              </w:rPr>
            </w:pPr>
            <w:r>
              <w:rPr>
                <w:rFonts w:ascii="宋体" w:hAnsi="宋体" w:hint="eastAsia"/>
                <w:sz w:val="22"/>
                <w:szCs w:val="18"/>
              </w:rPr>
              <w:t>M</w:t>
            </w:r>
            <w:r>
              <w:rPr>
                <w:rFonts w:ascii="宋体" w:hAnsi="宋体" w:hint="eastAsia"/>
                <w:sz w:val="22"/>
                <w:szCs w:val="18"/>
              </w:rPr>
              <w:t>＜</w:t>
            </w:r>
            <w:r>
              <w:rPr>
                <w:rFonts w:ascii="宋体" w:hAnsi="宋体"/>
                <w:sz w:val="22"/>
                <w:szCs w:val="18"/>
              </w:rPr>
              <w:t>5</w:t>
            </w:r>
            <w:r>
              <w:rPr>
                <w:rFonts w:ascii="宋体" w:hAnsi="宋体" w:hint="eastAsia"/>
                <w:sz w:val="22"/>
                <w:szCs w:val="18"/>
              </w:rPr>
              <w:t>00</w:t>
            </w:r>
            <w:r>
              <w:rPr>
                <w:rFonts w:ascii="宋体" w:hAnsi="宋体" w:hint="eastAsia"/>
                <w:sz w:val="22"/>
                <w:szCs w:val="18"/>
              </w:rPr>
              <w:t>万元</w:t>
            </w:r>
          </w:p>
        </w:tc>
        <w:tc>
          <w:tcPr>
            <w:tcW w:w="3866" w:type="dxa"/>
            <w:vAlign w:val="center"/>
          </w:tcPr>
          <w:p w:rsidR="00000000" w:rsidRDefault="00EE53FD">
            <w:pPr>
              <w:ind w:leftChars="-7" w:hangingChars="7" w:hanging="15"/>
              <w:jc w:val="center"/>
              <w:rPr>
                <w:rFonts w:ascii="宋体" w:hAnsi="宋体" w:cs="宋体" w:hint="eastAsia"/>
                <w:sz w:val="16"/>
                <w:szCs w:val="16"/>
              </w:rPr>
            </w:pPr>
            <w:r>
              <w:rPr>
                <w:rFonts w:ascii="宋体" w:hAnsi="宋体"/>
                <w:sz w:val="22"/>
                <w:szCs w:val="18"/>
              </w:rPr>
              <w:t>0.80</w:t>
            </w:r>
            <w:r>
              <w:rPr>
                <w:rFonts w:ascii="宋体" w:hAnsi="宋体" w:hint="eastAsia"/>
                <w:sz w:val="22"/>
                <w:szCs w:val="18"/>
              </w:rPr>
              <w:t>%</w:t>
            </w:r>
          </w:p>
        </w:tc>
      </w:tr>
      <w:tr w:rsidR="00000000">
        <w:trPr>
          <w:trHeight w:val="313"/>
        </w:trPr>
        <w:tc>
          <w:tcPr>
            <w:tcW w:w="1465" w:type="dxa"/>
            <w:vMerge/>
            <w:tcMar>
              <w:top w:w="15" w:type="dxa"/>
              <w:left w:w="15" w:type="dxa"/>
              <w:bottom w:w="0" w:type="dxa"/>
              <w:right w:w="15" w:type="dxa"/>
            </w:tcMar>
            <w:vAlign w:val="center"/>
          </w:tcPr>
          <w:p w:rsidR="00000000" w:rsidRDefault="00EE53FD">
            <w:pPr>
              <w:autoSpaceDE w:val="0"/>
              <w:autoSpaceDN w:val="0"/>
              <w:spacing w:line="360" w:lineRule="auto"/>
              <w:jc w:val="center"/>
              <w:rPr>
                <w:rFonts w:ascii="宋体" w:hAnsi="宋体" w:cs="宋体" w:hint="eastAsia"/>
                <w:b/>
                <w:sz w:val="20"/>
              </w:rPr>
            </w:pPr>
          </w:p>
        </w:tc>
        <w:tc>
          <w:tcPr>
            <w:tcW w:w="2886" w:type="dxa"/>
            <w:tcMar>
              <w:top w:w="15" w:type="dxa"/>
              <w:left w:w="15" w:type="dxa"/>
              <w:bottom w:w="0" w:type="dxa"/>
              <w:right w:w="15" w:type="dxa"/>
            </w:tcMar>
            <w:vAlign w:val="center"/>
          </w:tcPr>
          <w:p w:rsidR="00000000" w:rsidRDefault="00EE53FD">
            <w:pPr>
              <w:ind w:leftChars="-7" w:hangingChars="7" w:hanging="15"/>
              <w:jc w:val="center"/>
              <w:rPr>
                <w:rFonts w:ascii="宋体" w:hAnsi="宋体" w:cs="宋体" w:hint="eastAsia"/>
                <w:sz w:val="16"/>
                <w:szCs w:val="16"/>
              </w:rPr>
            </w:pPr>
            <w:r>
              <w:rPr>
                <w:rFonts w:ascii="宋体" w:hAnsi="宋体" w:hint="eastAsia"/>
                <w:sz w:val="22"/>
                <w:szCs w:val="18"/>
              </w:rPr>
              <w:t>M</w:t>
            </w:r>
            <w:r>
              <w:rPr>
                <w:rFonts w:ascii="宋体" w:hAnsi="宋体" w:hint="eastAsia"/>
                <w:sz w:val="22"/>
                <w:szCs w:val="18"/>
              </w:rPr>
              <w:t>≥</w:t>
            </w:r>
            <w:r>
              <w:rPr>
                <w:rFonts w:ascii="宋体" w:hAnsi="宋体" w:hint="eastAsia"/>
                <w:sz w:val="22"/>
                <w:szCs w:val="18"/>
              </w:rPr>
              <w:t>500</w:t>
            </w:r>
            <w:r>
              <w:rPr>
                <w:rFonts w:ascii="宋体" w:hAnsi="宋体" w:hint="eastAsia"/>
                <w:sz w:val="22"/>
                <w:szCs w:val="18"/>
              </w:rPr>
              <w:t>万元</w:t>
            </w:r>
          </w:p>
        </w:tc>
        <w:tc>
          <w:tcPr>
            <w:tcW w:w="3866" w:type="dxa"/>
            <w:vAlign w:val="center"/>
          </w:tcPr>
          <w:p w:rsidR="00000000" w:rsidRDefault="00EE53FD">
            <w:pPr>
              <w:ind w:leftChars="-7" w:hangingChars="7" w:hanging="15"/>
              <w:jc w:val="center"/>
              <w:rPr>
                <w:rFonts w:ascii="宋体" w:hAnsi="宋体" w:cs="宋体" w:hint="eastAsia"/>
                <w:kern w:val="0"/>
                <w:sz w:val="16"/>
                <w:szCs w:val="16"/>
              </w:rPr>
            </w:pPr>
            <w:r>
              <w:rPr>
                <w:rFonts w:ascii="宋体" w:hAnsi="宋体" w:hint="eastAsia"/>
                <w:sz w:val="22"/>
                <w:szCs w:val="18"/>
              </w:rPr>
              <w:t>按笔收取，</w:t>
            </w:r>
            <w:r>
              <w:rPr>
                <w:rFonts w:ascii="宋体" w:hAnsi="宋体" w:hint="eastAsia"/>
                <w:sz w:val="22"/>
                <w:szCs w:val="18"/>
              </w:rPr>
              <w:t>1,000</w:t>
            </w:r>
            <w:r>
              <w:rPr>
                <w:rFonts w:ascii="宋体" w:hAnsi="宋体" w:hint="eastAsia"/>
                <w:sz w:val="22"/>
                <w:szCs w:val="18"/>
              </w:rPr>
              <w:t>元</w:t>
            </w:r>
            <w:r>
              <w:rPr>
                <w:rFonts w:ascii="宋体" w:hAnsi="宋体" w:hint="eastAsia"/>
                <w:sz w:val="22"/>
                <w:szCs w:val="18"/>
              </w:rPr>
              <w:t>/</w:t>
            </w:r>
            <w:r>
              <w:rPr>
                <w:rFonts w:ascii="宋体" w:hAnsi="宋体" w:hint="eastAsia"/>
                <w:sz w:val="22"/>
                <w:szCs w:val="18"/>
              </w:rPr>
              <w:t>笔</w:t>
            </w:r>
          </w:p>
        </w:tc>
      </w:tr>
    </w:tbl>
    <w:p w:rsidR="00000000" w:rsidRDefault="00EE53FD">
      <w:pPr>
        <w:pStyle w:val="20"/>
        <w:adjustRightInd w:val="0"/>
        <w:snapToGrid w:val="0"/>
        <w:rPr>
          <w:rFonts w:cs="宋体" w:hint="eastAsia"/>
          <w:szCs w:val="21"/>
        </w:rPr>
      </w:pPr>
      <w:r>
        <w:rPr>
          <w:rFonts w:cs="宋体" w:hint="eastAsia"/>
          <w:szCs w:val="21"/>
        </w:rPr>
        <w:t>本基金</w:t>
      </w:r>
      <w:r>
        <w:rPr>
          <w:rFonts w:cs="宋体" w:hint="eastAsia"/>
          <w:szCs w:val="21"/>
        </w:rPr>
        <w:t>A</w:t>
      </w:r>
      <w:r>
        <w:rPr>
          <w:rFonts w:cs="宋体" w:hint="eastAsia"/>
          <w:szCs w:val="21"/>
        </w:rPr>
        <w:t>类基金份额申购费在投资人通过代销机构申购该类基金份额时收取。申购费用由申购本基金</w:t>
      </w:r>
      <w:r>
        <w:rPr>
          <w:rFonts w:cs="宋体" w:hint="eastAsia"/>
          <w:szCs w:val="21"/>
        </w:rPr>
        <w:t>A</w:t>
      </w:r>
      <w:r>
        <w:rPr>
          <w:rFonts w:cs="宋体" w:hint="eastAsia"/>
          <w:szCs w:val="21"/>
        </w:rPr>
        <w:t>类基金份额的投资人承担，主</w:t>
      </w:r>
      <w:r>
        <w:rPr>
          <w:rFonts w:cs="宋体" w:hint="eastAsia"/>
          <w:szCs w:val="21"/>
        </w:rPr>
        <w:t>要用于本基金的市场推广、销售、登记等各项费用，不列入基金财产。投资人在一天之内如果有多笔通过代销机构的</w:t>
      </w:r>
      <w:r>
        <w:rPr>
          <w:rFonts w:cs="宋体" w:hint="eastAsia"/>
          <w:szCs w:val="21"/>
        </w:rPr>
        <w:t>A</w:t>
      </w:r>
      <w:r>
        <w:rPr>
          <w:rFonts w:cs="宋体" w:hint="eastAsia"/>
          <w:szCs w:val="21"/>
        </w:rPr>
        <w:t>类基金份额的申购，适用费率按单笔分别计算。</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3.2.2</w:t>
      </w:r>
      <w:bookmarkStart w:id="27" w:name="t_2_3_2_h_table"/>
      <w:bookmarkEnd w:id="27"/>
      <w:r>
        <w:rPr>
          <w:rFonts w:ascii="宋体" w:hAnsi="宋体" w:hint="eastAsia"/>
          <w:b/>
          <w:sz w:val="24"/>
        </w:rPr>
        <w:t xml:space="preserve"> </w:t>
      </w:r>
      <w:r>
        <w:rPr>
          <w:rFonts w:ascii="宋体" w:hAnsi="宋体" w:hint="eastAsia"/>
          <w:b/>
          <w:sz w:val="24"/>
        </w:rPr>
        <w:t>后端收费</w:t>
      </w:r>
      <w:bookmarkStart w:id="28" w:name="t_2_3_2_h_2690_a1_fm1"/>
    </w:p>
    <w:bookmarkEnd w:id="28"/>
    <w:p w:rsidR="00000000" w:rsidRDefault="00EE53FD">
      <w:pPr>
        <w:spacing w:line="360" w:lineRule="auto"/>
        <w:ind w:firstLineChars="200" w:firstLine="420"/>
        <w:rPr>
          <w:rFonts w:ascii="宋体" w:hAnsi="宋体" w:hint="eastAsia"/>
          <w:szCs w:val="21"/>
        </w:rPr>
      </w:pPr>
      <w:r>
        <w:rPr>
          <w:rFonts w:ascii="宋体" w:hAnsi="宋体" w:hint="eastAsia"/>
          <w:szCs w:val="21"/>
        </w:rPr>
        <w:t>本基金未开通后端收费模式。</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 xml:space="preserve">3.3 </w:t>
      </w:r>
      <w:bookmarkStart w:id="29" w:name="t_2_3_3_table"/>
      <w:bookmarkEnd w:id="29"/>
      <w:r>
        <w:rPr>
          <w:rFonts w:ascii="宋体" w:hAnsi="宋体" w:hint="eastAsia"/>
          <w:b/>
          <w:sz w:val="24"/>
        </w:rPr>
        <w:t>其他与申购相关的事项</w:t>
      </w:r>
      <w:bookmarkStart w:id="30" w:name="t_2_3_3_2821_a1_fm1"/>
      <w:bookmarkEnd w:id="30"/>
    </w:p>
    <w:p w:rsidR="00000000" w:rsidRDefault="00EE53FD">
      <w:pPr>
        <w:pStyle w:val="20"/>
        <w:adjustRightInd w:val="0"/>
        <w:snapToGrid w:val="0"/>
        <w:rPr>
          <w:rFonts w:cs="宋体" w:hint="eastAsia"/>
          <w:szCs w:val="21"/>
        </w:rPr>
      </w:pPr>
      <w:r>
        <w:rPr>
          <w:rFonts w:cs="宋体" w:hint="eastAsia"/>
          <w:szCs w:val="21"/>
        </w:rPr>
        <w:t>在对基金份额持有人无实质性不利影响的情况下，基金管理人可以在基金合同约定的范围内调整费率或收费方式，并最迟应于新的费率或收费方式实施日前依照《信息披露办法》的有关规定在规定媒介上公告。</w:t>
      </w:r>
    </w:p>
    <w:p w:rsidR="00000000" w:rsidRDefault="00EE53FD">
      <w:pPr>
        <w:pStyle w:val="20"/>
        <w:adjustRightInd w:val="0"/>
        <w:snapToGrid w:val="0"/>
        <w:rPr>
          <w:rFonts w:cs="宋体" w:hint="eastAsia"/>
          <w:szCs w:val="21"/>
        </w:rPr>
      </w:pPr>
      <w:r>
        <w:rPr>
          <w:rFonts w:cs="宋体" w:hint="eastAsia"/>
          <w:szCs w:val="21"/>
        </w:rPr>
        <w:t>基金管理人可以在不违反法律法规规定及基金合同约定且对现有基金份额持有人利益无实质性不利影响的前提下</w:t>
      </w:r>
      <w:r>
        <w:rPr>
          <w:rFonts w:cs="宋体" w:hint="eastAsia"/>
          <w:szCs w:val="21"/>
        </w:rPr>
        <w:t>，根据市场情况制定基金促销计划，针对投资人定期或不定期地开展基金促销活动。在基金促销活动期间，按相关监管部门要求履行必要手续后，基金管理人可以适当调低基金销售费率，或针对特定渠道、特定投资群体开展有差别的费率优惠活动，并进行公告。</w:t>
      </w:r>
    </w:p>
    <w:p w:rsidR="00000000" w:rsidRDefault="00EE53FD">
      <w:pPr>
        <w:pStyle w:val="20"/>
        <w:adjustRightInd w:val="0"/>
        <w:snapToGrid w:val="0"/>
        <w:rPr>
          <w:rFonts w:cs="宋体" w:hint="eastAsia"/>
          <w:szCs w:val="21"/>
        </w:rPr>
      </w:pPr>
      <w:r>
        <w:rPr>
          <w:rFonts w:cs="宋体" w:hint="eastAsia"/>
          <w:szCs w:val="21"/>
        </w:rPr>
        <w:t>当本基金发生大额申购情形时，基金管理人可以采用摆动定价机制，以确保基金估值的公平性。具体处理原则与操作规范遵循相关法律法规以及监管部门、自律规则的规定。</w:t>
      </w:r>
    </w:p>
    <w:p w:rsidR="00000000" w:rsidRDefault="00EE53FD">
      <w:pPr>
        <w:spacing w:beforeLines="50" w:afterLines="50" w:line="360" w:lineRule="auto"/>
        <w:jc w:val="left"/>
        <w:rPr>
          <w:rFonts w:ascii="宋体" w:hAnsi="宋体" w:hint="eastAsia"/>
          <w:b/>
          <w:sz w:val="24"/>
          <w:szCs w:val="24"/>
        </w:rPr>
      </w:pPr>
      <w:r>
        <w:rPr>
          <w:rFonts w:ascii="宋体" w:hAnsi="宋体" w:hint="eastAsia"/>
          <w:b/>
          <w:sz w:val="24"/>
          <w:szCs w:val="24"/>
        </w:rPr>
        <w:t xml:space="preserve">4 </w:t>
      </w:r>
      <w:r>
        <w:rPr>
          <w:rFonts w:ascii="宋体" w:hAnsi="宋体" w:hint="eastAsia"/>
          <w:b/>
          <w:sz w:val="24"/>
          <w:szCs w:val="24"/>
        </w:rPr>
        <w:t>本基金日常赎回业务</w:t>
      </w:r>
    </w:p>
    <w:p w:rsidR="00000000" w:rsidRDefault="00EE53FD">
      <w:pPr>
        <w:spacing w:beforeLines="50" w:afterLines="50" w:line="360" w:lineRule="auto"/>
        <w:jc w:val="left"/>
        <w:rPr>
          <w:rFonts w:ascii="宋体" w:hAnsi="宋体" w:hint="eastAsia"/>
          <w:b/>
          <w:sz w:val="24"/>
          <w:szCs w:val="24"/>
        </w:rPr>
      </w:pPr>
      <w:r>
        <w:rPr>
          <w:rFonts w:ascii="宋体" w:hAnsi="宋体" w:hint="eastAsia"/>
          <w:b/>
          <w:sz w:val="24"/>
          <w:szCs w:val="24"/>
        </w:rPr>
        <w:t>4.1</w:t>
      </w:r>
      <w:bookmarkStart w:id="31" w:name="t_2_4_1_table"/>
      <w:bookmarkEnd w:id="31"/>
      <w:r>
        <w:rPr>
          <w:rFonts w:ascii="宋体" w:hAnsi="宋体" w:hint="eastAsia"/>
          <w:b/>
          <w:sz w:val="24"/>
          <w:szCs w:val="24"/>
        </w:rPr>
        <w:t xml:space="preserve"> </w:t>
      </w:r>
      <w:r>
        <w:rPr>
          <w:rFonts w:ascii="宋体" w:hAnsi="宋体" w:hint="eastAsia"/>
          <w:b/>
          <w:sz w:val="24"/>
          <w:szCs w:val="24"/>
        </w:rPr>
        <w:t>赎回份额限制</w:t>
      </w:r>
      <w:bookmarkStart w:id="32" w:name="t_2_4_1_2822_a1_fm1"/>
      <w:bookmarkEnd w:id="32"/>
    </w:p>
    <w:p w:rsidR="00000000" w:rsidRDefault="00EE53FD">
      <w:pPr>
        <w:pStyle w:val="20"/>
        <w:adjustRightInd w:val="0"/>
        <w:snapToGrid w:val="0"/>
        <w:rPr>
          <w:rFonts w:cs="宋体" w:hint="eastAsia"/>
          <w:szCs w:val="21"/>
        </w:rPr>
      </w:pPr>
      <w:r>
        <w:rPr>
          <w:rFonts w:cs="宋体" w:hint="eastAsia"/>
          <w:szCs w:val="21"/>
        </w:rPr>
        <w:t>基金份额持有人在销售机构办理赎回时，每笔赎回申请的最低份额为</w:t>
      </w:r>
      <w:r>
        <w:rPr>
          <w:rFonts w:cs="宋体" w:hint="eastAsia"/>
          <w:szCs w:val="21"/>
        </w:rPr>
        <w:t>10</w:t>
      </w:r>
      <w:r>
        <w:rPr>
          <w:rFonts w:cs="宋体" w:hint="eastAsia"/>
          <w:szCs w:val="21"/>
        </w:rPr>
        <w:t>份基金份额；基金</w:t>
      </w:r>
      <w:r>
        <w:rPr>
          <w:rFonts w:cs="宋体" w:hint="eastAsia"/>
          <w:szCs w:val="21"/>
        </w:rPr>
        <w:t>份额持有人可将其全部或部分基金份额赎回，基金份额持有人办理某笔赎回业务时或办理某笔赎回业务后在销售机构（网点）单个交易账户保留的基金份额余额不足</w:t>
      </w:r>
      <w:r>
        <w:rPr>
          <w:rFonts w:cs="宋体" w:hint="eastAsia"/>
          <w:szCs w:val="21"/>
        </w:rPr>
        <w:t>10</w:t>
      </w:r>
      <w:r>
        <w:rPr>
          <w:rFonts w:cs="宋体" w:hint="eastAsia"/>
          <w:szCs w:val="21"/>
        </w:rPr>
        <w:t>份的，余额部分基金份额必须一同赎回。</w:t>
      </w:r>
    </w:p>
    <w:p w:rsidR="00000000" w:rsidRDefault="00EE53FD">
      <w:pPr>
        <w:pStyle w:val="20"/>
        <w:adjustRightInd w:val="0"/>
        <w:snapToGrid w:val="0"/>
        <w:rPr>
          <w:rFonts w:cs="宋体" w:hint="eastAsia"/>
          <w:szCs w:val="21"/>
        </w:rPr>
      </w:pPr>
      <w:r>
        <w:rPr>
          <w:rFonts w:cs="宋体" w:hint="eastAsia"/>
          <w:szCs w:val="21"/>
        </w:rPr>
        <w:t>基金管理人可在不违反法律法规的情况下，调整上述规定赎回份额的数量限制，或者新增基金规模控制措施。基金管理人应依照《信息披露办法》的有关规定在规定媒介上公告。</w:t>
      </w:r>
    </w:p>
    <w:p w:rsidR="00000000" w:rsidRDefault="00EE53FD">
      <w:pPr>
        <w:spacing w:beforeLines="50" w:afterLines="50" w:line="360" w:lineRule="auto"/>
        <w:jc w:val="left"/>
        <w:rPr>
          <w:rFonts w:ascii="宋体" w:hAnsi="宋体" w:hint="eastAsia"/>
          <w:b/>
          <w:sz w:val="24"/>
          <w:szCs w:val="24"/>
        </w:rPr>
      </w:pPr>
      <w:r>
        <w:rPr>
          <w:rFonts w:ascii="宋体" w:hAnsi="宋体" w:hint="eastAsia"/>
          <w:b/>
          <w:sz w:val="24"/>
          <w:szCs w:val="24"/>
        </w:rPr>
        <w:t xml:space="preserve">4.2 </w:t>
      </w:r>
      <w:bookmarkStart w:id="33" w:name="t_2_4_2_table"/>
      <w:bookmarkEnd w:id="33"/>
      <w:r>
        <w:rPr>
          <w:rFonts w:ascii="宋体" w:hAnsi="宋体" w:hint="eastAsia"/>
          <w:b/>
          <w:sz w:val="24"/>
          <w:szCs w:val="24"/>
        </w:rPr>
        <w:t>赎回费率</w:t>
      </w:r>
      <w:bookmarkStart w:id="34" w:name="t_2_4_2_2843_a1_fm1"/>
      <w:bookmarkStart w:id="35" w:name="t_2_4_2_2699_a1_fm1"/>
      <w:bookmarkEnd w:id="34"/>
    </w:p>
    <w:bookmarkEnd w:id="35"/>
    <w:p w:rsidR="00000000" w:rsidRDefault="00EE53FD">
      <w:pPr>
        <w:pStyle w:val="20"/>
        <w:adjustRightInd w:val="0"/>
        <w:snapToGrid w:val="0"/>
        <w:rPr>
          <w:rFonts w:hint="eastAsia"/>
          <w:szCs w:val="21"/>
        </w:rPr>
      </w:pPr>
      <w:r>
        <w:rPr>
          <w:rFonts w:hint="eastAsia"/>
          <w:szCs w:val="21"/>
        </w:rPr>
        <w:t>本基金的赎回费用由赎回本基金各类基金份额的基金份额持有人承担，在基金份额持有人赎回本基金相应类别的基金份额时收取。投资者赎回基金份额产生的赎回费，应当</w:t>
      </w:r>
      <w:r>
        <w:rPr>
          <w:rFonts w:hint="eastAsia"/>
          <w:szCs w:val="21"/>
        </w:rPr>
        <w:t>全额计入基金财产。</w:t>
      </w:r>
    </w:p>
    <w:p w:rsidR="00000000" w:rsidRDefault="00EE53FD">
      <w:pPr>
        <w:pStyle w:val="20"/>
        <w:adjustRightInd w:val="0"/>
        <w:snapToGrid w:val="0"/>
        <w:rPr>
          <w:rFonts w:hint="eastAsia"/>
          <w:szCs w:val="21"/>
        </w:rPr>
      </w:pPr>
      <w:r>
        <w:rPr>
          <w:rFonts w:hint="eastAsia"/>
          <w:szCs w:val="21"/>
        </w:rPr>
        <w:t>（</w:t>
      </w:r>
      <w:r>
        <w:rPr>
          <w:rFonts w:hint="eastAsia"/>
          <w:szCs w:val="21"/>
        </w:rPr>
        <w:t>1</w:t>
      </w:r>
      <w:r>
        <w:rPr>
          <w:rFonts w:hint="eastAsia"/>
          <w:szCs w:val="21"/>
        </w:rPr>
        <w:t>）</w:t>
      </w:r>
      <w:r>
        <w:rPr>
          <w:rFonts w:hint="eastAsia"/>
          <w:szCs w:val="21"/>
        </w:rPr>
        <w:t>A</w:t>
      </w:r>
      <w:r>
        <w:rPr>
          <w:rFonts w:hint="eastAsia"/>
          <w:szCs w:val="21"/>
        </w:rPr>
        <w:t>类基金份额的赎回费率</w:t>
      </w:r>
    </w:p>
    <w:p w:rsidR="00000000" w:rsidRDefault="00EE53FD">
      <w:pPr>
        <w:pStyle w:val="20"/>
        <w:adjustRightInd w:val="0"/>
        <w:snapToGrid w:val="0"/>
        <w:rPr>
          <w:szCs w:val="21"/>
        </w:rPr>
      </w:pPr>
      <w:r>
        <w:rPr>
          <w:rFonts w:hint="eastAsia"/>
          <w:szCs w:val="21"/>
        </w:rPr>
        <w:t>本基金</w:t>
      </w:r>
      <w:r>
        <w:rPr>
          <w:rFonts w:hint="eastAsia"/>
          <w:szCs w:val="21"/>
        </w:rPr>
        <w:t>A</w:t>
      </w:r>
      <w:r>
        <w:rPr>
          <w:rFonts w:hint="eastAsia"/>
          <w:szCs w:val="21"/>
        </w:rPr>
        <w:t>类基金份额的赎回费率按持有期限的长短分档，具体如下：</w:t>
      </w:r>
    </w:p>
    <w:tbl>
      <w:tblPr>
        <w:tblW w:w="8336"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1483"/>
        <w:gridCol w:w="3494"/>
        <w:gridCol w:w="3359"/>
      </w:tblGrid>
      <w:tr w:rsidR="00000000">
        <w:trPr>
          <w:trHeight w:val="313"/>
          <w:jc w:val="center"/>
        </w:trPr>
        <w:tc>
          <w:tcPr>
            <w:tcW w:w="1483" w:type="dxa"/>
            <w:vMerge w:val="restart"/>
            <w:tcMar>
              <w:top w:w="15" w:type="dxa"/>
              <w:left w:w="15" w:type="dxa"/>
              <w:bottom w:w="0" w:type="dxa"/>
              <w:right w:w="15" w:type="dxa"/>
            </w:tcMar>
            <w:vAlign w:val="center"/>
          </w:tcPr>
          <w:p w:rsidR="00000000" w:rsidRDefault="00EE53FD">
            <w:pPr>
              <w:spacing w:line="360" w:lineRule="auto"/>
              <w:ind w:leftChars="-7" w:hangingChars="7" w:hanging="15"/>
              <w:jc w:val="center"/>
              <w:rPr>
                <w:rFonts w:ascii="宋体" w:hAnsi="宋体"/>
                <w:szCs w:val="21"/>
              </w:rPr>
            </w:pPr>
            <w:r>
              <w:rPr>
                <w:rFonts w:ascii="宋体" w:hAnsi="宋体" w:cs="宋体"/>
                <w:b/>
                <w:kern w:val="0"/>
                <w:sz w:val="22"/>
                <w:szCs w:val="18"/>
              </w:rPr>
              <w:t>A</w:t>
            </w:r>
            <w:r>
              <w:rPr>
                <w:rFonts w:ascii="宋体" w:hAnsi="宋体" w:cs="宋体"/>
                <w:b/>
                <w:kern w:val="0"/>
                <w:sz w:val="22"/>
                <w:szCs w:val="18"/>
              </w:rPr>
              <w:t>类基金份额</w:t>
            </w:r>
            <w:r>
              <w:rPr>
                <w:rFonts w:ascii="宋体" w:hAnsi="宋体"/>
                <w:b/>
                <w:sz w:val="22"/>
                <w:szCs w:val="18"/>
              </w:rPr>
              <w:t>赎回费率</w:t>
            </w:r>
          </w:p>
        </w:tc>
        <w:tc>
          <w:tcPr>
            <w:tcW w:w="3494" w:type="dxa"/>
            <w:tcMar>
              <w:top w:w="15" w:type="dxa"/>
              <w:left w:w="15" w:type="dxa"/>
              <w:bottom w:w="0" w:type="dxa"/>
              <w:right w:w="15" w:type="dxa"/>
            </w:tcMar>
            <w:vAlign w:val="center"/>
          </w:tcPr>
          <w:p w:rsidR="00000000" w:rsidRDefault="00EE53FD">
            <w:pPr>
              <w:spacing w:line="360" w:lineRule="auto"/>
              <w:ind w:leftChars="-7" w:hangingChars="7" w:hanging="15"/>
              <w:jc w:val="center"/>
              <w:rPr>
                <w:rFonts w:ascii="宋体" w:hAnsi="宋体"/>
                <w:b/>
                <w:kern w:val="0"/>
                <w:szCs w:val="16"/>
              </w:rPr>
            </w:pPr>
            <w:r>
              <w:rPr>
                <w:rFonts w:ascii="宋体" w:hAnsi="宋体" w:cs="宋体" w:hint="eastAsia"/>
                <w:b/>
                <w:sz w:val="22"/>
                <w:szCs w:val="18"/>
              </w:rPr>
              <w:t>持有期限（</w:t>
            </w:r>
            <w:r>
              <w:rPr>
                <w:rFonts w:ascii="宋体" w:hAnsi="宋体" w:cs="宋体"/>
                <w:b/>
                <w:sz w:val="22"/>
                <w:szCs w:val="18"/>
              </w:rPr>
              <w:t>Y</w:t>
            </w:r>
            <w:r>
              <w:rPr>
                <w:rFonts w:ascii="宋体" w:hAnsi="宋体" w:cs="宋体"/>
                <w:b/>
                <w:sz w:val="22"/>
                <w:szCs w:val="18"/>
              </w:rPr>
              <w:t>）</w:t>
            </w:r>
          </w:p>
        </w:tc>
        <w:tc>
          <w:tcPr>
            <w:tcW w:w="3359" w:type="dxa"/>
            <w:vAlign w:val="center"/>
          </w:tcPr>
          <w:p w:rsidR="00000000" w:rsidRDefault="00EE53FD">
            <w:pPr>
              <w:spacing w:line="360" w:lineRule="auto"/>
              <w:ind w:leftChars="-7" w:hangingChars="7" w:hanging="15"/>
              <w:jc w:val="center"/>
              <w:rPr>
                <w:rFonts w:ascii="宋体" w:hAnsi="宋体"/>
                <w:b/>
                <w:kern w:val="0"/>
                <w:szCs w:val="16"/>
              </w:rPr>
            </w:pPr>
            <w:r>
              <w:rPr>
                <w:rFonts w:ascii="宋体" w:hAnsi="宋体" w:cs="宋体" w:hint="eastAsia"/>
                <w:b/>
                <w:sz w:val="22"/>
                <w:szCs w:val="18"/>
              </w:rPr>
              <w:t>赎回费率</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rsidP="00EE53FD">
            <w:pPr>
              <w:spacing w:line="360" w:lineRule="auto"/>
              <w:ind w:leftChars="-7" w:hangingChars="7" w:hanging="15"/>
              <w:jc w:val="center"/>
              <w:rPr>
                <w:rFonts w:ascii="宋体" w:hAnsi="宋体"/>
                <w:szCs w:val="21"/>
              </w:rPr>
            </w:pPr>
          </w:p>
        </w:tc>
        <w:tc>
          <w:tcPr>
            <w:tcW w:w="3494" w:type="dxa"/>
            <w:tcMar>
              <w:top w:w="15" w:type="dxa"/>
              <w:left w:w="15" w:type="dxa"/>
              <w:bottom w:w="0" w:type="dxa"/>
              <w:right w:w="15" w:type="dxa"/>
            </w:tcMar>
            <w:vAlign w:val="center"/>
          </w:tcPr>
          <w:p w:rsidR="00000000" w:rsidRDefault="00EE53FD">
            <w:pPr>
              <w:ind w:leftChars="-7" w:hangingChars="7" w:hanging="15"/>
              <w:jc w:val="center"/>
              <w:rPr>
                <w:rFonts w:ascii="宋体" w:hAnsi="宋体"/>
                <w:szCs w:val="16"/>
              </w:rPr>
            </w:pPr>
            <w:r>
              <w:rPr>
                <w:rFonts w:ascii="宋体" w:hAnsi="宋体"/>
                <w:kern w:val="0"/>
                <w:sz w:val="22"/>
                <w:szCs w:val="21"/>
              </w:rPr>
              <w:t>Y</w:t>
            </w:r>
            <w:r>
              <w:rPr>
                <w:rFonts w:ascii="宋体" w:hAnsi="宋体" w:hint="eastAsia"/>
                <w:kern w:val="0"/>
                <w:sz w:val="22"/>
                <w:szCs w:val="21"/>
              </w:rPr>
              <w:t>＜</w:t>
            </w:r>
            <w:r>
              <w:rPr>
                <w:rFonts w:ascii="宋体" w:hAnsi="宋体"/>
                <w:kern w:val="0"/>
                <w:sz w:val="22"/>
                <w:szCs w:val="21"/>
              </w:rPr>
              <w:t>7</w:t>
            </w:r>
            <w:r>
              <w:rPr>
                <w:rFonts w:ascii="宋体" w:hAnsi="宋体"/>
                <w:kern w:val="0"/>
                <w:sz w:val="22"/>
                <w:szCs w:val="21"/>
              </w:rPr>
              <w:t>日</w:t>
            </w:r>
          </w:p>
        </w:tc>
        <w:tc>
          <w:tcPr>
            <w:tcW w:w="3359" w:type="dxa"/>
            <w:vAlign w:val="center"/>
          </w:tcPr>
          <w:p w:rsidR="00000000" w:rsidRDefault="00EE53FD">
            <w:pPr>
              <w:ind w:leftChars="-7" w:hangingChars="7" w:hanging="15"/>
              <w:jc w:val="center"/>
              <w:rPr>
                <w:rFonts w:ascii="宋体" w:hAnsi="宋体"/>
                <w:szCs w:val="16"/>
              </w:rPr>
            </w:pPr>
            <w:r>
              <w:rPr>
                <w:rFonts w:ascii="宋体" w:hAnsi="宋体"/>
                <w:kern w:val="0"/>
                <w:sz w:val="22"/>
                <w:szCs w:val="21"/>
              </w:rPr>
              <w:t>1.50%</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autoSpaceDE w:val="0"/>
              <w:autoSpaceDN w:val="0"/>
              <w:adjustRightInd w:val="0"/>
              <w:snapToGrid w:val="0"/>
              <w:spacing w:line="360" w:lineRule="auto"/>
              <w:ind w:firstLineChars="200" w:firstLine="420"/>
              <w:jc w:val="center"/>
              <w:rPr>
                <w:rFonts w:ascii="宋体" w:hAnsi="宋体"/>
                <w:szCs w:val="21"/>
              </w:rPr>
            </w:pPr>
          </w:p>
        </w:tc>
        <w:tc>
          <w:tcPr>
            <w:tcW w:w="3494" w:type="dxa"/>
            <w:tcMar>
              <w:top w:w="15" w:type="dxa"/>
              <w:left w:w="15" w:type="dxa"/>
              <w:bottom w:w="0" w:type="dxa"/>
              <w:right w:w="15" w:type="dxa"/>
            </w:tcMar>
            <w:vAlign w:val="center"/>
          </w:tcPr>
          <w:p w:rsidR="00000000" w:rsidRDefault="00EE53FD">
            <w:pPr>
              <w:ind w:leftChars="-7" w:hangingChars="7" w:hanging="15"/>
              <w:jc w:val="center"/>
              <w:rPr>
                <w:rFonts w:ascii="宋体" w:hAnsi="宋体"/>
                <w:szCs w:val="16"/>
              </w:rPr>
            </w:pPr>
            <w:r>
              <w:rPr>
                <w:rFonts w:ascii="宋体" w:hAnsi="宋体"/>
                <w:kern w:val="0"/>
                <w:sz w:val="22"/>
                <w:szCs w:val="21"/>
              </w:rPr>
              <w:t>7</w:t>
            </w:r>
            <w:r>
              <w:rPr>
                <w:rFonts w:ascii="宋体" w:hAnsi="宋体"/>
                <w:kern w:val="0"/>
                <w:sz w:val="22"/>
                <w:szCs w:val="21"/>
              </w:rPr>
              <w:t>日</w:t>
            </w:r>
            <w:r>
              <w:rPr>
                <w:rFonts w:ascii="宋体" w:hAnsi="宋体"/>
                <w:kern w:val="0"/>
                <w:sz w:val="22"/>
                <w:szCs w:val="21"/>
              </w:rPr>
              <w:t>≤Y</w:t>
            </w:r>
            <w:r>
              <w:rPr>
                <w:rFonts w:ascii="宋体" w:hAnsi="宋体" w:hint="eastAsia"/>
                <w:kern w:val="0"/>
                <w:sz w:val="22"/>
                <w:szCs w:val="21"/>
              </w:rPr>
              <w:t>＜</w:t>
            </w:r>
            <w:r>
              <w:rPr>
                <w:rFonts w:ascii="宋体" w:hAnsi="宋体"/>
                <w:kern w:val="0"/>
                <w:sz w:val="22"/>
                <w:szCs w:val="21"/>
              </w:rPr>
              <w:t>30</w:t>
            </w:r>
            <w:r>
              <w:rPr>
                <w:rFonts w:ascii="宋体" w:hAnsi="宋体"/>
                <w:kern w:val="0"/>
                <w:sz w:val="22"/>
                <w:szCs w:val="21"/>
              </w:rPr>
              <w:t>日</w:t>
            </w:r>
          </w:p>
        </w:tc>
        <w:tc>
          <w:tcPr>
            <w:tcW w:w="3359" w:type="dxa"/>
            <w:vAlign w:val="center"/>
          </w:tcPr>
          <w:p w:rsidR="00000000" w:rsidRDefault="00EE53FD">
            <w:pPr>
              <w:ind w:leftChars="-7" w:hangingChars="7" w:hanging="15"/>
              <w:jc w:val="center"/>
              <w:rPr>
                <w:rFonts w:ascii="宋体" w:hAnsi="宋体"/>
                <w:szCs w:val="16"/>
              </w:rPr>
            </w:pPr>
            <w:r>
              <w:rPr>
                <w:rFonts w:ascii="宋体" w:hAnsi="宋体"/>
                <w:kern w:val="0"/>
                <w:sz w:val="22"/>
                <w:szCs w:val="21"/>
              </w:rPr>
              <w:t>1.00%</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autoSpaceDE w:val="0"/>
              <w:autoSpaceDN w:val="0"/>
              <w:adjustRightInd w:val="0"/>
              <w:snapToGrid w:val="0"/>
              <w:spacing w:line="360" w:lineRule="auto"/>
              <w:ind w:firstLineChars="200" w:firstLine="420"/>
              <w:jc w:val="center"/>
              <w:rPr>
                <w:rFonts w:ascii="宋体" w:hAnsi="宋体"/>
                <w:szCs w:val="21"/>
              </w:rPr>
            </w:pPr>
          </w:p>
        </w:tc>
        <w:tc>
          <w:tcPr>
            <w:tcW w:w="3494" w:type="dxa"/>
            <w:tcMar>
              <w:top w:w="15" w:type="dxa"/>
              <w:left w:w="15" w:type="dxa"/>
              <w:bottom w:w="0" w:type="dxa"/>
              <w:right w:w="15" w:type="dxa"/>
            </w:tcMar>
            <w:vAlign w:val="center"/>
          </w:tcPr>
          <w:p w:rsidR="00000000" w:rsidRDefault="00EE53FD">
            <w:pPr>
              <w:ind w:leftChars="-7" w:hangingChars="7" w:hanging="15"/>
              <w:jc w:val="center"/>
              <w:rPr>
                <w:rFonts w:ascii="宋体" w:hAnsi="宋体" w:hint="eastAsia"/>
                <w:kern w:val="0"/>
                <w:szCs w:val="16"/>
              </w:rPr>
            </w:pPr>
            <w:r>
              <w:rPr>
                <w:rFonts w:ascii="宋体" w:hAnsi="宋体"/>
                <w:kern w:val="0"/>
                <w:sz w:val="22"/>
                <w:szCs w:val="21"/>
              </w:rPr>
              <w:t>30</w:t>
            </w:r>
            <w:r>
              <w:rPr>
                <w:rFonts w:ascii="宋体" w:hAnsi="宋体"/>
                <w:kern w:val="0"/>
                <w:sz w:val="22"/>
                <w:szCs w:val="21"/>
              </w:rPr>
              <w:t>日</w:t>
            </w:r>
            <w:r>
              <w:rPr>
                <w:rFonts w:ascii="宋体" w:hAnsi="宋体"/>
                <w:kern w:val="0"/>
                <w:sz w:val="22"/>
                <w:szCs w:val="21"/>
              </w:rPr>
              <w:t>≤Y</w:t>
            </w:r>
            <w:r>
              <w:rPr>
                <w:rFonts w:ascii="宋体" w:hAnsi="宋体" w:hint="eastAsia"/>
                <w:kern w:val="0"/>
                <w:sz w:val="22"/>
                <w:szCs w:val="21"/>
              </w:rPr>
              <w:t>＜</w:t>
            </w:r>
            <w:r>
              <w:rPr>
                <w:rFonts w:ascii="宋体" w:hAnsi="宋体"/>
                <w:kern w:val="0"/>
                <w:sz w:val="22"/>
                <w:szCs w:val="21"/>
              </w:rPr>
              <w:t>180</w:t>
            </w:r>
            <w:r>
              <w:rPr>
                <w:rFonts w:ascii="宋体" w:hAnsi="宋体" w:hint="eastAsia"/>
                <w:kern w:val="0"/>
                <w:sz w:val="22"/>
                <w:szCs w:val="21"/>
              </w:rPr>
              <w:t>日</w:t>
            </w:r>
          </w:p>
        </w:tc>
        <w:tc>
          <w:tcPr>
            <w:tcW w:w="3359" w:type="dxa"/>
            <w:vAlign w:val="center"/>
          </w:tcPr>
          <w:p w:rsidR="00000000" w:rsidRDefault="00EE53FD">
            <w:pPr>
              <w:ind w:leftChars="-7" w:hangingChars="7" w:hanging="15"/>
              <w:jc w:val="center"/>
              <w:rPr>
                <w:rFonts w:ascii="宋体" w:hAnsi="宋体" w:hint="eastAsia"/>
                <w:szCs w:val="16"/>
              </w:rPr>
            </w:pPr>
            <w:r>
              <w:rPr>
                <w:rFonts w:ascii="宋体" w:hAnsi="宋体"/>
                <w:kern w:val="0"/>
                <w:sz w:val="22"/>
                <w:szCs w:val="21"/>
              </w:rPr>
              <w:t>0.50%</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autoSpaceDE w:val="0"/>
              <w:autoSpaceDN w:val="0"/>
              <w:adjustRightInd w:val="0"/>
              <w:snapToGrid w:val="0"/>
              <w:spacing w:line="360" w:lineRule="auto"/>
              <w:ind w:firstLineChars="200" w:firstLine="420"/>
              <w:jc w:val="center"/>
              <w:rPr>
                <w:rFonts w:ascii="宋体" w:hAnsi="宋体"/>
                <w:szCs w:val="21"/>
              </w:rPr>
            </w:pPr>
          </w:p>
        </w:tc>
        <w:tc>
          <w:tcPr>
            <w:tcW w:w="3494" w:type="dxa"/>
            <w:tcMar>
              <w:top w:w="15" w:type="dxa"/>
              <w:left w:w="15" w:type="dxa"/>
              <w:bottom w:w="0" w:type="dxa"/>
              <w:right w:w="15" w:type="dxa"/>
            </w:tcMar>
            <w:vAlign w:val="center"/>
          </w:tcPr>
          <w:p w:rsidR="00000000" w:rsidRDefault="00EE53FD">
            <w:pPr>
              <w:ind w:leftChars="-7" w:hangingChars="7" w:hanging="15"/>
              <w:jc w:val="center"/>
              <w:rPr>
                <w:rFonts w:ascii="宋体" w:hAnsi="宋体"/>
                <w:kern w:val="0"/>
                <w:szCs w:val="16"/>
              </w:rPr>
            </w:pPr>
            <w:r>
              <w:rPr>
                <w:rFonts w:ascii="宋体" w:hAnsi="宋体"/>
                <w:kern w:val="0"/>
                <w:sz w:val="22"/>
                <w:szCs w:val="21"/>
              </w:rPr>
              <w:t>Y</w:t>
            </w:r>
            <w:r>
              <w:rPr>
                <w:rFonts w:ascii="宋体" w:hAnsi="宋体" w:hint="eastAsia"/>
                <w:kern w:val="0"/>
                <w:sz w:val="22"/>
                <w:szCs w:val="21"/>
              </w:rPr>
              <w:t>≥</w:t>
            </w:r>
            <w:r>
              <w:rPr>
                <w:rFonts w:ascii="宋体" w:hAnsi="宋体"/>
                <w:kern w:val="0"/>
                <w:sz w:val="22"/>
                <w:szCs w:val="21"/>
              </w:rPr>
              <w:t>180</w:t>
            </w:r>
            <w:r>
              <w:rPr>
                <w:rFonts w:ascii="宋体" w:hAnsi="宋体" w:hint="eastAsia"/>
                <w:kern w:val="0"/>
                <w:sz w:val="22"/>
                <w:szCs w:val="21"/>
              </w:rPr>
              <w:t>日</w:t>
            </w:r>
          </w:p>
        </w:tc>
        <w:tc>
          <w:tcPr>
            <w:tcW w:w="3359" w:type="dxa"/>
            <w:vAlign w:val="center"/>
          </w:tcPr>
          <w:p w:rsidR="00000000" w:rsidRDefault="00EE53FD">
            <w:pPr>
              <w:ind w:leftChars="-7" w:hangingChars="7" w:hanging="15"/>
              <w:jc w:val="center"/>
              <w:rPr>
                <w:rFonts w:ascii="宋体" w:hAnsi="宋体"/>
                <w:szCs w:val="16"/>
              </w:rPr>
            </w:pPr>
            <w:r>
              <w:rPr>
                <w:rFonts w:ascii="宋体" w:hAnsi="宋体"/>
                <w:kern w:val="0"/>
                <w:sz w:val="22"/>
                <w:szCs w:val="21"/>
              </w:rPr>
              <w:t>0</w:t>
            </w:r>
          </w:p>
        </w:tc>
      </w:tr>
    </w:tbl>
    <w:p w:rsidR="00000000" w:rsidRDefault="00EE53FD">
      <w:pPr>
        <w:pStyle w:val="20"/>
        <w:adjustRightInd w:val="0"/>
        <w:snapToGrid w:val="0"/>
        <w:rPr>
          <w:rFonts w:hint="eastAsia"/>
          <w:szCs w:val="21"/>
        </w:rPr>
      </w:pPr>
    </w:p>
    <w:p w:rsidR="00000000" w:rsidRDefault="00EE53FD">
      <w:pPr>
        <w:pStyle w:val="20"/>
        <w:adjustRightInd w:val="0"/>
        <w:snapToGrid w:val="0"/>
        <w:rPr>
          <w:rFonts w:hint="eastAsia"/>
          <w:szCs w:val="21"/>
        </w:rPr>
      </w:pPr>
      <w:r>
        <w:rPr>
          <w:rFonts w:hint="eastAsia"/>
          <w:szCs w:val="21"/>
        </w:rPr>
        <w:t>（</w:t>
      </w:r>
      <w:r>
        <w:rPr>
          <w:rFonts w:hint="eastAsia"/>
          <w:szCs w:val="21"/>
        </w:rPr>
        <w:t>2</w:t>
      </w:r>
      <w:r>
        <w:rPr>
          <w:rFonts w:hint="eastAsia"/>
          <w:szCs w:val="21"/>
        </w:rPr>
        <w:t>）</w:t>
      </w:r>
      <w:r>
        <w:rPr>
          <w:rFonts w:hint="eastAsia"/>
          <w:szCs w:val="21"/>
        </w:rPr>
        <w:t>C</w:t>
      </w:r>
      <w:r>
        <w:rPr>
          <w:rFonts w:hint="eastAsia"/>
          <w:szCs w:val="21"/>
        </w:rPr>
        <w:t>类基金份额的赎回费率</w:t>
      </w:r>
    </w:p>
    <w:p w:rsidR="00000000" w:rsidRDefault="00EE53FD">
      <w:pPr>
        <w:pStyle w:val="20"/>
        <w:adjustRightInd w:val="0"/>
        <w:snapToGrid w:val="0"/>
        <w:rPr>
          <w:szCs w:val="21"/>
        </w:rPr>
      </w:pPr>
      <w:r>
        <w:rPr>
          <w:rFonts w:hint="eastAsia"/>
          <w:szCs w:val="21"/>
        </w:rPr>
        <w:t>本基金</w:t>
      </w:r>
      <w:r>
        <w:rPr>
          <w:rFonts w:hint="eastAsia"/>
          <w:szCs w:val="21"/>
        </w:rPr>
        <w:t>C</w:t>
      </w:r>
      <w:r>
        <w:rPr>
          <w:rFonts w:hint="eastAsia"/>
          <w:szCs w:val="21"/>
        </w:rPr>
        <w:t>类基金份额的赎回费率按持有期限的长短分档，具体如下</w:t>
      </w:r>
      <w:r>
        <w:rPr>
          <w:szCs w:val="21"/>
        </w:rPr>
        <w:t>：</w:t>
      </w:r>
    </w:p>
    <w:tbl>
      <w:tblPr>
        <w:tblW w:w="8336" w:type="dxa"/>
        <w:jc w:val="center"/>
        <w:tblInd w:w="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tblPr>
      <w:tblGrid>
        <w:gridCol w:w="1483"/>
        <w:gridCol w:w="3494"/>
        <w:gridCol w:w="3359"/>
      </w:tblGrid>
      <w:tr w:rsidR="00000000">
        <w:trPr>
          <w:trHeight w:val="313"/>
          <w:jc w:val="center"/>
        </w:trPr>
        <w:tc>
          <w:tcPr>
            <w:tcW w:w="1483" w:type="dxa"/>
            <w:vMerge w:val="restart"/>
            <w:tcMar>
              <w:top w:w="15" w:type="dxa"/>
              <w:left w:w="15" w:type="dxa"/>
              <w:bottom w:w="0" w:type="dxa"/>
              <w:right w:w="15" w:type="dxa"/>
            </w:tcMar>
            <w:vAlign w:val="center"/>
          </w:tcPr>
          <w:p w:rsidR="00000000" w:rsidRDefault="00EE53FD">
            <w:pPr>
              <w:pStyle w:val="21"/>
              <w:spacing w:before="156" w:after="156" w:line="360" w:lineRule="auto"/>
              <w:ind w:firstLineChars="0" w:firstLine="0"/>
              <w:jc w:val="center"/>
              <w:outlineLvl w:val="9"/>
              <w:rPr>
                <w:rFonts w:ascii="宋体" w:eastAsia="宋体" w:hAnsi="宋体"/>
                <w:sz w:val="21"/>
                <w:szCs w:val="21"/>
              </w:rPr>
            </w:pPr>
            <w:r>
              <w:rPr>
                <w:rFonts w:ascii="宋体" w:eastAsia="宋体" w:hAnsi="宋体"/>
                <w:sz w:val="22"/>
                <w:szCs w:val="22"/>
              </w:rPr>
              <w:t>C</w:t>
            </w:r>
            <w:r>
              <w:rPr>
                <w:rFonts w:ascii="宋体" w:eastAsia="宋体" w:hAnsi="宋体"/>
                <w:sz w:val="22"/>
                <w:szCs w:val="22"/>
              </w:rPr>
              <w:t>类基金份额</w:t>
            </w:r>
            <w:r>
              <w:rPr>
                <w:rFonts w:ascii="宋体" w:eastAsia="宋体" w:hAnsi="宋体" w:hint="eastAsia"/>
                <w:sz w:val="22"/>
                <w:szCs w:val="22"/>
              </w:rPr>
              <w:t>赎回费率</w:t>
            </w:r>
          </w:p>
        </w:tc>
        <w:tc>
          <w:tcPr>
            <w:tcW w:w="3494" w:type="dxa"/>
            <w:tcMar>
              <w:top w:w="15" w:type="dxa"/>
              <w:left w:w="15" w:type="dxa"/>
              <w:bottom w:w="0" w:type="dxa"/>
              <w:right w:w="15" w:type="dxa"/>
            </w:tcMar>
            <w:vAlign w:val="center"/>
          </w:tcPr>
          <w:p w:rsidR="00000000" w:rsidRDefault="00EE53FD">
            <w:pPr>
              <w:widowControl/>
              <w:spacing w:line="360" w:lineRule="auto"/>
              <w:jc w:val="center"/>
              <w:rPr>
                <w:rFonts w:ascii="宋体" w:hAnsi="宋体"/>
                <w:b/>
                <w:kern w:val="0"/>
                <w:szCs w:val="16"/>
              </w:rPr>
            </w:pPr>
            <w:r>
              <w:rPr>
                <w:rFonts w:ascii="宋体" w:hAnsi="宋体" w:hint="eastAsia"/>
                <w:b/>
                <w:kern w:val="0"/>
                <w:sz w:val="22"/>
                <w:szCs w:val="18"/>
              </w:rPr>
              <w:t>持有期限</w:t>
            </w:r>
            <w:r>
              <w:rPr>
                <w:rFonts w:ascii="宋体" w:hAnsi="宋体" w:hint="eastAsia"/>
                <w:b/>
                <w:sz w:val="22"/>
                <w:szCs w:val="18"/>
              </w:rPr>
              <w:t>（</w:t>
            </w:r>
            <w:r>
              <w:rPr>
                <w:rFonts w:ascii="宋体" w:hAnsi="宋体" w:hint="eastAsia"/>
                <w:b/>
                <w:sz w:val="22"/>
                <w:szCs w:val="18"/>
              </w:rPr>
              <w:t>Y</w:t>
            </w:r>
            <w:r>
              <w:rPr>
                <w:rFonts w:ascii="宋体" w:hAnsi="宋体" w:hint="eastAsia"/>
                <w:b/>
                <w:sz w:val="22"/>
                <w:szCs w:val="18"/>
              </w:rPr>
              <w:t>）</w:t>
            </w:r>
          </w:p>
        </w:tc>
        <w:tc>
          <w:tcPr>
            <w:tcW w:w="3359" w:type="dxa"/>
            <w:vAlign w:val="center"/>
          </w:tcPr>
          <w:p w:rsidR="00000000" w:rsidRDefault="00EE53FD">
            <w:pPr>
              <w:widowControl/>
              <w:spacing w:line="360" w:lineRule="auto"/>
              <w:jc w:val="center"/>
              <w:rPr>
                <w:rFonts w:ascii="宋体" w:hAnsi="宋体"/>
                <w:b/>
                <w:kern w:val="0"/>
                <w:szCs w:val="16"/>
              </w:rPr>
            </w:pPr>
            <w:r>
              <w:rPr>
                <w:rFonts w:ascii="宋体" w:hAnsi="宋体" w:hint="eastAsia"/>
                <w:b/>
                <w:kern w:val="0"/>
                <w:sz w:val="22"/>
                <w:szCs w:val="18"/>
              </w:rPr>
              <w:t>赎回费率</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pStyle w:val="21"/>
              <w:spacing w:before="156" w:after="156" w:line="360" w:lineRule="auto"/>
              <w:ind w:firstLineChars="0" w:firstLine="0"/>
              <w:jc w:val="center"/>
              <w:outlineLvl w:val="9"/>
              <w:rPr>
                <w:rFonts w:ascii="宋体" w:eastAsia="宋体" w:hAnsi="宋体"/>
                <w:sz w:val="21"/>
                <w:szCs w:val="21"/>
              </w:rPr>
            </w:pPr>
          </w:p>
        </w:tc>
        <w:tc>
          <w:tcPr>
            <w:tcW w:w="3494" w:type="dxa"/>
            <w:tcMar>
              <w:top w:w="15" w:type="dxa"/>
              <w:left w:w="15" w:type="dxa"/>
              <w:bottom w:w="0" w:type="dxa"/>
              <w:right w:w="15" w:type="dxa"/>
            </w:tcMar>
            <w:vAlign w:val="center"/>
          </w:tcPr>
          <w:p w:rsidR="00000000" w:rsidRDefault="00EE53FD">
            <w:pPr>
              <w:widowControl/>
              <w:spacing w:line="360" w:lineRule="auto"/>
              <w:jc w:val="center"/>
              <w:rPr>
                <w:rFonts w:ascii="宋体" w:hAnsi="宋体"/>
                <w:szCs w:val="16"/>
              </w:rPr>
            </w:pPr>
            <w:r>
              <w:rPr>
                <w:rFonts w:ascii="宋体" w:hAnsi="宋体" w:hint="eastAsia"/>
                <w:kern w:val="0"/>
                <w:sz w:val="22"/>
                <w:szCs w:val="18"/>
              </w:rPr>
              <w:t>Y</w:t>
            </w:r>
            <w:r>
              <w:rPr>
                <w:rFonts w:ascii="宋体" w:hAnsi="宋体" w:hint="eastAsia"/>
                <w:kern w:val="0"/>
                <w:sz w:val="22"/>
                <w:szCs w:val="18"/>
              </w:rPr>
              <w:t>＜</w:t>
            </w:r>
            <w:r>
              <w:rPr>
                <w:rFonts w:ascii="宋体" w:hAnsi="宋体" w:hint="eastAsia"/>
                <w:kern w:val="0"/>
                <w:sz w:val="22"/>
                <w:szCs w:val="18"/>
              </w:rPr>
              <w:t>7</w:t>
            </w:r>
            <w:r>
              <w:rPr>
                <w:rFonts w:ascii="宋体" w:hAnsi="宋体"/>
                <w:kern w:val="0"/>
                <w:sz w:val="22"/>
                <w:szCs w:val="18"/>
              </w:rPr>
              <w:t>日</w:t>
            </w:r>
          </w:p>
        </w:tc>
        <w:tc>
          <w:tcPr>
            <w:tcW w:w="3359" w:type="dxa"/>
            <w:vAlign w:val="center"/>
          </w:tcPr>
          <w:p w:rsidR="00000000" w:rsidRDefault="00EE53FD">
            <w:pPr>
              <w:widowControl/>
              <w:spacing w:line="360" w:lineRule="auto"/>
              <w:jc w:val="center"/>
              <w:rPr>
                <w:rFonts w:ascii="宋体" w:hAnsi="宋体"/>
                <w:szCs w:val="16"/>
              </w:rPr>
            </w:pPr>
            <w:r>
              <w:rPr>
                <w:rFonts w:ascii="宋体" w:hAnsi="宋体" w:hint="eastAsia"/>
                <w:kern w:val="0"/>
                <w:sz w:val="22"/>
                <w:szCs w:val="18"/>
              </w:rPr>
              <w:t>1.50%</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pStyle w:val="21"/>
              <w:spacing w:before="156" w:after="156" w:line="360" w:lineRule="auto"/>
              <w:ind w:firstLineChars="0" w:firstLine="0"/>
              <w:jc w:val="center"/>
              <w:outlineLvl w:val="9"/>
              <w:rPr>
                <w:rFonts w:ascii="宋体" w:eastAsia="宋体" w:hAnsi="宋体"/>
                <w:sz w:val="21"/>
                <w:szCs w:val="21"/>
              </w:rPr>
            </w:pPr>
          </w:p>
        </w:tc>
        <w:tc>
          <w:tcPr>
            <w:tcW w:w="3494" w:type="dxa"/>
            <w:tcMar>
              <w:top w:w="15" w:type="dxa"/>
              <w:left w:w="15" w:type="dxa"/>
              <w:bottom w:w="0" w:type="dxa"/>
              <w:right w:w="15" w:type="dxa"/>
            </w:tcMar>
            <w:vAlign w:val="center"/>
          </w:tcPr>
          <w:p w:rsidR="00000000" w:rsidRDefault="00EE53FD">
            <w:pPr>
              <w:widowControl/>
              <w:spacing w:line="360" w:lineRule="auto"/>
              <w:jc w:val="center"/>
              <w:rPr>
                <w:rFonts w:ascii="宋体" w:hAnsi="宋体" w:hint="eastAsia"/>
                <w:kern w:val="0"/>
                <w:szCs w:val="16"/>
              </w:rPr>
            </w:pPr>
            <w:r>
              <w:rPr>
                <w:rFonts w:ascii="宋体" w:hAnsi="宋体" w:hint="eastAsia"/>
                <w:kern w:val="0"/>
                <w:sz w:val="22"/>
                <w:szCs w:val="18"/>
              </w:rPr>
              <w:t>7</w:t>
            </w:r>
            <w:r>
              <w:rPr>
                <w:rFonts w:ascii="宋体" w:hAnsi="宋体"/>
                <w:kern w:val="0"/>
                <w:sz w:val="22"/>
                <w:szCs w:val="18"/>
              </w:rPr>
              <w:t>日</w:t>
            </w:r>
            <w:r>
              <w:rPr>
                <w:rFonts w:ascii="宋体" w:hAnsi="宋体" w:hint="eastAsia"/>
                <w:kern w:val="0"/>
                <w:sz w:val="22"/>
                <w:szCs w:val="18"/>
              </w:rPr>
              <w:t>≤</w:t>
            </w:r>
            <w:r>
              <w:rPr>
                <w:rFonts w:ascii="宋体" w:hAnsi="宋体" w:hint="eastAsia"/>
                <w:kern w:val="0"/>
                <w:sz w:val="22"/>
                <w:szCs w:val="18"/>
              </w:rPr>
              <w:t>Y</w:t>
            </w:r>
            <w:r>
              <w:rPr>
                <w:rFonts w:ascii="宋体" w:hAnsi="宋体" w:hint="eastAsia"/>
                <w:kern w:val="0"/>
                <w:sz w:val="22"/>
                <w:szCs w:val="18"/>
              </w:rPr>
              <w:t>＜</w:t>
            </w:r>
            <w:r>
              <w:rPr>
                <w:rFonts w:ascii="宋体" w:hAnsi="宋体" w:hint="eastAsia"/>
                <w:kern w:val="0"/>
                <w:sz w:val="22"/>
                <w:szCs w:val="18"/>
              </w:rPr>
              <w:t>30</w:t>
            </w:r>
            <w:r>
              <w:rPr>
                <w:rFonts w:ascii="宋体" w:hAnsi="宋体"/>
                <w:kern w:val="0"/>
                <w:sz w:val="22"/>
                <w:szCs w:val="18"/>
              </w:rPr>
              <w:t>日</w:t>
            </w:r>
          </w:p>
        </w:tc>
        <w:tc>
          <w:tcPr>
            <w:tcW w:w="3359" w:type="dxa"/>
            <w:vAlign w:val="center"/>
          </w:tcPr>
          <w:p w:rsidR="00000000" w:rsidRDefault="00EE53FD">
            <w:pPr>
              <w:widowControl/>
              <w:spacing w:line="360" w:lineRule="auto"/>
              <w:jc w:val="center"/>
              <w:rPr>
                <w:rFonts w:ascii="宋体" w:hAnsi="宋体" w:hint="eastAsia"/>
                <w:szCs w:val="16"/>
              </w:rPr>
            </w:pPr>
            <w:r>
              <w:rPr>
                <w:rFonts w:ascii="宋体" w:hAnsi="宋体"/>
                <w:kern w:val="0"/>
                <w:sz w:val="22"/>
                <w:szCs w:val="18"/>
              </w:rPr>
              <w:t>1.00</w:t>
            </w:r>
            <w:r>
              <w:rPr>
                <w:rFonts w:ascii="宋体" w:hAnsi="宋体" w:hint="eastAsia"/>
                <w:kern w:val="0"/>
                <w:sz w:val="22"/>
                <w:szCs w:val="18"/>
              </w:rPr>
              <w:t>%</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pStyle w:val="21"/>
              <w:spacing w:before="156" w:after="156" w:line="360" w:lineRule="auto"/>
              <w:ind w:firstLineChars="0" w:firstLine="0"/>
              <w:jc w:val="center"/>
              <w:outlineLvl w:val="9"/>
              <w:rPr>
                <w:rFonts w:ascii="宋体" w:eastAsia="宋体" w:hAnsi="宋体"/>
                <w:sz w:val="21"/>
                <w:szCs w:val="21"/>
              </w:rPr>
            </w:pPr>
          </w:p>
        </w:tc>
        <w:tc>
          <w:tcPr>
            <w:tcW w:w="3494" w:type="dxa"/>
            <w:tcMar>
              <w:top w:w="15" w:type="dxa"/>
              <w:left w:w="15" w:type="dxa"/>
              <w:bottom w:w="0" w:type="dxa"/>
              <w:right w:w="15" w:type="dxa"/>
            </w:tcMar>
            <w:vAlign w:val="center"/>
          </w:tcPr>
          <w:p w:rsidR="00000000" w:rsidRDefault="00EE53FD">
            <w:pPr>
              <w:widowControl/>
              <w:spacing w:line="360" w:lineRule="auto"/>
              <w:jc w:val="center"/>
              <w:rPr>
                <w:rFonts w:ascii="宋体" w:hAnsi="宋体" w:hint="eastAsia"/>
                <w:kern w:val="0"/>
                <w:szCs w:val="16"/>
              </w:rPr>
            </w:pPr>
            <w:r>
              <w:rPr>
                <w:rFonts w:ascii="宋体" w:hAnsi="宋体"/>
                <w:kern w:val="0"/>
                <w:sz w:val="22"/>
                <w:szCs w:val="21"/>
              </w:rPr>
              <w:t>30</w:t>
            </w:r>
            <w:r>
              <w:rPr>
                <w:rFonts w:ascii="宋体" w:hAnsi="宋体"/>
                <w:kern w:val="0"/>
                <w:sz w:val="22"/>
                <w:szCs w:val="21"/>
              </w:rPr>
              <w:t>日</w:t>
            </w:r>
            <w:r>
              <w:rPr>
                <w:rFonts w:ascii="宋体" w:hAnsi="宋体"/>
                <w:kern w:val="0"/>
                <w:sz w:val="22"/>
                <w:szCs w:val="21"/>
              </w:rPr>
              <w:t>≤Y</w:t>
            </w:r>
            <w:r>
              <w:rPr>
                <w:rFonts w:ascii="宋体" w:hAnsi="宋体" w:hint="eastAsia"/>
                <w:kern w:val="0"/>
                <w:sz w:val="22"/>
                <w:szCs w:val="21"/>
              </w:rPr>
              <w:t>＜</w:t>
            </w:r>
            <w:r>
              <w:rPr>
                <w:rFonts w:ascii="宋体" w:hAnsi="宋体"/>
                <w:kern w:val="0"/>
                <w:sz w:val="22"/>
                <w:szCs w:val="21"/>
              </w:rPr>
              <w:t>180</w:t>
            </w:r>
            <w:r>
              <w:rPr>
                <w:rFonts w:ascii="宋体" w:hAnsi="宋体" w:hint="eastAsia"/>
                <w:kern w:val="0"/>
                <w:sz w:val="22"/>
                <w:szCs w:val="21"/>
              </w:rPr>
              <w:t>日</w:t>
            </w:r>
          </w:p>
        </w:tc>
        <w:tc>
          <w:tcPr>
            <w:tcW w:w="3359" w:type="dxa"/>
            <w:vAlign w:val="center"/>
          </w:tcPr>
          <w:p w:rsidR="00000000" w:rsidRDefault="00EE53FD">
            <w:pPr>
              <w:widowControl/>
              <w:spacing w:line="360" w:lineRule="auto"/>
              <w:jc w:val="center"/>
              <w:rPr>
                <w:rFonts w:ascii="宋体" w:hAnsi="宋体" w:hint="eastAsia"/>
                <w:szCs w:val="16"/>
              </w:rPr>
            </w:pPr>
            <w:r>
              <w:rPr>
                <w:rFonts w:ascii="宋体" w:hAnsi="宋体" w:hint="eastAsia"/>
                <w:kern w:val="0"/>
                <w:sz w:val="22"/>
                <w:szCs w:val="18"/>
              </w:rPr>
              <w:t>0</w:t>
            </w:r>
            <w:r>
              <w:rPr>
                <w:rFonts w:ascii="宋体" w:hAnsi="宋体"/>
                <w:kern w:val="0"/>
                <w:sz w:val="22"/>
                <w:szCs w:val="18"/>
              </w:rPr>
              <w:t>.50%</w:t>
            </w:r>
          </w:p>
        </w:tc>
      </w:tr>
      <w:tr w:rsidR="00000000">
        <w:trPr>
          <w:trHeight w:val="285"/>
          <w:jc w:val="center"/>
        </w:trPr>
        <w:tc>
          <w:tcPr>
            <w:tcW w:w="1483" w:type="dxa"/>
            <w:vMerge/>
            <w:tcMar>
              <w:top w:w="15" w:type="dxa"/>
              <w:left w:w="15" w:type="dxa"/>
              <w:bottom w:w="0" w:type="dxa"/>
              <w:right w:w="15" w:type="dxa"/>
            </w:tcMar>
            <w:vAlign w:val="center"/>
          </w:tcPr>
          <w:p w:rsidR="00000000" w:rsidRDefault="00EE53FD">
            <w:pPr>
              <w:pStyle w:val="21"/>
              <w:spacing w:before="156" w:after="156" w:line="360" w:lineRule="auto"/>
              <w:ind w:firstLineChars="0" w:firstLine="0"/>
              <w:jc w:val="center"/>
              <w:outlineLvl w:val="9"/>
              <w:rPr>
                <w:rFonts w:ascii="宋体" w:eastAsia="宋体" w:hAnsi="宋体"/>
                <w:sz w:val="21"/>
                <w:szCs w:val="21"/>
              </w:rPr>
            </w:pPr>
          </w:p>
        </w:tc>
        <w:tc>
          <w:tcPr>
            <w:tcW w:w="3494" w:type="dxa"/>
            <w:tcMar>
              <w:top w:w="15" w:type="dxa"/>
              <w:left w:w="15" w:type="dxa"/>
              <w:bottom w:w="0" w:type="dxa"/>
              <w:right w:w="15" w:type="dxa"/>
            </w:tcMar>
            <w:vAlign w:val="center"/>
          </w:tcPr>
          <w:p w:rsidR="00000000" w:rsidRDefault="00EE53FD">
            <w:pPr>
              <w:widowControl/>
              <w:spacing w:line="360" w:lineRule="auto"/>
              <w:jc w:val="center"/>
              <w:rPr>
                <w:rFonts w:ascii="宋体" w:hAnsi="宋体"/>
                <w:kern w:val="0"/>
                <w:szCs w:val="16"/>
              </w:rPr>
            </w:pPr>
            <w:r>
              <w:rPr>
                <w:rFonts w:ascii="宋体" w:hAnsi="宋体" w:hint="eastAsia"/>
                <w:kern w:val="0"/>
                <w:sz w:val="22"/>
                <w:szCs w:val="18"/>
              </w:rPr>
              <w:t>Y</w:t>
            </w:r>
            <w:r>
              <w:rPr>
                <w:rFonts w:ascii="宋体" w:hAnsi="宋体" w:hint="eastAsia"/>
                <w:kern w:val="0"/>
                <w:sz w:val="22"/>
                <w:szCs w:val="18"/>
              </w:rPr>
              <w:t>≥</w:t>
            </w:r>
            <w:r>
              <w:rPr>
                <w:rFonts w:ascii="宋体" w:hAnsi="宋体"/>
                <w:kern w:val="0"/>
                <w:sz w:val="22"/>
                <w:szCs w:val="18"/>
              </w:rPr>
              <w:t>180</w:t>
            </w:r>
            <w:r>
              <w:rPr>
                <w:rFonts w:ascii="宋体" w:hAnsi="宋体"/>
                <w:kern w:val="0"/>
                <w:sz w:val="22"/>
                <w:szCs w:val="18"/>
              </w:rPr>
              <w:t>日</w:t>
            </w:r>
          </w:p>
        </w:tc>
        <w:tc>
          <w:tcPr>
            <w:tcW w:w="3359" w:type="dxa"/>
            <w:vAlign w:val="center"/>
          </w:tcPr>
          <w:p w:rsidR="00000000" w:rsidRDefault="00EE53FD">
            <w:pPr>
              <w:widowControl/>
              <w:spacing w:line="360" w:lineRule="auto"/>
              <w:jc w:val="center"/>
              <w:rPr>
                <w:rFonts w:ascii="宋体" w:hAnsi="宋体"/>
                <w:szCs w:val="16"/>
              </w:rPr>
            </w:pPr>
            <w:r>
              <w:rPr>
                <w:rFonts w:ascii="宋体" w:hAnsi="宋体" w:hint="eastAsia"/>
                <w:kern w:val="0"/>
                <w:sz w:val="22"/>
                <w:szCs w:val="18"/>
              </w:rPr>
              <w:t>0</w:t>
            </w:r>
          </w:p>
        </w:tc>
      </w:tr>
    </w:tbl>
    <w:p w:rsidR="00000000" w:rsidRDefault="00EE53FD">
      <w:pPr>
        <w:spacing w:beforeLines="50" w:afterLines="50" w:line="360" w:lineRule="auto"/>
        <w:rPr>
          <w:rFonts w:cs="宋体" w:hint="eastAsia"/>
          <w:bCs/>
          <w:szCs w:val="21"/>
        </w:rPr>
      </w:pPr>
      <w:r>
        <w:rPr>
          <w:rFonts w:ascii="宋体" w:hAnsi="宋体" w:hint="eastAsia"/>
          <w:b/>
          <w:sz w:val="24"/>
        </w:rPr>
        <w:t xml:space="preserve">4.3 </w:t>
      </w:r>
      <w:bookmarkStart w:id="36" w:name="t_2_4_3_table"/>
      <w:bookmarkEnd w:id="36"/>
      <w:r>
        <w:rPr>
          <w:rFonts w:ascii="宋体" w:hAnsi="宋体" w:hint="eastAsia"/>
          <w:b/>
          <w:sz w:val="24"/>
        </w:rPr>
        <w:t>其他与赎回相关的事项</w:t>
      </w:r>
      <w:bookmarkStart w:id="37" w:name="t_2_4_3_2823_a1_fm1"/>
      <w:bookmarkEnd w:id="37"/>
    </w:p>
    <w:p w:rsidR="00000000" w:rsidRDefault="00EE53FD">
      <w:pPr>
        <w:pStyle w:val="20"/>
        <w:adjustRightInd w:val="0"/>
        <w:snapToGrid w:val="0"/>
        <w:rPr>
          <w:rFonts w:cs="宋体" w:hint="eastAsia"/>
          <w:bCs/>
          <w:szCs w:val="21"/>
        </w:rPr>
      </w:pPr>
      <w:r>
        <w:rPr>
          <w:rFonts w:cs="宋体" w:hint="eastAsia"/>
          <w:bCs/>
          <w:szCs w:val="21"/>
        </w:rPr>
        <w:t>在对基金份额持有人无实质性不利影响的情况下，基金管理人可以在基金合同约定的范围内调整费率或收费方式，并最迟应于新的费率或收费方式实施日前依照《信息披露办法》的有关规定在规定媒介上公告。</w:t>
      </w:r>
    </w:p>
    <w:p w:rsidR="00000000" w:rsidRDefault="00EE53FD">
      <w:pPr>
        <w:pStyle w:val="20"/>
        <w:adjustRightInd w:val="0"/>
        <w:snapToGrid w:val="0"/>
        <w:rPr>
          <w:rFonts w:cs="宋体" w:hint="eastAsia"/>
          <w:bCs/>
          <w:szCs w:val="21"/>
        </w:rPr>
      </w:pPr>
      <w:r>
        <w:rPr>
          <w:rFonts w:cs="宋体" w:hint="eastAsia"/>
          <w:bCs/>
          <w:szCs w:val="21"/>
        </w:rPr>
        <w:t>基金管理人可以在不违反法律法规规定及基金合同约定且对现有基金份额持有人利益无实质性不利影响的前提下，根据市场情况制定基金促销计划，针对投资人定期或不定期地开展基金促销活动。在基金促销活动期间，按相关监管部门要求履行必要手续后，基金管理人可以适当调低基金销售费率，</w:t>
      </w:r>
      <w:r>
        <w:rPr>
          <w:rFonts w:cs="宋体" w:hint="eastAsia"/>
          <w:bCs/>
          <w:szCs w:val="21"/>
        </w:rPr>
        <w:t>或针对特定渠道、特定投资群体开展有差别的费率优惠活动，并进行公告。</w:t>
      </w:r>
    </w:p>
    <w:p w:rsidR="00000000" w:rsidRDefault="00EE53FD">
      <w:pPr>
        <w:pStyle w:val="20"/>
        <w:adjustRightInd w:val="0"/>
        <w:snapToGrid w:val="0"/>
        <w:rPr>
          <w:rFonts w:cs="宋体" w:hint="eastAsia"/>
          <w:bCs/>
          <w:szCs w:val="21"/>
        </w:rPr>
      </w:pPr>
      <w:r>
        <w:rPr>
          <w:rFonts w:cs="宋体" w:hint="eastAsia"/>
          <w:bCs/>
          <w:szCs w:val="21"/>
        </w:rPr>
        <w:t>当本基金发生大额赎回情形时，基金管理人可以采用摆动定价机制，以确保基金估值的公平性。具体处理原则与操作规范遵循相关法律法规以及监管部门、自律规则的规定。</w:t>
      </w:r>
    </w:p>
    <w:p w:rsidR="00000000" w:rsidRDefault="00EE53FD">
      <w:pPr>
        <w:pStyle w:val="20"/>
        <w:adjustRightInd w:val="0"/>
        <w:snapToGrid w:val="0"/>
        <w:rPr>
          <w:rFonts w:cs="宋体" w:hint="eastAsia"/>
          <w:bCs/>
          <w:szCs w:val="21"/>
        </w:rPr>
      </w:pPr>
      <w:r>
        <w:rPr>
          <w:rFonts w:cs="宋体" w:hint="eastAsia"/>
          <w:bCs/>
          <w:szCs w:val="21"/>
        </w:rPr>
        <w:t>对于投资者通过基金管理人申购的或者投资者持续持有期限超过一年的</w:t>
      </w:r>
      <w:r>
        <w:rPr>
          <w:rFonts w:cs="宋体" w:hint="eastAsia"/>
          <w:bCs/>
          <w:szCs w:val="21"/>
        </w:rPr>
        <w:t>C</w:t>
      </w:r>
      <w:r>
        <w:rPr>
          <w:rFonts w:cs="宋体" w:hint="eastAsia"/>
          <w:bCs/>
          <w:szCs w:val="21"/>
        </w:rPr>
        <w:t>类基金份额，计提的销售服务费将在投资者赎回相应基金份额时随赎回款一并返还给投资者，具体金额以登记机构的计算结果为准，具体计算方式详见本基金更新的招募说明书。</w:t>
      </w:r>
    </w:p>
    <w:p w:rsidR="00000000" w:rsidRDefault="00EE53FD">
      <w:pPr>
        <w:autoSpaceDE w:val="0"/>
        <w:autoSpaceDN w:val="0"/>
        <w:adjustRightInd w:val="0"/>
        <w:snapToGrid w:val="0"/>
        <w:spacing w:line="360" w:lineRule="auto"/>
        <w:jc w:val="left"/>
        <w:rPr>
          <w:rFonts w:ascii="宋体" w:hAnsi="宋体" w:hint="eastAsia"/>
          <w:b/>
          <w:sz w:val="24"/>
          <w:szCs w:val="24"/>
        </w:rPr>
      </w:pPr>
      <w:r>
        <w:rPr>
          <w:rFonts w:ascii="宋体" w:hAnsi="宋体" w:hint="eastAsia"/>
          <w:b/>
          <w:sz w:val="24"/>
          <w:szCs w:val="24"/>
        </w:rPr>
        <w:t xml:space="preserve">5 </w:t>
      </w:r>
      <w:bookmarkStart w:id="38" w:name="t_2_5_table"/>
      <w:bookmarkEnd w:id="38"/>
      <w:r>
        <w:rPr>
          <w:rFonts w:ascii="宋体" w:hAnsi="宋体" w:hint="eastAsia"/>
          <w:b/>
          <w:sz w:val="24"/>
          <w:szCs w:val="24"/>
        </w:rPr>
        <w:t>本基金日常转换业务</w:t>
      </w:r>
    </w:p>
    <w:p w:rsidR="00000000" w:rsidRDefault="00EE53FD">
      <w:pPr>
        <w:pStyle w:val="2"/>
        <w:spacing w:beforeLines="50" w:afterLines="50" w:line="360" w:lineRule="auto"/>
        <w:jc w:val="left"/>
        <w:rPr>
          <w:rFonts w:ascii="宋体" w:eastAsia="宋体" w:hAnsi="宋体" w:hint="eastAsia"/>
          <w:bCs/>
          <w:sz w:val="24"/>
          <w:szCs w:val="24"/>
        </w:rPr>
      </w:pPr>
      <w:r>
        <w:rPr>
          <w:rFonts w:ascii="宋体" w:eastAsia="宋体" w:hAnsi="宋体" w:hint="eastAsia"/>
          <w:bCs/>
          <w:sz w:val="24"/>
          <w:szCs w:val="24"/>
        </w:rPr>
        <w:t xml:space="preserve">5.1 </w:t>
      </w:r>
      <w:r>
        <w:rPr>
          <w:rFonts w:ascii="宋体" w:eastAsia="宋体" w:hAnsi="宋体" w:hint="eastAsia"/>
          <w:bCs/>
          <w:sz w:val="24"/>
          <w:szCs w:val="24"/>
        </w:rPr>
        <w:t>转换费率</w:t>
      </w:r>
    </w:p>
    <w:p w:rsidR="00000000" w:rsidRDefault="00EE53FD">
      <w:pPr>
        <w:spacing w:line="360" w:lineRule="auto"/>
        <w:ind w:firstLineChars="200" w:firstLine="420"/>
        <w:jc w:val="left"/>
        <w:rPr>
          <w:rFonts w:ascii="宋体" w:hAnsi="宋体" w:hint="eastAsia"/>
          <w:szCs w:val="21"/>
        </w:rPr>
      </w:pPr>
      <w:bookmarkStart w:id="39" w:name="t_2_5_0179_a1_fm1"/>
      <w:bookmarkEnd w:id="39"/>
      <w:r>
        <w:rPr>
          <w:rFonts w:ascii="宋体" w:hAnsi="宋体" w:hint="eastAsia"/>
          <w:szCs w:val="21"/>
        </w:rPr>
        <w:t>1</w:t>
      </w:r>
      <w:r>
        <w:rPr>
          <w:rFonts w:ascii="宋体" w:hAnsi="宋体" w:hint="eastAsia"/>
          <w:szCs w:val="21"/>
        </w:rPr>
        <w:t>、基金转换费用按照转出基</w:t>
      </w:r>
      <w:r>
        <w:rPr>
          <w:rFonts w:ascii="宋体" w:hAnsi="宋体" w:hint="eastAsia"/>
          <w:szCs w:val="21"/>
        </w:rPr>
        <w:t>金赎回费用加上转出与转入基金申购费用补差的标准收取。当转出基金申购费率低于转入基金申购费率时，费用补差为按照转出基金金额</w:t>
      </w:r>
      <w:r>
        <w:rPr>
          <w:rFonts w:ascii="宋体" w:hAnsi="宋体" w:hint="eastAsia"/>
          <w:szCs w:val="21"/>
        </w:rPr>
        <w:t>(</w:t>
      </w:r>
      <w:r>
        <w:rPr>
          <w:rFonts w:ascii="宋体" w:hAnsi="宋体" w:hint="eastAsia"/>
          <w:szCs w:val="21"/>
        </w:rPr>
        <w:t>不含转出基金赎回费</w:t>
      </w:r>
      <w:r>
        <w:rPr>
          <w:rFonts w:ascii="宋体" w:hAnsi="宋体" w:hint="eastAsia"/>
          <w:szCs w:val="21"/>
        </w:rPr>
        <w:t>)</w:t>
      </w:r>
      <w:r>
        <w:rPr>
          <w:rFonts w:ascii="宋体" w:hAnsi="宋体" w:hint="eastAsia"/>
          <w:szCs w:val="21"/>
        </w:rPr>
        <w:t>计算的申购费用差额；当转出基金申购费率高于转入基金申购费率时，不收取费用补差。</w:t>
      </w:r>
      <w:r>
        <w:rPr>
          <w:rFonts w:ascii="宋体" w:hAnsi="宋体" w:hint="eastAsia"/>
          <w:szCs w:val="21"/>
        </w:rPr>
        <w:t xml:space="preserve"> </w:t>
      </w:r>
    </w:p>
    <w:p w:rsidR="00000000" w:rsidRDefault="00EE53FD">
      <w:pPr>
        <w:spacing w:line="360" w:lineRule="auto"/>
        <w:ind w:firstLineChars="200" w:firstLine="420"/>
        <w:jc w:val="left"/>
        <w:rPr>
          <w:rFonts w:ascii="宋体" w:hAnsi="宋体" w:hint="eastAsia"/>
          <w:szCs w:val="21"/>
        </w:rPr>
      </w:pPr>
      <w:r>
        <w:rPr>
          <w:rFonts w:ascii="宋体" w:hAnsi="宋体" w:hint="eastAsia"/>
          <w:szCs w:val="21"/>
        </w:rPr>
        <w:t>2</w:t>
      </w:r>
      <w:r>
        <w:rPr>
          <w:rFonts w:ascii="宋体" w:hAnsi="宋体" w:hint="eastAsia"/>
          <w:szCs w:val="21"/>
        </w:rPr>
        <w:t>、基金转换后的基金份额持有时间自转换转入确认日开始重新计算。</w:t>
      </w:r>
    </w:p>
    <w:p w:rsidR="00000000" w:rsidRDefault="00EE53FD">
      <w:pPr>
        <w:spacing w:line="360" w:lineRule="auto"/>
        <w:ind w:firstLineChars="200" w:firstLine="420"/>
        <w:jc w:val="left"/>
        <w:rPr>
          <w:rFonts w:ascii="宋体" w:hAnsi="宋体" w:hint="eastAsia"/>
          <w:szCs w:val="21"/>
        </w:rPr>
      </w:pPr>
      <w:r>
        <w:rPr>
          <w:rFonts w:ascii="宋体" w:hAnsi="宋体" w:hint="eastAsia"/>
          <w:szCs w:val="21"/>
        </w:rPr>
        <w:t>3</w:t>
      </w:r>
      <w:r>
        <w:rPr>
          <w:rFonts w:ascii="宋体" w:hAnsi="宋体" w:hint="eastAsia"/>
          <w:szCs w:val="21"/>
        </w:rPr>
        <w:t>、基金转换采取未知价法，以申请当日</w:t>
      </w:r>
      <w:r>
        <w:rPr>
          <w:rFonts w:ascii="宋体" w:hAnsi="宋体" w:hint="eastAsia"/>
          <w:szCs w:val="21"/>
        </w:rPr>
        <w:t>(</w:t>
      </w:r>
      <w:r>
        <w:rPr>
          <w:rFonts w:ascii="宋体" w:hAnsi="宋体" w:hint="eastAsia"/>
          <w:szCs w:val="21"/>
        </w:rPr>
        <w:t>以下简称“</w:t>
      </w:r>
      <w:r>
        <w:rPr>
          <w:rFonts w:ascii="宋体" w:hAnsi="宋体" w:hint="eastAsia"/>
          <w:szCs w:val="21"/>
        </w:rPr>
        <w:t>T</w:t>
      </w:r>
      <w:r>
        <w:rPr>
          <w:rFonts w:ascii="宋体" w:hAnsi="宋体" w:hint="eastAsia"/>
          <w:szCs w:val="21"/>
        </w:rPr>
        <w:t>”日</w:t>
      </w:r>
      <w:r>
        <w:rPr>
          <w:rFonts w:ascii="宋体" w:hAnsi="宋体" w:hint="eastAsia"/>
          <w:szCs w:val="21"/>
        </w:rPr>
        <w:t>)</w:t>
      </w:r>
      <w:r>
        <w:rPr>
          <w:rFonts w:ascii="宋体" w:hAnsi="宋体" w:hint="eastAsia"/>
          <w:szCs w:val="21"/>
        </w:rPr>
        <w:t>基金份额资产净值为基础计算。</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 xml:space="preserve">5.2 </w:t>
      </w:r>
      <w:r>
        <w:rPr>
          <w:rFonts w:ascii="宋体" w:hAnsi="宋体" w:hint="eastAsia"/>
          <w:b/>
          <w:sz w:val="24"/>
        </w:rPr>
        <w:t>其他与转换相关的事项</w:t>
      </w:r>
    </w:p>
    <w:p w:rsidR="00000000" w:rsidRDefault="00EE53FD">
      <w:pPr>
        <w:pStyle w:val="20"/>
        <w:ind w:firstLineChars="0" w:firstLine="480"/>
        <w:rPr>
          <w:rFonts w:hint="eastAsia"/>
          <w:szCs w:val="21"/>
        </w:rPr>
      </w:pPr>
      <w:bookmarkStart w:id="40" w:name="t_2_5_2824_a1_fm1"/>
      <w:bookmarkEnd w:id="40"/>
      <w:r>
        <w:rPr>
          <w:rFonts w:hint="eastAsia"/>
          <w:szCs w:val="21"/>
        </w:rPr>
        <w:t>1</w:t>
      </w:r>
      <w:r>
        <w:rPr>
          <w:rFonts w:hint="eastAsia"/>
          <w:szCs w:val="21"/>
        </w:rPr>
        <w:t>、本基金开通与</w:t>
      </w:r>
      <w:r>
        <w:rPr>
          <w:rFonts w:hint="eastAsia"/>
          <w:szCs w:val="21"/>
        </w:rPr>
        <w:t>银华</w:t>
      </w:r>
      <w:r>
        <w:rPr>
          <w:rFonts w:hint="eastAsia"/>
          <w:szCs w:val="21"/>
        </w:rPr>
        <w:t>旗下其它开放式基金（由同一注册登记机构办理注册登记的、已公告开通基金转换业务、且通过非个</w:t>
      </w:r>
      <w:r>
        <w:rPr>
          <w:rFonts w:hint="eastAsia"/>
          <w:szCs w:val="21"/>
        </w:rPr>
        <w:t>人养老金资金账户投资）之间的转换业务，各基金转换业务的开放状态及交易限制详见各基金相关公告。本公司今后发行的其他开放式基金将视具体情况确定是否开展基金转换业务。</w:t>
      </w:r>
    </w:p>
    <w:p w:rsidR="00000000" w:rsidRDefault="00EE53FD">
      <w:pPr>
        <w:pStyle w:val="20"/>
        <w:ind w:firstLineChars="0" w:firstLine="480"/>
        <w:rPr>
          <w:rFonts w:hint="eastAsia"/>
          <w:szCs w:val="21"/>
        </w:rPr>
      </w:pPr>
      <w:r>
        <w:rPr>
          <w:rFonts w:hint="eastAsia"/>
          <w:szCs w:val="21"/>
        </w:rPr>
        <w:t>2</w:t>
      </w:r>
      <w:r>
        <w:rPr>
          <w:rFonts w:hint="eastAsia"/>
          <w:szCs w:val="21"/>
        </w:rPr>
        <w:t>、办理银华旗下基金之间转换业务的投资者需到同时销售拟转出和转入两只基金的同一销售机构办理基金的转换业务。具体以销售机构规定为准。</w:t>
      </w:r>
    </w:p>
    <w:p w:rsidR="00000000" w:rsidRDefault="00EE53FD">
      <w:pPr>
        <w:pStyle w:val="20"/>
        <w:ind w:firstLineChars="0" w:firstLine="480"/>
        <w:rPr>
          <w:rFonts w:hint="eastAsia"/>
          <w:szCs w:val="21"/>
        </w:rPr>
      </w:pPr>
      <w:r>
        <w:rPr>
          <w:rFonts w:hint="eastAsia"/>
          <w:szCs w:val="21"/>
        </w:rPr>
        <w:t>3</w:t>
      </w:r>
      <w:r>
        <w:rPr>
          <w:rFonts w:hint="eastAsia"/>
          <w:szCs w:val="21"/>
        </w:rPr>
        <w:t>、本基金的转换业务适用本公司《银华基金管理股份有限公司基金注册登记业务规则》及后续做出的修订。</w:t>
      </w:r>
    </w:p>
    <w:p w:rsidR="00000000" w:rsidRDefault="00EE53FD">
      <w:pPr>
        <w:pStyle w:val="20"/>
        <w:ind w:firstLineChars="0" w:firstLine="480"/>
        <w:rPr>
          <w:rFonts w:hint="eastAsia"/>
          <w:szCs w:val="21"/>
        </w:rPr>
      </w:pPr>
      <w:r>
        <w:rPr>
          <w:rFonts w:hint="eastAsia"/>
          <w:szCs w:val="21"/>
        </w:rPr>
        <w:t>4</w:t>
      </w:r>
      <w:r>
        <w:rPr>
          <w:rFonts w:hint="eastAsia"/>
          <w:szCs w:val="21"/>
        </w:rPr>
        <w:t>、投资者可在基金开放日申请办理本基金转换业务，具体办理时间与本基金申购、赎回业务办理时间相同（本公司公告暂停基金转换时</w:t>
      </w:r>
      <w:r>
        <w:rPr>
          <w:rFonts w:hint="eastAsia"/>
          <w:szCs w:val="21"/>
        </w:rPr>
        <w:t>除外）。</w:t>
      </w:r>
    </w:p>
    <w:p w:rsidR="00000000" w:rsidRDefault="00EE53FD">
      <w:pPr>
        <w:pStyle w:val="20"/>
        <w:ind w:firstLineChars="0" w:firstLine="480"/>
        <w:rPr>
          <w:rFonts w:hint="eastAsia"/>
          <w:szCs w:val="21"/>
        </w:rPr>
      </w:pPr>
      <w:r>
        <w:rPr>
          <w:rFonts w:hint="eastAsia"/>
          <w:szCs w:val="21"/>
        </w:rPr>
        <w:t>5</w:t>
      </w:r>
      <w:r>
        <w:rPr>
          <w:rFonts w:hint="eastAsia"/>
          <w:szCs w:val="21"/>
        </w:rPr>
        <w:t>、投资者办理基金转换业务时，转出方的基金必须处于可赎回状态，转入方的基金必须处于可申购状态。</w:t>
      </w:r>
    </w:p>
    <w:p w:rsidR="00000000" w:rsidRDefault="00EE53FD">
      <w:pPr>
        <w:pStyle w:val="20"/>
        <w:ind w:firstLineChars="0" w:firstLine="480"/>
        <w:rPr>
          <w:rFonts w:hint="eastAsia"/>
          <w:szCs w:val="21"/>
        </w:rPr>
      </w:pPr>
      <w:r>
        <w:rPr>
          <w:rFonts w:hint="eastAsia"/>
          <w:szCs w:val="21"/>
        </w:rPr>
        <w:t>6</w:t>
      </w:r>
      <w:r>
        <w:rPr>
          <w:rFonts w:hint="eastAsia"/>
          <w:szCs w:val="21"/>
        </w:rPr>
        <w:t>、</w:t>
      </w:r>
      <w:r>
        <w:rPr>
          <w:rFonts w:hint="eastAsia"/>
          <w:szCs w:val="21"/>
        </w:rPr>
        <w:t>本基金不同份额之间暂不开通相互转换。</w:t>
      </w:r>
    </w:p>
    <w:p w:rsidR="00000000" w:rsidRDefault="00EE53FD">
      <w:pPr>
        <w:pStyle w:val="20"/>
        <w:ind w:firstLineChars="0" w:firstLine="480"/>
        <w:rPr>
          <w:rFonts w:hint="eastAsia"/>
          <w:szCs w:val="21"/>
        </w:rPr>
      </w:pPr>
      <w:r>
        <w:rPr>
          <w:rFonts w:hint="eastAsia"/>
          <w:szCs w:val="21"/>
        </w:rPr>
        <w:t>7</w:t>
      </w:r>
      <w:r>
        <w:rPr>
          <w:rFonts w:hint="eastAsia"/>
          <w:szCs w:val="21"/>
        </w:rPr>
        <w:t>、北京度小满基金销售有限公司、上海陆享基金销售有限公司暂不开通银华旗下全部基金的转换业务。</w:t>
      </w:r>
    </w:p>
    <w:p w:rsidR="00000000" w:rsidRDefault="00EE53FD">
      <w:pPr>
        <w:pStyle w:val="20"/>
        <w:ind w:firstLineChars="0" w:firstLine="480"/>
        <w:rPr>
          <w:rFonts w:hint="eastAsia"/>
          <w:szCs w:val="21"/>
        </w:rPr>
      </w:pPr>
      <w:r>
        <w:rPr>
          <w:rFonts w:hint="eastAsia"/>
          <w:szCs w:val="21"/>
        </w:rPr>
        <w:t>8</w:t>
      </w:r>
      <w:r>
        <w:rPr>
          <w:rFonts w:hint="eastAsia"/>
          <w:szCs w:val="21"/>
        </w:rPr>
        <w:t>、对于本基金</w:t>
      </w:r>
      <w:r>
        <w:rPr>
          <w:rFonts w:hint="eastAsia"/>
          <w:szCs w:val="21"/>
        </w:rPr>
        <w:t>C</w:t>
      </w:r>
      <w:r>
        <w:rPr>
          <w:rFonts w:hint="eastAsia"/>
          <w:szCs w:val="21"/>
        </w:rPr>
        <w:t>类基金份额的转换转出业务，满足返还条件的销售服务费将作为转换转出份额对应的款项一并划转至转换转入的基金，具体金额以登记机构的计算结果为准，基金转换的具体计算方式详见本公司届时更新的《银华基金管理股份有限公司基金注册登记业务规则》。</w:t>
      </w:r>
    </w:p>
    <w:p w:rsidR="00000000" w:rsidRDefault="00EE53FD">
      <w:pPr>
        <w:pStyle w:val="2"/>
        <w:spacing w:beforeLines="50" w:afterLines="50" w:line="360" w:lineRule="auto"/>
        <w:rPr>
          <w:rFonts w:ascii="宋体" w:eastAsia="宋体" w:hAnsi="宋体" w:hint="eastAsia"/>
          <w:bCs/>
          <w:sz w:val="24"/>
          <w:szCs w:val="24"/>
        </w:rPr>
      </w:pPr>
      <w:r>
        <w:rPr>
          <w:rFonts w:ascii="宋体" w:eastAsia="宋体" w:hAnsi="宋体" w:hint="eastAsia"/>
          <w:bCs/>
          <w:sz w:val="24"/>
          <w:szCs w:val="24"/>
        </w:rPr>
        <w:t xml:space="preserve">6 </w:t>
      </w:r>
      <w:r>
        <w:rPr>
          <w:rFonts w:ascii="宋体" w:eastAsia="宋体" w:hAnsi="宋体" w:hint="eastAsia"/>
          <w:bCs/>
          <w:sz w:val="24"/>
          <w:szCs w:val="24"/>
        </w:rPr>
        <w:t>本基金定期定额投资</w:t>
      </w:r>
      <w:r>
        <w:rPr>
          <w:rFonts w:ascii="宋体" w:eastAsia="宋体" w:hAnsi="宋体" w:hint="eastAsia"/>
          <w:bCs/>
          <w:sz w:val="24"/>
          <w:szCs w:val="24"/>
        </w:rPr>
        <w:t>业务</w:t>
      </w:r>
    </w:p>
    <w:p w:rsidR="00000000" w:rsidRDefault="00EE53FD">
      <w:pPr>
        <w:pStyle w:val="20"/>
        <w:rPr>
          <w:rFonts w:hint="eastAsia"/>
          <w:szCs w:val="21"/>
        </w:rPr>
      </w:pPr>
      <w:r>
        <w:rPr>
          <w:rFonts w:hint="eastAsia"/>
          <w:szCs w:val="21"/>
        </w:rPr>
        <w:t>6.1</w:t>
      </w:r>
      <w:r>
        <w:rPr>
          <w:szCs w:val="21"/>
        </w:rPr>
        <w:t>申请办理</w:t>
      </w:r>
      <w:r>
        <w:rPr>
          <w:szCs w:val="21"/>
        </w:rPr>
        <w:t>“</w:t>
      </w:r>
      <w:r>
        <w:rPr>
          <w:szCs w:val="21"/>
        </w:rPr>
        <w:t>定期定额投资计划</w:t>
      </w:r>
      <w:r>
        <w:rPr>
          <w:szCs w:val="21"/>
        </w:rPr>
        <w:t>”</w:t>
      </w:r>
      <w:r>
        <w:rPr>
          <w:szCs w:val="21"/>
        </w:rPr>
        <w:t>的投资者可自行约定每期扣款金额，但最低不少于人民币</w:t>
      </w:r>
      <w:r>
        <w:rPr>
          <w:szCs w:val="21"/>
        </w:rPr>
        <w:t>1</w:t>
      </w:r>
      <w:r>
        <w:rPr>
          <w:rFonts w:hint="eastAsia"/>
          <w:szCs w:val="21"/>
        </w:rPr>
        <w:t>0</w:t>
      </w:r>
      <w:r>
        <w:rPr>
          <w:szCs w:val="21"/>
        </w:rPr>
        <w:t>元（含</w:t>
      </w:r>
      <w:r>
        <w:rPr>
          <w:szCs w:val="21"/>
        </w:rPr>
        <w:t>1</w:t>
      </w:r>
      <w:r>
        <w:rPr>
          <w:rFonts w:hint="eastAsia"/>
          <w:szCs w:val="21"/>
        </w:rPr>
        <w:t>0</w:t>
      </w:r>
      <w:r>
        <w:rPr>
          <w:szCs w:val="21"/>
        </w:rPr>
        <w:t>元），具体业务规则请以各参加活动销售机构的规定为准。</w:t>
      </w:r>
    </w:p>
    <w:p w:rsidR="00000000" w:rsidRDefault="00EE53FD">
      <w:pPr>
        <w:pStyle w:val="20"/>
        <w:rPr>
          <w:rFonts w:hint="eastAsia"/>
          <w:szCs w:val="21"/>
        </w:rPr>
      </w:pPr>
      <w:r>
        <w:rPr>
          <w:rFonts w:hint="eastAsia"/>
          <w:szCs w:val="21"/>
        </w:rPr>
        <w:t>6.2</w:t>
      </w:r>
      <w:r>
        <w:rPr>
          <w:rFonts w:hint="eastAsia"/>
          <w:szCs w:val="21"/>
        </w:rPr>
        <w:t>投资者可在本基金场外销售机构办理本基金的定期定额投资业务，具体办理规则及程序请遵循各销售机构的规定。</w:t>
      </w:r>
    </w:p>
    <w:p w:rsidR="00000000" w:rsidRDefault="00EE53FD">
      <w:pPr>
        <w:pStyle w:val="2"/>
        <w:spacing w:beforeLines="50" w:afterLines="50" w:line="360" w:lineRule="auto"/>
        <w:rPr>
          <w:rFonts w:ascii="宋体" w:eastAsia="宋体" w:hAnsi="宋体" w:hint="eastAsia"/>
          <w:bCs/>
          <w:sz w:val="24"/>
          <w:szCs w:val="24"/>
        </w:rPr>
      </w:pPr>
      <w:r>
        <w:rPr>
          <w:rFonts w:ascii="宋体" w:eastAsia="宋体" w:hAnsi="宋体" w:hint="eastAsia"/>
          <w:bCs/>
          <w:sz w:val="24"/>
          <w:szCs w:val="24"/>
        </w:rPr>
        <w:t xml:space="preserve">7 </w:t>
      </w:r>
      <w:r>
        <w:rPr>
          <w:rFonts w:ascii="宋体" w:eastAsia="宋体" w:hAnsi="宋体" w:hint="eastAsia"/>
          <w:bCs/>
          <w:sz w:val="24"/>
          <w:szCs w:val="24"/>
        </w:rPr>
        <w:t>基金销售机构</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7.1</w:t>
      </w:r>
      <w:bookmarkStart w:id="41" w:name="t_2_7_table"/>
      <w:bookmarkEnd w:id="41"/>
      <w:r>
        <w:rPr>
          <w:rFonts w:ascii="宋体" w:hAnsi="宋体" w:hint="eastAsia"/>
          <w:b/>
          <w:sz w:val="24"/>
        </w:rPr>
        <w:t xml:space="preserve"> </w:t>
      </w:r>
      <w:r>
        <w:rPr>
          <w:rFonts w:ascii="宋体" w:hAnsi="宋体" w:hint="eastAsia"/>
          <w:b/>
          <w:sz w:val="24"/>
        </w:rPr>
        <w:t>场外销售机构</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 xml:space="preserve">7.1.1 </w:t>
      </w:r>
      <w:r>
        <w:rPr>
          <w:rFonts w:ascii="宋体" w:hAnsi="宋体" w:hint="eastAsia"/>
          <w:b/>
          <w:sz w:val="24"/>
        </w:rPr>
        <w:t>直销机构</w:t>
      </w:r>
    </w:p>
    <w:p w:rsidR="00000000" w:rsidRDefault="00EE53FD">
      <w:pPr>
        <w:spacing w:line="360" w:lineRule="auto"/>
        <w:ind w:firstLineChars="200" w:firstLine="420"/>
        <w:rPr>
          <w:rFonts w:ascii="宋体" w:hAnsi="宋体"/>
          <w:szCs w:val="21"/>
        </w:rPr>
      </w:pPr>
      <w:bookmarkStart w:id="42" w:name="t_2_7_2833_a1_fm1"/>
      <w:bookmarkEnd w:id="42"/>
      <w:r>
        <w:rPr>
          <w:rFonts w:ascii="宋体" w:hAnsi="宋体" w:hint="eastAsia"/>
          <w:szCs w:val="21"/>
        </w:rPr>
        <w:t>（</w:t>
      </w:r>
      <w:r>
        <w:rPr>
          <w:rFonts w:ascii="宋体" w:hAnsi="宋体"/>
          <w:szCs w:val="21"/>
        </w:rPr>
        <w:t>1</w:t>
      </w:r>
      <w:r>
        <w:rPr>
          <w:rFonts w:ascii="宋体" w:hAnsi="宋体"/>
          <w:szCs w:val="21"/>
        </w:rPr>
        <w:t>）银华基金管理股份有限公司北京直销中心</w:t>
      </w:r>
      <w:r>
        <w:rPr>
          <w:rFonts w:ascii="宋体" w:hAnsi="宋体"/>
          <w:szCs w:val="21"/>
        </w:rPr>
        <w:t xml:space="preserve"> </w:t>
      </w:r>
    </w:p>
    <w:p w:rsidR="00000000" w:rsidRDefault="00EE53FD">
      <w:pPr>
        <w:spacing w:line="360" w:lineRule="auto"/>
        <w:ind w:firstLineChars="200" w:firstLine="420"/>
        <w:rPr>
          <w:rFonts w:ascii="宋体" w:hAnsi="宋体"/>
          <w:szCs w:val="21"/>
        </w:rPr>
      </w:pPr>
      <w:r>
        <w:rPr>
          <w:rFonts w:ascii="宋体" w:hAnsi="宋体" w:hint="eastAsia"/>
          <w:szCs w:val="21"/>
        </w:rPr>
        <w:t>地址：北京市东城区东长安街</w:t>
      </w:r>
      <w:r>
        <w:rPr>
          <w:rFonts w:ascii="宋体" w:hAnsi="宋体"/>
          <w:szCs w:val="21"/>
        </w:rPr>
        <w:t>1</w:t>
      </w:r>
      <w:r>
        <w:rPr>
          <w:rFonts w:ascii="宋体" w:hAnsi="宋体"/>
          <w:szCs w:val="21"/>
        </w:rPr>
        <w:t>号东方广场东方经贸城</w:t>
      </w:r>
      <w:r>
        <w:rPr>
          <w:rFonts w:ascii="宋体" w:hAnsi="宋体"/>
          <w:szCs w:val="21"/>
        </w:rPr>
        <w:t>C2</w:t>
      </w:r>
      <w:r>
        <w:rPr>
          <w:rFonts w:ascii="宋体" w:hAnsi="宋体"/>
          <w:szCs w:val="21"/>
        </w:rPr>
        <w:t>办公楼</w:t>
      </w:r>
      <w:r>
        <w:rPr>
          <w:rFonts w:ascii="宋体" w:hAnsi="宋体" w:hint="eastAsia"/>
          <w:szCs w:val="21"/>
        </w:rPr>
        <w:t>3</w:t>
      </w:r>
      <w:r>
        <w:rPr>
          <w:rFonts w:ascii="宋体" w:hAnsi="宋体"/>
          <w:szCs w:val="21"/>
        </w:rPr>
        <w:t>层</w:t>
      </w:r>
      <w:r>
        <w:rPr>
          <w:rFonts w:ascii="宋体" w:hAnsi="宋体"/>
          <w:szCs w:val="21"/>
        </w:rPr>
        <w:t xml:space="preserve"> </w:t>
      </w:r>
    </w:p>
    <w:p w:rsidR="00000000" w:rsidRDefault="00EE53FD">
      <w:pPr>
        <w:spacing w:line="360" w:lineRule="auto"/>
        <w:ind w:firstLineChars="200" w:firstLine="420"/>
        <w:rPr>
          <w:rFonts w:ascii="宋体" w:hAnsi="宋体"/>
          <w:szCs w:val="21"/>
        </w:rPr>
      </w:pPr>
      <w:r>
        <w:rPr>
          <w:rFonts w:ascii="宋体" w:hAnsi="宋体" w:hint="eastAsia"/>
          <w:szCs w:val="21"/>
        </w:rPr>
        <w:t>电话：</w:t>
      </w:r>
      <w:r>
        <w:rPr>
          <w:rFonts w:ascii="宋体" w:hAnsi="宋体"/>
          <w:szCs w:val="21"/>
        </w:rPr>
        <w:t xml:space="preserve">010-58162950 </w:t>
      </w:r>
    </w:p>
    <w:p w:rsidR="00000000" w:rsidRDefault="00EE53FD">
      <w:pPr>
        <w:spacing w:line="360" w:lineRule="auto"/>
        <w:ind w:firstLineChars="200" w:firstLine="420"/>
        <w:rPr>
          <w:rFonts w:ascii="宋体" w:hAnsi="宋体"/>
          <w:szCs w:val="21"/>
        </w:rPr>
      </w:pPr>
      <w:r>
        <w:rPr>
          <w:rFonts w:ascii="宋体" w:hAnsi="宋体" w:hint="eastAsia"/>
          <w:szCs w:val="21"/>
        </w:rPr>
        <w:t>传真：</w:t>
      </w:r>
      <w:r>
        <w:rPr>
          <w:rFonts w:ascii="宋体" w:hAnsi="宋体"/>
          <w:szCs w:val="21"/>
        </w:rPr>
        <w:t xml:space="preserve">010-58162951 </w:t>
      </w:r>
    </w:p>
    <w:p w:rsidR="00000000" w:rsidRDefault="00EE53FD">
      <w:pPr>
        <w:spacing w:line="360" w:lineRule="auto"/>
        <w:ind w:firstLineChars="200" w:firstLine="420"/>
        <w:rPr>
          <w:rFonts w:ascii="宋体" w:hAnsi="宋体"/>
          <w:szCs w:val="21"/>
        </w:rPr>
      </w:pPr>
      <w:r>
        <w:rPr>
          <w:rFonts w:ascii="宋体" w:hAnsi="宋体" w:hint="eastAsia"/>
          <w:szCs w:val="21"/>
        </w:rPr>
        <w:t>联系</w:t>
      </w:r>
      <w:r>
        <w:rPr>
          <w:rFonts w:ascii="宋体" w:hAnsi="宋体" w:hint="eastAsia"/>
          <w:szCs w:val="21"/>
        </w:rPr>
        <w:t>人：展璐</w:t>
      </w:r>
      <w:r>
        <w:rPr>
          <w:rFonts w:ascii="宋体" w:hAnsi="宋体"/>
          <w:szCs w:val="21"/>
        </w:rPr>
        <w:t xml:space="preserve"> </w:t>
      </w:r>
    </w:p>
    <w:p w:rsidR="00000000" w:rsidRDefault="00EE53FD">
      <w:pPr>
        <w:spacing w:line="360" w:lineRule="auto"/>
        <w:ind w:firstLineChars="200" w:firstLine="420"/>
        <w:rPr>
          <w:rFonts w:ascii="宋体" w:hAnsi="宋体"/>
          <w:szCs w:val="21"/>
        </w:rPr>
      </w:pPr>
      <w:r>
        <w:rPr>
          <w:rFonts w:ascii="宋体" w:hAnsi="宋体" w:hint="eastAsia"/>
          <w:szCs w:val="21"/>
        </w:rPr>
        <w:t>网址：</w:t>
      </w:r>
      <w:r>
        <w:rPr>
          <w:rFonts w:ascii="宋体" w:hAnsi="宋体"/>
          <w:szCs w:val="21"/>
        </w:rPr>
        <w:t xml:space="preserve">www.yhfund.com.cn </w:t>
      </w:r>
    </w:p>
    <w:p w:rsidR="00000000" w:rsidRDefault="00EE53FD">
      <w:pPr>
        <w:spacing w:line="360" w:lineRule="auto"/>
        <w:ind w:firstLineChars="200" w:firstLine="420"/>
        <w:rPr>
          <w:rFonts w:ascii="宋体" w:hAnsi="宋体"/>
          <w:szCs w:val="21"/>
        </w:rPr>
      </w:pPr>
      <w:r>
        <w:rPr>
          <w:rFonts w:ascii="宋体" w:hAnsi="宋体" w:hint="eastAsia"/>
          <w:szCs w:val="21"/>
        </w:rPr>
        <w:t>全国统一客户服务电话：</w:t>
      </w:r>
      <w:r>
        <w:rPr>
          <w:rFonts w:ascii="宋体" w:hAnsi="宋体"/>
          <w:szCs w:val="21"/>
        </w:rPr>
        <w:t xml:space="preserve">400-678-3333 </w:t>
      </w:r>
    </w:p>
    <w:p w:rsidR="00000000" w:rsidRDefault="00EE53FD">
      <w:pPr>
        <w:spacing w:line="360" w:lineRule="auto"/>
        <w:ind w:firstLineChars="200" w:firstLine="420"/>
        <w:rPr>
          <w:rFonts w:ascii="宋体" w:hAnsi="宋体"/>
          <w:szCs w:val="21"/>
        </w:rPr>
      </w:pPr>
      <w:r>
        <w:rPr>
          <w:rFonts w:ascii="宋体" w:hAnsi="宋体" w:hint="eastAsia"/>
          <w:szCs w:val="21"/>
        </w:rPr>
        <w:t>（</w:t>
      </w:r>
      <w:r>
        <w:rPr>
          <w:rFonts w:ascii="宋体" w:hAnsi="宋体"/>
          <w:szCs w:val="21"/>
        </w:rPr>
        <w:t>2</w:t>
      </w:r>
      <w:r>
        <w:rPr>
          <w:rFonts w:ascii="宋体" w:hAnsi="宋体"/>
          <w:szCs w:val="21"/>
        </w:rPr>
        <w:t>）银华基金管理股份有限公司网上直销</w:t>
      </w:r>
      <w:r>
        <w:rPr>
          <w:rFonts w:ascii="宋体" w:hAnsi="宋体" w:hint="eastAsia"/>
          <w:szCs w:val="21"/>
        </w:rPr>
        <w:t>交易系统</w:t>
      </w:r>
    </w:p>
    <w:p w:rsidR="00000000" w:rsidRDefault="00EE53FD">
      <w:pPr>
        <w:spacing w:line="360" w:lineRule="auto"/>
        <w:ind w:firstLineChars="200" w:firstLine="420"/>
        <w:rPr>
          <w:rFonts w:ascii="宋体" w:hAnsi="宋体"/>
          <w:szCs w:val="21"/>
        </w:rPr>
      </w:pPr>
      <w:r>
        <w:rPr>
          <w:rFonts w:ascii="宋体" w:hAnsi="宋体" w:hint="eastAsia"/>
          <w:szCs w:val="21"/>
        </w:rPr>
        <w:t>网上交易网址：</w:t>
      </w:r>
      <w:r>
        <w:rPr>
          <w:rFonts w:ascii="宋体" w:hAnsi="宋体"/>
          <w:szCs w:val="21"/>
        </w:rPr>
        <w:t>https://trade.yhfund.com.cn/yhxntrade</w:t>
      </w:r>
    </w:p>
    <w:p w:rsidR="00000000" w:rsidRDefault="00EE53FD">
      <w:pPr>
        <w:spacing w:line="360" w:lineRule="auto"/>
        <w:ind w:firstLineChars="200" w:firstLine="420"/>
        <w:rPr>
          <w:rFonts w:ascii="宋体" w:hAnsi="宋体" w:hint="eastAsia"/>
          <w:szCs w:val="21"/>
        </w:rPr>
      </w:pPr>
      <w:r>
        <w:rPr>
          <w:rFonts w:ascii="宋体" w:hAnsi="宋体" w:hint="eastAsia"/>
          <w:szCs w:val="21"/>
        </w:rPr>
        <w:t>网上交易网址（移动端）：</w:t>
      </w:r>
      <w:hyperlink r:id="rId7" w:history="1">
        <w:r>
          <w:rPr>
            <w:rStyle w:val="ab"/>
            <w:rFonts w:ascii="宋体" w:hAnsi="宋体" w:hint="eastAsia"/>
            <w:color w:val="auto"/>
            <w:szCs w:val="21"/>
          </w:rPr>
          <w:t>https://zhixiao.yhfund.com.cn</w:t>
        </w:r>
      </w:hyperlink>
    </w:p>
    <w:p w:rsidR="00000000" w:rsidRDefault="00EE53FD">
      <w:pPr>
        <w:spacing w:line="360" w:lineRule="auto"/>
        <w:ind w:firstLineChars="200" w:firstLine="420"/>
        <w:rPr>
          <w:rFonts w:ascii="宋体" w:hAnsi="宋体"/>
          <w:szCs w:val="21"/>
        </w:rPr>
      </w:pPr>
      <w:r>
        <w:rPr>
          <w:rFonts w:ascii="宋体" w:hAnsi="宋体" w:hint="eastAsia"/>
          <w:szCs w:val="21"/>
        </w:rPr>
        <w:t>客户服务电话：</w:t>
      </w:r>
      <w:r>
        <w:rPr>
          <w:rFonts w:ascii="宋体" w:hAnsi="宋体"/>
          <w:szCs w:val="21"/>
        </w:rPr>
        <w:t>010-85186558, 4006783333</w:t>
      </w:r>
    </w:p>
    <w:p w:rsidR="00000000" w:rsidRDefault="00EE53FD">
      <w:pPr>
        <w:spacing w:line="360" w:lineRule="auto"/>
        <w:ind w:firstLineChars="200" w:firstLine="420"/>
        <w:rPr>
          <w:rFonts w:ascii="宋体" w:hAnsi="宋体"/>
          <w:szCs w:val="21"/>
        </w:rPr>
      </w:pPr>
      <w:r>
        <w:rPr>
          <w:rFonts w:ascii="宋体" w:hAnsi="宋体" w:hint="eastAsia"/>
          <w:szCs w:val="21"/>
        </w:rPr>
        <w:t>本基金</w:t>
      </w:r>
      <w:r>
        <w:rPr>
          <w:rFonts w:ascii="宋体" w:hAnsi="宋体" w:hint="eastAsia"/>
          <w:szCs w:val="21"/>
        </w:rPr>
        <w:t>C</w:t>
      </w:r>
      <w:r>
        <w:rPr>
          <w:rFonts w:ascii="宋体" w:hAnsi="宋体" w:hint="eastAsia"/>
          <w:szCs w:val="21"/>
        </w:rPr>
        <w:t>类份额暂不通过直销渠</w:t>
      </w:r>
      <w:r>
        <w:rPr>
          <w:rFonts w:ascii="宋体" w:hAnsi="宋体" w:hint="eastAsia"/>
          <w:szCs w:val="21"/>
        </w:rPr>
        <w:t>道发售。投资者如需选择</w:t>
      </w:r>
      <w:r>
        <w:rPr>
          <w:rFonts w:ascii="宋体" w:hAnsi="宋体" w:hint="eastAsia"/>
          <w:szCs w:val="21"/>
        </w:rPr>
        <w:t>C</w:t>
      </w:r>
      <w:r>
        <w:rPr>
          <w:rFonts w:ascii="宋体" w:hAnsi="宋体" w:hint="eastAsia"/>
          <w:szCs w:val="21"/>
        </w:rPr>
        <w:t>类基金份额可通过其他销售机构进行</w:t>
      </w:r>
      <w:r>
        <w:rPr>
          <w:rFonts w:ascii="宋体" w:hAnsi="宋体" w:hint="eastAsia"/>
          <w:szCs w:val="21"/>
        </w:rPr>
        <w:t>申</w:t>
      </w:r>
      <w:r>
        <w:rPr>
          <w:rFonts w:ascii="宋体" w:hAnsi="宋体" w:hint="eastAsia"/>
          <w:szCs w:val="21"/>
        </w:rPr>
        <w:t>购。基金管理人可以根据情况变更、增减销售机构，并在基金管理人网站公示。</w:t>
      </w:r>
    </w:p>
    <w:p w:rsidR="00000000" w:rsidRDefault="00EE53FD">
      <w:pPr>
        <w:numPr>
          <w:ilvl w:val="2"/>
          <w:numId w:val="2"/>
        </w:numPr>
        <w:spacing w:beforeLines="50" w:afterLines="50" w:line="360" w:lineRule="auto"/>
        <w:jc w:val="left"/>
        <w:rPr>
          <w:rFonts w:ascii="宋体" w:hAnsi="宋体" w:hint="eastAsia"/>
          <w:b/>
          <w:sz w:val="24"/>
        </w:rPr>
      </w:pPr>
      <w:r>
        <w:rPr>
          <w:rFonts w:ascii="宋体" w:hAnsi="宋体" w:hint="eastAsia"/>
          <w:b/>
          <w:sz w:val="24"/>
        </w:rPr>
        <w:t>场外代销机构</w:t>
      </w:r>
    </w:p>
    <w:p w:rsidR="00000000" w:rsidRDefault="00EE53FD">
      <w:pPr>
        <w:spacing w:beforeLines="50" w:afterLines="50" w:line="360" w:lineRule="auto"/>
        <w:ind w:firstLineChars="200" w:firstLine="420"/>
        <w:jc w:val="left"/>
        <w:rPr>
          <w:rFonts w:ascii="宋体" w:hAnsi="宋体" w:hint="eastAsia"/>
          <w:szCs w:val="21"/>
        </w:rPr>
      </w:pPr>
      <w:r>
        <w:rPr>
          <w:rFonts w:ascii="宋体" w:hAnsi="宋体" w:hint="eastAsia"/>
          <w:szCs w:val="21"/>
        </w:rPr>
        <w:t>中国人寿保险股份有限公司、招商银行股份有限公司、贵州省贵文文化基金销售有限公司、深圳众禄基金销售股份有限公司、中信银行股份有限公司、中国建设银行股份有限公司、</w:t>
      </w:r>
      <w:r>
        <w:rPr>
          <w:rFonts w:ascii="宋体" w:hAnsi="宋体" w:hint="eastAsia"/>
          <w:szCs w:val="21"/>
        </w:rPr>
        <w:t>开源证券股份有限公司、国盛证券股份有限公司、浙商证券股份有限公司、华泰证券股份有限公司、国泰海通证券股份有限公司、中信建投证券股份有限公司、招商证券股份有限公司、中信证券股份有限公司、渤海证券股份有限公司、中信</w:t>
      </w:r>
      <w:r>
        <w:rPr>
          <w:rFonts w:ascii="宋体" w:hAnsi="宋体" w:hint="eastAsia"/>
          <w:szCs w:val="21"/>
        </w:rPr>
        <w:t>证券（山东）有限责任公司、中信证券华南股份有限公司、国联民生证券股份有限公司、东莞证券股份有限公司、东海证券股份有限公司、华西证券股份有限公司、第一创业证券股份有限公司、中国中金财富证券有限公司、国金证券股份有限公司、上海挖财基金销售有限公司、腾安基金销售（深圳）有限公司、北京度小满基金销售有限公司、易方达财富管理基金销售（广州）有限公司、上海天天基金销售有限公司、上海好买基金销售有限公司、蚂蚁（杭州）基金销售有限公司、浙江同花顺基金销售有限公司、泛华普益基金销售有限公司、宜信普泽（北京）基金销售有限公司、</w:t>
      </w:r>
      <w:r>
        <w:rPr>
          <w:rFonts w:ascii="宋体" w:hAnsi="宋体" w:hint="eastAsia"/>
          <w:szCs w:val="21"/>
        </w:rPr>
        <w:t>南京苏宁基金销售有限公司、通华财富（上海）基金销售有限公司、上海大智慧基金销售有限公司、北京新浪仓石基金销售有限公司、上海万得基金销售有限公司、珠海盈米基金销售有限公司、和耕传承基金销售有限公司、京东肯特瑞基金销售有限公司、北京雪球基金销售有限公司、深圳市前海排排网基金销售有限责任公司、上海华夏财富投资管理有限公司、东方财富证券股份有限公司、玄元保险代理有限公司</w:t>
      </w:r>
      <w:r>
        <w:rPr>
          <w:rFonts w:ascii="宋体" w:hAnsi="宋体" w:hint="eastAsia"/>
          <w:szCs w:val="21"/>
        </w:rPr>
        <w:t>（以上排名不分先后）。</w:t>
      </w:r>
    </w:p>
    <w:p w:rsidR="00000000" w:rsidRDefault="00EE53FD">
      <w:pPr>
        <w:spacing w:beforeLines="50" w:afterLines="50" w:line="360" w:lineRule="auto"/>
        <w:ind w:firstLineChars="200" w:firstLine="420"/>
        <w:jc w:val="left"/>
        <w:rPr>
          <w:rFonts w:ascii="宋体" w:hAnsi="宋体" w:hint="eastAsia"/>
          <w:szCs w:val="21"/>
        </w:rPr>
      </w:pPr>
      <w:r>
        <w:rPr>
          <w:rFonts w:ascii="宋体" w:hAnsi="宋体" w:hint="eastAsia"/>
          <w:szCs w:val="21"/>
        </w:rPr>
        <w:t>基金管理人可根据《基金法》、《运作办法》、《销售办法》和基金合同等的规定，选择其他符合要求的机构销售本基金，并在基金管理人网</w:t>
      </w:r>
      <w:r>
        <w:rPr>
          <w:rFonts w:ascii="宋体" w:hAnsi="宋体" w:hint="eastAsia"/>
          <w:szCs w:val="21"/>
        </w:rPr>
        <w:t>站公示。</w:t>
      </w:r>
    </w:p>
    <w:p w:rsidR="00000000" w:rsidRDefault="00EE53FD">
      <w:pPr>
        <w:spacing w:beforeLines="50" w:afterLines="50" w:line="360" w:lineRule="auto"/>
        <w:jc w:val="left"/>
        <w:rPr>
          <w:rFonts w:ascii="宋体" w:hAnsi="宋体" w:hint="eastAsia"/>
          <w:b/>
          <w:sz w:val="24"/>
        </w:rPr>
      </w:pPr>
      <w:r>
        <w:rPr>
          <w:rFonts w:ascii="宋体" w:hAnsi="宋体" w:hint="eastAsia"/>
          <w:b/>
          <w:sz w:val="24"/>
        </w:rPr>
        <w:t xml:space="preserve">7.1.3 </w:t>
      </w:r>
      <w:r>
        <w:rPr>
          <w:rFonts w:ascii="宋体" w:hAnsi="宋体" w:hint="eastAsia"/>
          <w:b/>
          <w:sz w:val="24"/>
        </w:rPr>
        <w:t>网上直销交易系统</w:t>
      </w:r>
    </w:p>
    <w:p w:rsidR="00000000" w:rsidRDefault="00EE53FD">
      <w:pPr>
        <w:spacing w:beforeLines="50" w:afterLines="50" w:line="360" w:lineRule="auto"/>
        <w:ind w:firstLineChars="200" w:firstLine="420"/>
        <w:jc w:val="left"/>
        <w:rPr>
          <w:rFonts w:ascii="宋体" w:hAnsi="宋体" w:hint="eastAsia"/>
          <w:szCs w:val="21"/>
        </w:rPr>
      </w:pPr>
      <w:r>
        <w:rPr>
          <w:rFonts w:ascii="宋体" w:hAnsi="宋体" w:hint="eastAsia"/>
          <w:szCs w:val="21"/>
        </w:rPr>
        <w:t>投资者可以通过本公司网上直销交易系统办理本基金的申购、赎回、定期定额投资及转换业务，具体交易细则请参阅本公司网站公告。</w:t>
      </w:r>
    </w:p>
    <w:p w:rsidR="00000000" w:rsidRDefault="00EE53FD">
      <w:pPr>
        <w:spacing w:line="360" w:lineRule="auto"/>
        <w:ind w:firstLineChars="200" w:firstLine="420"/>
        <w:rPr>
          <w:rFonts w:ascii="宋体" w:hAnsi="宋体" w:hint="eastAsia"/>
          <w:szCs w:val="21"/>
        </w:rPr>
      </w:pPr>
      <w:r>
        <w:rPr>
          <w:rFonts w:ascii="宋体" w:hAnsi="宋体" w:hint="eastAsia"/>
          <w:szCs w:val="21"/>
        </w:rPr>
        <w:t>本基金</w:t>
      </w:r>
      <w:r>
        <w:rPr>
          <w:rFonts w:ascii="宋体" w:hAnsi="宋体" w:hint="eastAsia"/>
          <w:szCs w:val="21"/>
        </w:rPr>
        <w:t>C</w:t>
      </w:r>
      <w:r>
        <w:rPr>
          <w:rFonts w:ascii="宋体" w:hAnsi="宋体" w:hint="eastAsia"/>
          <w:szCs w:val="21"/>
        </w:rPr>
        <w:t>类份额暂不通过直销渠道发售。投资者如需选择</w:t>
      </w:r>
      <w:r>
        <w:rPr>
          <w:rFonts w:ascii="宋体" w:hAnsi="宋体" w:hint="eastAsia"/>
          <w:szCs w:val="21"/>
        </w:rPr>
        <w:t>C</w:t>
      </w:r>
      <w:r>
        <w:rPr>
          <w:rFonts w:ascii="宋体" w:hAnsi="宋体" w:hint="eastAsia"/>
          <w:szCs w:val="21"/>
        </w:rPr>
        <w:t>类基金份额可通过其他销售机构进行</w:t>
      </w:r>
      <w:r>
        <w:rPr>
          <w:rFonts w:ascii="宋体" w:hAnsi="宋体" w:hint="eastAsia"/>
          <w:szCs w:val="21"/>
        </w:rPr>
        <w:t>申</w:t>
      </w:r>
      <w:r>
        <w:rPr>
          <w:rFonts w:ascii="宋体" w:hAnsi="宋体" w:hint="eastAsia"/>
          <w:szCs w:val="21"/>
        </w:rPr>
        <w:t>购。基金管理人可以根据情况变更、增减销售机构，并在基金管理人网站公示。</w:t>
      </w:r>
    </w:p>
    <w:p w:rsidR="00000000" w:rsidRDefault="00EE53FD">
      <w:pPr>
        <w:tabs>
          <w:tab w:val="left" w:pos="2655"/>
        </w:tabs>
        <w:spacing w:beforeLines="50" w:afterLines="50" w:line="360" w:lineRule="auto"/>
        <w:jc w:val="left"/>
        <w:rPr>
          <w:rFonts w:ascii="宋体" w:hAnsi="宋体" w:hint="eastAsia"/>
          <w:b/>
          <w:sz w:val="24"/>
        </w:rPr>
      </w:pPr>
      <w:r>
        <w:rPr>
          <w:rFonts w:ascii="宋体" w:hAnsi="宋体" w:hint="eastAsia"/>
          <w:b/>
          <w:sz w:val="24"/>
        </w:rPr>
        <w:t xml:space="preserve">7.2 </w:t>
      </w:r>
      <w:r>
        <w:rPr>
          <w:rFonts w:ascii="宋体" w:hAnsi="宋体" w:hint="eastAsia"/>
          <w:b/>
          <w:sz w:val="24"/>
        </w:rPr>
        <w:t>场内销售机构</w:t>
      </w:r>
    </w:p>
    <w:p w:rsidR="00000000" w:rsidRDefault="00EE53FD">
      <w:pPr>
        <w:spacing w:line="360" w:lineRule="auto"/>
        <w:ind w:firstLineChars="200" w:firstLine="420"/>
        <w:jc w:val="left"/>
        <w:rPr>
          <w:rFonts w:ascii="宋体" w:hAnsi="宋体" w:hint="eastAsia"/>
          <w:szCs w:val="21"/>
        </w:rPr>
      </w:pPr>
      <w:bookmarkStart w:id="43" w:name="t_2_7_2835_a1_fm1"/>
      <w:bookmarkEnd w:id="43"/>
      <w:r>
        <w:rPr>
          <w:rFonts w:ascii="宋体" w:hAnsi="宋体" w:hint="eastAsia"/>
          <w:szCs w:val="21"/>
        </w:rPr>
        <w:t>无。</w:t>
      </w:r>
    </w:p>
    <w:p w:rsidR="00000000" w:rsidRDefault="00EE53FD">
      <w:pPr>
        <w:tabs>
          <w:tab w:val="left" w:pos="2655"/>
        </w:tabs>
        <w:spacing w:beforeLines="50" w:afterLines="50" w:line="360" w:lineRule="auto"/>
        <w:jc w:val="left"/>
        <w:rPr>
          <w:rFonts w:ascii="宋体" w:hAnsi="宋体" w:hint="eastAsia"/>
          <w:b/>
          <w:sz w:val="24"/>
          <w:szCs w:val="22"/>
        </w:rPr>
      </w:pPr>
      <w:r>
        <w:rPr>
          <w:rFonts w:ascii="宋体" w:hAnsi="宋体" w:hint="eastAsia"/>
          <w:b/>
          <w:sz w:val="24"/>
          <w:szCs w:val="22"/>
        </w:rPr>
        <w:t xml:space="preserve">8 </w:t>
      </w:r>
      <w:bookmarkStart w:id="44" w:name="t_2_8_table"/>
      <w:bookmarkEnd w:id="44"/>
      <w:r>
        <w:rPr>
          <w:rFonts w:ascii="宋体" w:hAnsi="宋体" w:hint="eastAsia"/>
          <w:b/>
          <w:sz w:val="24"/>
          <w:szCs w:val="22"/>
        </w:rPr>
        <w:t>本基金基金份额净值公告的披露安排</w:t>
      </w:r>
      <w:bookmarkStart w:id="45" w:name="t_2_8_2756_a1_fm1"/>
      <w:bookmarkEnd w:id="45"/>
    </w:p>
    <w:p w:rsidR="00000000" w:rsidRDefault="00EE53FD">
      <w:pPr>
        <w:adjustRightInd w:val="0"/>
        <w:snapToGrid w:val="0"/>
        <w:spacing w:line="360" w:lineRule="auto"/>
        <w:ind w:firstLineChars="200" w:firstLine="420"/>
        <w:rPr>
          <w:rFonts w:ascii="黑体" w:hAnsi="黑体" w:hint="eastAsia"/>
          <w:bCs/>
          <w:szCs w:val="21"/>
        </w:rPr>
      </w:pPr>
      <w:r>
        <w:rPr>
          <w:rFonts w:ascii="黑体" w:hAnsi="黑体" w:hint="eastAsia"/>
          <w:bCs/>
          <w:szCs w:val="21"/>
        </w:rPr>
        <w:t>基金合同生效后，在开始办理基金份额申购或者赎回前，基金管理人应当至少每周在规定网站披露一次各类基金份额的基金份额净值和基金份额累</w:t>
      </w:r>
      <w:r>
        <w:rPr>
          <w:rFonts w:ascii="黑体" w:hAnsi="黑体" w:hint="eastAsia"/>
          <w:bCs/>
          <w:szCs w:val="21"/>
        </w:rPr>
        <w:t>计净值。</w:t>
      </w:r>
    </w:p>
    <w:p w:rsidR="00000000" w:rsidRDefault="00EE53FD">
      <w:pPr>
        <w:adjustRightInd w:val="0"/>
        <w:snapToGrid w:val="0"/>
        <w:spacing w:line="360" w:lineRule="auto"/>
        <w:ind w:firstLineChars="200" w:firstLine="420"/>
        <w:rPr>
          <w:rFonts w:ascii="黑体" w:hAnsi="黑体" w:hint="eastAsia"/>
          <w:bCs/>
          <w:szCs w:val="21"/>
        </w:rPr>
      </w:pPr>
      <w:r>
        <w:rPr>
          <w:rFonts w:ascii="黑体" w:hAnsi="黑体" w:hint="eastAsia"/>
          <w:bCs/>
          <w:szCs w:val="21"/>
        </w:rPr>
        <w:t>在本基金开始办理基金份额申购或者赎回后，基金管理人应在不晚于每个开放日的次日，通过规定网站、销售机构网站或者营业网点披露开放日的各类基金份额的基金份额净值和基金份额累计净值。</w:t>
      </w:r>
    </w:p>
    <w:p w:rsidR="00000000" w:rsidRDefault="00EE53FD">
      <w:pPr>
        <w:adjustRightInd w:val="0"/>
        <w:snapToGrid w:val="0"/>
        <w:spacing w:line="360" w:lineRule="auto"/>
        <w:ind w:firstLineChars="200" w:firstLine="420"/>
        <w:rPr>
          <w:rFonts w:ascii="黑体" w:hAnsi="黑体" w:hint="eastAsia"/>
          <w:bCs/>
          <w:szCs w:val="21"/>
        </w:rPr>
      </w:pPr>
      <w:r>
        <w:rPr>
          <w:rFonts w:ascii="黑体" w:hAnsi="黑体" w:hint="eastAsia"/>
          <w:bCs/>
          <w:szCs w:val="21"/>
        </w:rPr>
        <w:t>基金管理人应当在不晚于半年度和年度最后一日的次日，在规定网站披露半年度和年度最后一日的各类基金份额的基金份额净值和基金份额累计净值。</w:t>
      </w:r>
    </w:p>
    <w:p w:rsidR="00000000" w:rsidRDefault="00EE53FD">
      <w:pPr>
        <w:adjustRightInd w:val="0"/>
        <w:snapToGrid w:val="0"/>
        <w:spacing w:line="360" w:lineRule="auto"/>
        <w:ind w:firstLineChars="200" w:firstLine="420"/>
        <w:rPr>
          <w:rFonts w:ascii="黑体" w:hAnsi="黑体" w:hint="eastAsia"/>
          <w:bCs/>
          <w:szCs w:val="21"/>
        </w:rPr>
      </w:pPr>
      <w:r>
        <w:rPr>
          <w:rFonts w:ascii="黑体" w:hAnsi="黑体" w:hint="eastAsia"/>
          <w:bCs/>
          <w:szCs w:val="21"/>
        </w:rPr>
        <w:t>本基金计算各类基金份额净值时，按前一日基金资产净值的</w:t>
      </w:r>
      <w:r>
        <w:rPr>
          <w:rFonts w:ascii="黑体" w:hAnsi="黑体" w:hint="eastAsia"/>
          <w:bCs/>
          <w:szCs w:val="21"/>
        </w:rPr>
        <w:t>1.20%</w:t>
      </w:r>
      <w:r>
        <w:rPr>
          <w:rFonts w:ascii="黑体" w:hAnsi="黑体" w:hint="eastAsia"/>
          <w:bCs/>
          <w:szCs w:val="21"/>
        </w:rPr>
        <w:t>年费率计算管理费，每日披露的各类基金份额净值为未扣除超额管理费（如有）前的该类基金份额净值。</w:t>
      </w:r>
    </w:p>
    <w:p w:rsidR="00000000" w:rsidRDefault="00EE53FD">
      <w:pPr>
        <w:pStyle w:val="2"/>
        <w:spacing w:beforeLines="50" w:afterLines="50" w:line="360" w:lineRule="auto"/>
        <w:rPr>
          <w:rFonts w:ascii="宋体" w:eastAsia="宋体" w:hAnsi="宋体" w:hint="eastAsia"/>
          <w:bCs/>
          <w:sz w:val="24"/>
          <w:szCs w:val="24"/>
        </w:rPr>
      </w:pPr>
      <w:r>
        <w:rPr>
          <w:rFonts w:ascii="宋体" w:eastAsia="宋体" w:hAnsi="宋体" w:hint="eastAsia"/>
          <w:bCs/>
          <w:sz w:val="24"/>
          <w:szCs w:val="24"/>
        </w:rPr>
        <w:t xml:space="preserve">9 </w:t>
      </w:r>
      <w:bookmarkStart w:id="46" w:name="t_2_9_table"/>
      <w:bookmarkEnd w:id="46"/>
      <w:r>
        <w:rPr>
          <w:rFonts w:ascii="宋体" w:eastAsia="宋体" w:hAnsi="宋体" w:hint="eastAsia"/>
          <w:bCs/>
          <w:sz w:val="24"/>
          <w:szCs w:val="24"/>
        </w:rPr>
        <w:t>其他需要提示的事项</w:t>
      </w:r>
    </w:p>
    <w:p w:rsidR="00000000" w:rsidRDefault="00EE53FD">
      <w:pPr>
        <w:spacing w:line="360" w:lineRule="auto"/>
        <w:ind w:firstLineChars="200" w:firstLine="420"/>
        <w:jc w:val="left"/>
        <w:rPr>
          <w:rFonts w:ascii="宋体" w:hAnsi="宋体"/>
          <w:szCs w:val="21"/>
        </w:rPr>
      </w:pPr>
      <w:bookmarkStart w:id="47" w:name="t_2_9_2646_a1_fm1"/>
      <w:bookmarkEnd w:id="47"/>
      <w:r>
        <w:rPr>
          <w:rFonts w:ascii="宋体" w:hAnsi="宋体"/>
          <w:szCs w:val="21"/>
        </w:rPr>
        <w:t>1</w:t>
      </w:r>
      <w:r>
        <w:rPr>
          <w:rFonts w:ascii="宋体" w:hAnsi="宋体"/>
          <w:szCs w:val="21"/>
        </w:rPr>
        <w:t>、</w:t>
      </w:r>
      <w:r>
        <w:rPr>
          <w:rFonts w:ascii="宋体" w:hAnsi="宋体" w:hint="eastAsia"/>
          <w:szCs w:val="21"/>
        </w:rPr>
        <w:t>本公告仅</w:t>
      </w:r>
      <w:r>
        <w:rPr>
          <w:rFonts w:ascii="宋体" w:hAnsi="宋体" w:hint="eastAsia"/>
          <w:szCs w:val="21"/>
        </w:rPr>
        <w:t>对本基金开放日常申购、赎回、定期定额投资及转换业务事项予以说明。投资者欲了解本基金详细情况，请认真阅读本公司网站上刊登的《招募说明书》，亦可登陆本公司网站（</w:t>
      </w:r>
      <w:r>
        <w:rPr>
          <w:rFonts w:ascii="宋体" w:hAnsi="宋体" w:hint="eastAsia"/>
          <w:szCs w:val="21"/>
        </w:rPr>
        <w:t>www.yhfund.com.cn</w:t>
      </w:r>
      <w:r>
        <w:rPr>
          <w:rFonts w:ascii="宋体" w:hAnsi="宋体" w:hint="eastAsia"/>
          <w:szCs w:val="21"/>
        </w:rPr>
        <w:t>）查询或者拨打本公司的客户服务电话（</w:t>
      </w:r>
      <w:r>
        <w:rPr>
          <w:rFonts w:ascii="宋体" w:hAnsi="宋体" w:hint="eastAsia"/>
          <w:szCs w:val="21"/>
        </w:rPr>
        <w:t>400 678 3333</w:t>
      </w:r>
      <w:r>
        <w:rPr>
          <w:rFonts w:ascii="宋体" w:hAnsi="宋体" w:hint="eastAsia"/>
          <w:szCs w:val="21"/>
        </w:rPr>
        <w:t>）垂询相关事宜。</w:t>
      </w:r>
    </w:p>
    <w:p w:rsidR="00000000" w:rsidRDefault="00EE53FD">
      <w:pPr>
        <w:spacing w:line="360" w:lineRule="auto"/>
        <w:ind w:firstLineChars="200" w:firstLine="420"/>
        <w:jc w:val="left"/>
        <w:rPr>
          <w:rFonts w:ascii="宋体" w:hAnsi="宋体" w:hint="eastAsia"/>
          <w:szCs w:val="21"/>
        </w:rPr>
      </w:pPr>
      <w:r>
        <w:rPr>
          <w:rFonts w:ascii="宋体" w:hAnsi="宋体"/>
          <w:szCs w:val="21"/>
        </w:rPr>
        <w:t>2</w:t>
      </w:r>
      <w:r>
        <w:rPr>
          <w:rFonts w:ascii="宋体" w:hAnsi="宋体"/>
          <w:szCs w:val="21"/>
        </w:rPr>
        <w:t>、</w:t>
      </w:r>
      <w:r>
        <w:rPr>
          <w:rFonts w:ascii="宋体" w:hAnsi="宋体" w:hint="eastAsia"/>
          <w:szCs w:val="21"/>
        </w:rPr>
        <w:t>本基金的申购与赎回将通过销售机构进行。具体的销售机构将由基金管理人在本招募说明书“第五部分</w:t>
      </w:r>
      <w:r>
        <w:rPr>
          <w:rFonts w:ascii="宋体" w:hAnsi="宋体" w:hint="eastAsia"/>
          <w:szCs w:val="21"/>
        </w:rPr>
        <w:t xml:space="preserve"> </w:t>
      </w:r>
      <w:r>
        <w:rPr>
          <w:rFonts w:ascii="宋体" w:hAnsi="宋体" w:hint="eastAsia"/>
          <w:szCs w:val="21"/>
        </w:rPr>
        <w:t>相关服务机构”中列明或在基金管理人网站公示。基金管理人可根据情况变更或增减销售机构，并在基金管理人网站公示。若基金管理人或其指定的销售机构开通电话、</w:t>
      </w:r>
      <w:r>
        <w:rPr>
          <w:rFonts w:ascii="宋体" w:hAnsi="宋体" w:hint="eastAsia"/>
          <w:szCs w:val="21"/>
        </w:rPr>
        <w:t>传真或网上等交易方式，投资人可通过上述方式进行申购与赎回。基金投资人应当在销售机构办理基金销售业务的营业场所或按销售机构提供的其他方式办理基金份额的申购与赎回。</w:t>
      </w:r>
    </w:p>
    <w:p w:rsidR="00000000" w:rsidRDefault="00EE53FD">
      <w:pPr>
        <w:pStyle w:val="20"/>
        <w:adjustRightInd w:val="0"/>
        <w:snapToGrid w:val="0"/>
        <w:rPr>
          <w:rFonts w:hint="eastAsia"/>
          <w:szCs w:val="21"/>
        </w:rPr>
      </w:pPr>
      <w:r>
        <w:rPr>
          <w:rFonts w:hint="eastAsia"/>
          <w:szCs w:val="21"/>
        </w:rPr>
        <w:t>3</w:t>
      </w:r>
      <w:r>
        <w:rPr>
          <w:rFonts w:hint="eastAsia"/>
          <w:szCs w:val="21"/>
        </w:rPr>
        <w:t>、基金管理人应以交易时间结束前受理有效申购和赎回申请的当天作为申购或赎回申请日（</w:t>
      </w:r>
      <w:r>
        <w:rPr>
          <w:rFonts w:hint="eastAsia"/>
          <w:szCs w:val="21"/>
        </w:rPr>
        <w:t>T</w:t>
      </w:r>
      <w:r>
        <w:rPr>
          <w:rFonts w:hint="eastAsia"/>
          <w:szCs w:val="21"/>
        </w:rPr>
        <w:t>日），在正常情况下，本基金登记机构在</w:t>
      </w:r>
      <w:r>
        <w:rPr>
          <w:rFonts w:hint="eastAsia"/>
          <w:szCs w:val="21"/>
        </w:rPr>
        <w:t>T+1</w:t>
      </w:r>
      <w:r>
        <w:rPr>
          <w:rFonts w:hint="eastAsia"/>
          <w:szCs w:val="21"/>
        </w:rPr>
        <w:t>日内对该交易的有效性进行确认。</w:t>
      </w:r>
      <w:r>
        <w:rPr>
          <w:rFonts w:hint="eastAsia"/>
          <w:szCs w:val="21"/>
        </w:rPr>
        <w:t>T</w:t>
      </w:r>
      <w:r>
        <w:rPr>
          <w:rFonts w:hint="eastAsia"/>
          <w:szCs w:val="21"/>
        </w:rPr>
        <w:t>日提交的有效申请，投资人应在</w:t>
      </w:r>
      <w:r>
        <w:rPr>
          <w:rFonts w:hint="eastAsia"/>
          <w:szCs w:val="21"/>
        </w:rPr>
        <w:t>T+2</w:t>
      </w:r>
      <w:r>
        <w:rPr>
          <w:rFonts w:hint="eastAsia"/>
          <w:szCs w:val="21"/>
        </w:rPr>
        <w:t>日后（包括该日）及时到销售网点柜台或以销售机构规定的其他方式查询申请的确认情况。若申购不成立或无效，则申购款项本金将退还给投资人，基金管理人及基金托管人不承担</w:t>
      </w:r>
      <w:r>
        <w:rPr>
          <w:rFonts w:hint="eastAsia"/>
          <w:szCs w:val="21"/>
        </w:rPr>
        <w:t>该退回款项产生的利息等损失。</w:t>
      </w:r>
    </w:p>
    <w:p w:rsidR="00000000" w:rsidRDefault="00EE53FD">
      <w:pPr>
        <w:pStyle w:val="20"/>
        <w:adjustRightInd w:val="0"/>
        <w:snapToGrid w:val="0"/>
        <w:rPr>
          <w:rFonts w:hint="eastAsia"/>
          <w:szCs w:val="21"/>
        </w:rPr>
      </w:pPr>
      <w:r>
        <w:rPr>
          <w:rFonts w:hint="eastAsia"/>
          <w:szCs w:val="21"/>
        </w:rPr>
        <w:t>销售机构对申购、赎回申请的受理并不代表申请一定成功，而仅代表销售机构确实接收到申购、赎回申请，申购与赎回申请的确认以登记机构的确认结果为准。对于申请的确认情况，投资人应及时查询，并妥善行使合法权利。因投资人怠于履行该项查询等各项义务，致使其相关权益受损的，基金管理人、基金托管人、销售机构不承担由此造成的损失或不利后果。如因申请未得到登记机构的确认而造成的损失，由投资人自行承担。</w:t>
      </w:r>
    </w:p>
    <w:p w:rsidR="00000000" w:rsidRDefault="00EE53FD">
      <w:pPr>
        <w:pStyle w:val="20"/>
        <w:adjustRightInd w:val="0"/>
        <w:snapToGrid w:val="0"/>
        <w:rPr>
          <w:rFonts w:hint="eastAsia"/>
          <w:szCs w:val="21"/>
        </w:rPr>
      </w:pPr>
      <w:r>
        <w:rPr>
          <w:rFonts w:hint="eastAsia"/>
          <w:szCs w:val="21"/>
        </w:rPr>
        <w:t>在不违反法律法规的情况下，基金管理人可根据业务规则，对上述业务办理时间进行调整并将于开始实施前按照《</w:t>
      </w:r>
      <w:r>
        <w:rPr>
          <w:rFonts w:hint="eastAsia"/>
          <w:szCs w:val="21"/>
        </w:rPr>
        <w:t>信息披露办法》的有关规定公告</w:t>
      </w:r>
      <w:r>
        <w:rPr>
          <w:rFonts w:cs="宋体" w:hint="eastAsia"/>
          <w:bCs/>
          <w:szCs w:val="21"/>
        </w:rPr>
        <w:t>。</w:t>
      </w:r>
    </w:p>
    <w:p w:rsidR="00000000" w:rsidRDefault="00EE53FD">
      <w:pPr>
        <w:numPr>
          <w:ilvl w:val="0"/>
          <w:numId w:val="3"/>
        </w:numPr>
        <w:spacing w:line="360" w:lineRule="auto"/>
        <w:ind w:firstLine="420"/>
        <w:jc w:val="left"/>
        <w:rPr>
          <w:rFonts w:ascii="宋体" w:hAnsi="宋体"/>
          <w:szCs w:val="21"/>
        </w:rPr>
      </w:pPr>
      <w:r>
        <w:rPr>
          <w:rFonts w:ascii="宋体" w:hAnsi="宋体"/>
          <w:szCs w:val="21"/>
        </w:rPr>
        <w:t>申购与赎回的原则</w:t>
      </w:r>
    </w:p>
    <w:p w:rsidR="00000000" w:rsidRDefault="00EE53FD">
      <w:pPr>
        <w:pStyle w:val="20"/>
        <w:adjustRightInd w:val="0"/>
        <w:snapToGrid w:val="0"/>
        <w:rPr>
          <w:rFonts w:hint="eastAsia"/>
          <w:szCs w:val="21"/>
        </w:rPr>
      </w:pPr>
      <w:r>
        <w:rPr>
          <w:rFonts w:hint="eastAsia"/>
          <w:szCs w:val="21"/>
        </w:rPr>
        <w:t>（</w:t>
      </w:r>
      <w:r>
        <w:rPr>
          <w:rFonts w:hint="eastAsia"/>
          <w:szCs w:val="21"/>
        </w:rPr>
        <w:t>1</w:t>
      </w:r>
      <w:r>
        <w:rPr>
          <w:rFonts w:hint="eastAsia"/>
          <w:szCs w:val="21"/>
        </w:rPr>
        <w:t>）“未知价”原则，即申购、赎回价格以申请当日收市后计算的相应类别的基金份额净值为基准进行计算；</w:t>
      </w:r>
    </w:p>
    <w:p w:rsidR="00000000" w:rsidRDefault="00EE53FD">
      <w:pPr>
        <w:pStyle w:val="20"/>
        <w:adjustRightInd w:val="0"/>
        <w:snapToGrid w:val="0"/>
        <w:rPr>
          <w:rFonts w:hint="eastAsia"/>
          <w:szCs w:val="21"/>
        </w:rPr>
      </w:pPr>
      <w:r>
        <w:rPr>
          <w:rFonts w:hint="eastAsia"/>
          <w:szCs w:val="21"/>
        </w:rPr>
        <w:t>（</w:t>
      </w:r>
      <w:r>
        <w:rPr>
          <w:rFonts w:hint="eastAsia"/>
          <w:szCs w:val="21"/>
        </w:rPr>
        <w:t>2</w:t>
      </w:r>
      <w:r>
        <w:rPr>
          <w:rFonts w:hint="eastAsia"/>
          <w:szCs w:val="21"/>
        </w:rPr>
        <w:t>）</w:t>
      </w:r>
      <w:r>
        <w:rPr>
          <w:rFonts w:hint="eastAsia"/>
          <w:szCs w:val="21"/>
        </w:rPr>
        <w:t>“金额申购、份额赎回”原则，即申购以金额申请，赎回以份额申请；</w:t>
      </w:r>
    </w:p>
    <w:p w:rsidR="00000000" w:rsidRDefault="00EE53FD">
      <w:pPr>
        <w:pStyle w:val="20"/>
        <w:adjustRightInd w:val="0"/>
        <w:snapToGrid w:val="0"/>
        <w:rPr>
          <w:rFonts w:hint="eastAsia"/>
          <w:szCs w:val="21"/>
        </w:rPr>
      </w:pPr>
      <w:r>
        <w:rPr>
          <w:rFonts w:hint="eastAsia"/>
          <w:szCs w:val="21"/>
        </w:rPr>
        <w:t>（</w:t>
      </w:r>
      <w:r>
        <w:rPr>
          <w:rFonts w:hint="eastAsia"/>
          <w:szCs w:val="21"/>
        </w:rPr>
        <w:t>3</w:t>
      </w:r>
      <w:r>
        <w:rPr>
          <w:rFonts w:hint="eastAsia"/>
          <w:szCs w:val="21"/>
        </w:rPr>
        <w:t>）</w:t>
      </w:r>
      <w:r>
        <w:rPr>
          <w:rFonts w:hint="eastAsia"/>
          <w:szCs w:val="21"/>
        </w:rPr>
        <w:t>当日的申购与赎回申请可以在基金管理人规定的时间以内撤销，在当日业务办理时间结束后不得撤销；</w:t>
      </w:r>
    </w:p>
    <w:p w:rsidR="00000000" w:rsidRDefault="00EE53FD">
      <w:pPr>
        <w:pStyle w:val="20"/>
        <w:adjustRightInd w:val="0"/>
        <w:snapToGrid w:val="0"/>
        <w:rPr>
          <w:rFonts w:hint="eastAsia"/>
          <w:szCs w:val="21"/>
        </w:rPr>
      </w:pPr>
      <w:r>
        <w:rPr>
          <w:rFonts w:hint="eastAsia"/>
          <w:szCs w:val="21"/>
        </w:rPr>
        <w:t>（</w:t>
      </w:r>
      <w:r>
        <w:rPr>
          <w:rFonts w:hint="eastAsia"/>
          <w:szCs w:val="21"/>
        </w:rPr>
        <w:t>4</w:t>
      </w:r>
      <w:r>
        <w:rPr>
          <w:rFonts w:hint="eastAsia"/>
          <w:szCs w:val="21"/>
        </w:rPr>
        <w:t>）</w:t>
      </w:r>
      <w:r>
        <w:rPr>
          <w:rFonts w:hint="eastAsia"/>
          <w:szCs w:val="21"/>
        </w:rPr>
        <w:t>赎回遵循“先进先出”原则，即按照投资人持有基金份额登记日期的先后次序进行顺序赎回；</w:t>
      </w:r>
    </w:p>
    <w:p w:rsidR="00000000" w:rsidRDefault="00EE53FD">
      <w:pPr>
        <w:pStyle w:val="20"/>
        <w:adjustRightInd w:val="0"/>
        <w:snapToGrid w:val="0"/>
        <w:rPr>
          <w:rFonts w:hint="eastAsia"/>
          <w:szCs w:val="21"/>
        </w:rPr>
      </w:pPr>
      <w:r>
        <w:rPr>
          <w:rFonts w:hint="eastAsia"/>
          <w:szCs w:val="21"/>
        </w:rPr>
        <w:t>（</w:t>
      </w:r>
      <w:r>
        <w:rPr>
          <w:rFonts w:hint="eastAsia"/>
          <w:szCs w:val="21"/>
        </w:rPr>
        <w:t>5</w:t>
      </w:r>
      <w:r>
        <w:rPr>
          <w:rFonts w:hint="eastAsia"/>
          <w:szCs w:val="21"/>
        </w:rPr>
        <w:t>）</w:t>
      </w:r>
      <w:r>
        <w:rPr>
          <w:rFonts w:hint="eastAsia"/>
          <w:szCs w:val="21"/>
        </w:rPr>
        <w:t>办理申购、赎回业务时，应当遵循基金份额持有人利益优先原则，确保投资者的合法权益不受损害并得到公平对</w:t>
      </w:r>
      <w:r>
        <w:rPr>
          <w:rFonts w:hint="eastAsia"/>
          <w:szCs w:val="21"/>
        </w:rPr>
        <w:t>待。</w:t>
      </w:r>
    </w:p>
    <w:p w:rsidR="00000000" w:rsidRDefault="00EE53FD">
      <w:pPr>
        <w:pStyle w:val="20"/>
        <w:adjustRightInd w:val="0"/>
        <w:snapToGrid w:val="0"/>
        <w:rPr>
          <w:rFonts w:cs="宋体" w:hint="eastAsia"/>
          <w:bCs/>
          <w:szCs w:val="21"/>
        </w:rPr>
      </w:pPr>
      <w:r>
        <w:rPr>
          <w:rFonts w:hint="eastAsia"/>
          <w:szCs w:val="21"/>
        </w:rPr>
        <w:t>基金管理人可在不违反法律法规的情况下，对上述原则进行调整。基金管理人应在新规则开始实施前依照《信息披露办法》的有关规定在规定媒介上公告。</w:t>
      </w:r>
    </w:p>
    <w:p w:rsidR="00000000" w:rsidRDefault="00EE53FD">
      <w:pPr>
        <w:pStyle w:val="20"/>
        <w:adjustRightInd w:val="0"/>
        <w:snapToGrid w:val="0"/>
        <w:rPr>
          <w:rFonts w:cs="宋体" w:hint="eastAsia"/>
          <w:bCs/>
          <w:szCs w:val="21"/>
        </w:rPr>
      </w:pPr>
    </w:p>
    <w:p w:rsidR="00000000" w:rsidRDefault="00EE53FD">
      <w:pPr>
        <w:spacing w:line="360" w:lineRule="auto"/>
        <w:ind w:firstLineChars="200" w:firstLine="420"/>
        <w:jc w:val="left"/>
        <w:rPr>
          <w:rFonts w:ascii="宋体" w:hAnsi="宋体"/>
          <w:szCs w:val="21"/>
        </w:rPr>
      </w:pPr>
      <w:r>
        <w:rPr>
          <w:rFonts w:ascii="宋体" w:hAnsi="宋体"/>
          <w:szCs w:val="21"/>
        </w:rPr>
        <w:t>风险提示：</w:t>
      </w:r>
    </w:p>
    <w:p w:rsidR="00000000" w:rsidRDefault="00EE53FD">
      <w:pPr>
        <w:pStyle w:val="20"/>
        <w:adjustRightInd w:val="0"/>
        <w:snapToGrid w:val="0"/>
        <w:rPr>
          <w:rFonts w:hint="eastAsia"/>
          <w:szCs w:val="21"/>
        </w:rPr>
      </w:pPr>
      <w:r>
        <w:rPr>
          <w:rFonts w:hint="eastAsia"/>
          <w:szCs w:val="21"/>
        </w:rPr>
        <w:t>基金管理人承诺以恪尽职守、诚实信用、谨慎勤勉的原则管理和运用基金资产，但不保证本基金一定盈利，也不保证最低收益。当投资人赎回时，所得可能会高于或低于投资人先前所支付的金额。投资人应当认真阅读基金合同、招募说明书、基金产品资料概要等信息披露文件，自主判断基金的投资价值，自主做出投资决策，自行承担投资风险。</w:t>
      </w:r>
      <w:r>
        <w:rPr>
          <w:rFonts w:hint="eastAsia"/>
          <w:b/>
          <w:bCs/>
          <w:szCs w:val="21"/>
        </w:rPr>
        <w:t>投资者应当认真阅读并完全理解基金合同第二十部分规定</w:t>
      </w:r>
      <w:r>
        <w:rPr>
          <w:rFonts w:hint="eastAsia"/>
          <w:b/>
          <w:bCs/>
          <w:szCs w:val="21"/>
        </w:rPr>
        <w:t>的免责条款、第二十一部分规定的争议处理方式。</w:t>
      </w:r>
      <w:r>
        <w:rPr>
          <w:rFonts w:hint="eastAsia"/>
          <w:szCs w:val="21"/>
        </w:rPr>
        <w:t>本基金的过往业绩及其净值高低并不预示其未来业绩表现。基金管理人所管理的其他基金的业绩并不构成对本基金业绩表现的保证。基金管理人提醒投资人基金投资的“买者自负”原则，在做出投资决策后，基金运营状况与基金净值变化引致的投资风险，由投资人自行负担。</w:t>
      </w:r>
    </w:p>
    <w:p w:rsidR="00000000" w:rsidRDefault="00EE53FD">
      <w:pPr>
        <w:pStyle w:val="20"/>
        <w:adjustRightInd w:val="0"/>
        <w:snapToGrid w:val="0"/>
        <w:rPr>
          <w:rFonts w:hint="eastAsia"/>
          <w:szCs w:val="21"/>
        </w:rPr>
      </w:pPr>
      <w:r>
        <w:rPr>
          <w:rFonts w:hint="eastAsia"/>
          <w:szCs w:val="21"/>
        </w:rPr>
        <w:t>由于本基金在计算各类基金份额净值时，按前一日基金资产净值的</w:t>
      </w:r>
      <w:r>
        <w:rPr>
          <w:rFonts w:hint="eastAsia"/>
          <w:szCs w:val="21"/>
        </w:rPr>
        <w:t>1.20%</w:t>
      </w:r>
      <w:r>
        <w:rPr>
          <w:rFonts w:hint="eastAsia"/>
          <w:szCs w:val="21"/>
        </w:rPr>
        <w:t>年费率计算管理费，该费率可能高于或低于不同投资者最终适用的管理费率。在基金份额赎回、转出或基金合同终止的情形发生时，基金投资者实际收到的赎回款项或清算款项的</w:t>
      </w:r>
      <w:r>
        <w:rPr>
          <w:rFonts w:hint="eastAsia"/>
          <w:szCs w:val="21"/>
        </w:rPr>
        <w:t>金额可能与按披露的该类基金份额净值计算的结果存在差异。投资者的实际赎回金额和清算资金以登记机构确认数据为准。</w:t>
      </w:r>
    </w:p>
    <w:p w:rsidR="00000000" w:rsidRDefault="00EE53FD">
      <w:pPr>
        <w:pStyle w:val="20"/>
        <w:adjustRightInd w:val="0"/>
        <w:snapToGrid w:val="0"/>
        <w:rPr>
          <w:rFonts w:hint="eastAsia"/>
          <w:szCs w:val="21"/>
        </w:rPr>
      </w:pPr>
      <w:r>
        <w:rPr>
          <w:rFonts w:hint="eastAsia"/>
          <w:szCs w:val="21"/>
        </w:rPr>
        <w:t>本基金或有管理费的返还取决于每笔基金份额持有期限情况及持有期年化收益率情况，若单笔基金份额对应的基金资产净值较小、持有期限较短，可能导致每笔基金份额对应的或有管理费金额过小。因此受资金支付</w:t>
      </w:r>
      <w:r>
        <w:rPr>
          <w:rFonts w:hint="eastAsia"/>
          <w:szCs w:val="21"/>
        </w:rPr>
        <w:t>/</w:t>
      </w:r>
      <w:r>
        <w:rPr>
          <w:rFonts w:hint="eastAsia"/>
          <w:szCs w:val="21"/>
        </w:rPr>
        <w:t>划转时最小金额单位的限制，可能出现因或有管理费金额过小而无法实际返还划转的情形。</w:t>
      </w:r>
    </w:p>
    <w:p w:rsidR="00000000" w:rsidRDefault="00EE53FD">
      <w:pPr>
        <w:pStyle w:val="20"/>
        <w:adjustRightInd w:val="0"/>
        <w:snapToGrid w:val="0"/>
        <w:rPr>
          <w:rFonts w:hint="eastAsia"/>
          <w:szCs w:val="21"/>
        </w:rPr>
      </w:pPr>
      <w:r>
        <w:rPr>
          <w:rFonts w:hint="eastAsia"/>
          <w:szCs w:val="21"/>
        </w:rPr>
        <w:t>本基金采用浮动管理费的收费模式，不代表基金管理人对基金收益的保证。</w:t>
      </w:r>
    </w:p>
    <w:p w:rsidR="00000000" w:rsidRDefault="00EE53FD">
      <w:pPr>
        <w:spacing w:line="360" w:lineRule="auto"/>
        <w:ind w:firstLineChars="200" w:firstLine="420"/>
        <w:jc w:val="left"/>
        <w:rPr>
          <w:rFonts w:ascii="宋体" w:hAnsi="宋体" w:hint="eastAsia"/>
          <w:szCs w:val="21"/>
        </w:rPr>
      </w:pPr>
      <w:r>
        <w:rPr>
          <w:rFonts w:ascii="宋体" w:hAnsi="宋体" w:hint="eastAsia"/>
          <w:szCs w:val="21"/>
        </w:rPr>
        <w:t>特此公告。</w:t>
      </w:r>
    </w:p>
    <w:p w:rsidR="00000000" w:rsidRDefault="00EE53FD">
      <w:pPr>
        <w:spacing w:line="360" w:lineRule="auto"/>
        <w:ind w:firstLineChars="200" w:firstLine="420"/>
        <w:jc w:val="left"/>
        <w:rPr>
          <w:rFonts w:ascii="宋体" w:hAnsi="宋体" w:hint="eastAsia"/>
          <w:szCs w:val="21"/>
        </w:rPr>
      </w:pPr>
    </w:p>
    <w:p w:rsidR="00000000" w:rsidRDefault="00EE53FD">
      <w:pPr>
        <w:spacing w:line="360" w:lineRule="auto"/>
        <w:jc w:val="right"/>
        <w:rPr>
          <w:rFonts w:ascii="宋体" w:hAnsi="宋体"/>
          <w:szCs w:val="21"/>
        </w:rPr>
      </w:pPr>
      <w:r>
        <w:rPr>
          <w:rFonts w:ascii="宋体" w:hAnsi="宋体" w:hint="eastAsia"/>
          <w:szCs w:val="21"/>
        </w:rPr>
        <w:t>银华基金管理股份有限公司</w:t>
      </w:r>
    </w:p>
    <w:p w:rsidR="00000000" w:rsidRDefault="00EE53FD">
      <w:pPr>
        <w:spacing w:line="360" w:lineRule="auto"/>
        <w:jc w:val="right"/>
        <w:rPr>
          <w:rFonts w:hint="eastAsia"/>
        </w:rPr>
      </w:pPr>
      <w:r>
        <w:rPr>
          <w:rFonts w:ascii="宋体" w:hAnsi="宋体" w:hint="eastAsia"/>
          <w:szCs w:val="21"/>
        </w:rPr>
        <w:t xml:space="preserve">           </w:t>
      </w:r>
      <w:r>
        <w:rPr>
          <w:rFonts w:ascii="宋体" w:hAnsi="宋体" w:hint="eastAsia"/>
          <w:szCs w:val="21"/>
        </w:rPr>
        <w:t xml:space="preserve">                              </w:t>
      </w:r>
      <w:r>
        <w:rPr>
          <w:rFonts w:ascii="宋体" w:hAnsi="宋体" w:hint="eastAsia"/>
          <w:szCs w:val="21"/>
        </w:rPr>
        <w:t>2026</w:t>
      </w:r>
      <w:r>
        <w:rPr>
          <w:rFonts w:ascii="宋体" w:hAnsi="宋体" w:hint="eastAsia"/>
          <w:szCs w:val="21"/>
        </w:rPr>
        <w:t>年</w:t>
      </w:r>
      <w:r>
        <w:rPr>
          <w:rFonts w:ascii="宋体" w:hAnsi="宋体" w:hint="eastAsia"/>
          <w:szCs w:val="21"/>
        </w:rPr>
        <w:t>5</w:t>
      </w:r>
      <w:r>
        <w:rPr>
          <w:rFonts w:ascii="宋体" w:hAnsi="宋体" w:hint="eastAsia"/>
          <w:szCs w:val="21"/>
        </w:rPr>
        <w:t>月</w:t>
      </w:r>
      <w:r>
        <w:rPr>
          <w:rFonts w:ascii="宋体" w:hAnsi="宋体" w:hint="eastAsia"/>
          <w:szCs w:val="21"/>
        </w:rPr>
        <w:t>6</w:t>
      </w:r>
      <w:r>
        <w:rPr>
          <w:rFonts w:ascii="宋体" w:hAnsi="宋体" w:hint="eastAsia"/>
          <w:szCs w:val="21"/>
        </w:rPr>
        <w:t>日</w:t>
      </w:r>
    </w:p>
    <w:sectPr w:rsidR="00000000">
      <w:headerReference w:type="default" r:id="rId8"/>
      <w:footerReference w:type="default" r:id="rId9"/>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EE53FD">
      <w:r>
        <w:separator/>
      </w:r>
    </w:p>
  </w:endnote>
  <w:endnote w:type="continuationSeparator" w:id="0">
    <w:p w:rsidR="00000000" w:rsidRDefault="00EE53F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86"/>
    <w:family w:val="swiss"/>
    <w:pitch w:val="variable"/>
    <w:sig w:usb0="F7FFAFFF" w:usb1="E9DFFFFF" w:usb2="0000003F" w:usb3="00000000" w:csb0="003F01FF" w:csb1="00000000"/>
  </w:font>
  <w:font w:name="Cambria Math">
    <w:panose1 w:val="02040503050406030204"/>
    <w:charset w:val="00"/>
    <w:family w:val="roman"/>
    <w:pitch w:val="variable"/>
    <w:sig w:usb0="A00002EF" w:usb1="420020E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E53FD">
    <w:pPr>
      <w:pStyle w:val="a5"/>
      <w:jc w:val="center"/>
    </w:pPr>
    <w:r>
      <w:fldChar w:fldCharType="begin"/>
    </w:r>
    <w:r>
      <w:instrText xml:space="preserve"> PAGE   \* MERGEFORMAT </w:instrText>
    </w:r>
    <w:r>
      <w:fldChar w:fldCharType="separate"/>
    </w:r>
    <w:r w:rsidRPr="00EE53FD">
      <w:rPr>
        <w:noProof/>
        <w:lang w:val="zh-CN" w:eastAsia="zh-CN"/>
      </w:rPr>
      <w:t>1</w:t>
    </w:r>
    <w:r>
      <w:fldChar w:fldCharType="end"/>
    </w:r>
  </w:p>
  <w:p w:rsidR="00000000" w:rsidRDefault="00EE53FD">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EE53FD">
      <w:r>
        <w:separator/>
      </w:r>
    </w:p>
  </w:footnote>
  <w:footnote w:type="continuationSeparator" w:id="0">
    <w:p w:rsidR="00000000" w:rsidRDefault="00EE53F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EE53FD">
    <w:pPr>
      <w:pStyle w:val="a6"/>
      <w:jc w:val="both"/>
      <w:rPr>
        <w:rFonts w:hint="eastAsia"/>
      </w:rPr>
    </w:pPr>
    <w:r>
      <w:rPr>
        <w:rFonts w:ascii="宋体" w:hAnsi="宋体" w:hint="eastAsia"/>
        <w:b/>
        <w:sz w:val="32"/>
        <w:szCs w:val="3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2" o:spid="_x0000_i1025" type="#_x0000_t75" alt="17e0e628572b36a930039ef4a8c95ac4" style="width:139.9pt;height:17pt;mso-wrap-style:square;mso-position-horizontal-relative:page;mso-position-vertical-relative:page">
          <v:imagedata r:id="rId1" o:title="17e0e628572b36a930039ef4a8c95ac4"/>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A"/>
    <w:multiLevelType w:val="multilevel"/>
    <w:tmpl w:val="0000000A"/>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405"/>
        </w:tabs>
        <w:ind w:left="405" w:hanging="420"/>
      </w:pPr>
    </w:lvl>
    <w:lvl w:ilvl="2">
      <w:start w:val="1"/>
      <w:numFmt w:val="lowerRoman"/>
      <w:lvlText w:val="%3."/>
      <w:lvlJc w:val="right"/>
      <w:pPr>
        <w:tabs>
          <w:tab w:val="num" w:pos="825"/>
        </w:tabs>
        <w:ind w:left="825" w:hanging="420"/>
      </w:pPr>
    </w:lvl>
    <w:lvl w:ilvl="3">
      <w:start w:val="1"/>
      <w:numFmt w:val="decimal"/>
      <w:lvlText w:val="%4."/>
      <w:lvlJc w:val="left"/>
      <w:pPr>
        <w:tabs>
          <w:tab w:val="num" w:pos="1245"/>
        </w:tabs>
        <w:ind w:left="1245" w:hanging="420"/>
      </w:pPr>
    </w:lvl>
    <w:lvl w:ilvl="4">
      <w:start w:val="1"/>
      <w:numFmt w:val="lowerLetter"/>
      <w:lvlText w:val="%5)"/>
      <w:lvlJc w:val="left"/>
      <w:pPr>
        <w:tabs>
          <w:tab w:val="num" w:pos="1665"/>
        </w:tabs>
        <w:ind w:left="1665" w:hanging="420"/>
      </w:pPr>
    </w:lvl>
    <w:lvl w:ilvl="5">
      <w:start w:val="1"/>
      <w:numFmt w:val="lowerRoman"/>
      <w:lvlText w:val="%6."/>
      <w:lvlJc w:val="right"/>
      <w:pPr>
        <w:tabs>
          <w:tab w:val="num" w:pos="2085"/>
        </w:tabs>
        <w:ind w:left="2085" w:hanging="420"/>
      </w:pPr>
    </w:lvl>
    <w:lvl w:ilvl="6">
      <w:start w:val="1"/>
      <w:numFmt w:val="decimal"/>
      <w:lvlText w:val="%7."/>
      <w:lvlJc w:val="left"/>
      <w:pPr>
        <w:tabs>
          <w:tab w:val="num" w:pos="2505"/>
        </w:tabs>
        <w:ind w:left="2505" w:hanging="420"/>
      </w:pPr>
    </w:lvl>
    <w:lvl w:ilvl="7">
      <w:start w:val="1"/>
      <w:numFmt w:val="lowerLetter"/>
      <w:lvlText w:val="%8)"/>
      <w:lvlJc w:val="left"/>
      <w:pPr>
        <w:tabs>
          <w:tab w:val="num" w:pos="2925"/>
        </w:tabs>
        <w:ind w:left="2925" w:hanging="420"/>
      </w:pPr>
    </w:lvl>
    <w:lvl w:ilvl="8">
      <w:start w:val="1"/>
      <w:numFmt w:val="lowerRoman"/>
      <w:lvlText w:val="%9."/>
      <w:lvlJc w:val="right"/>
      <w:pPr>
        <w:tabs>
          <w:tab w:val="num" w:pos="3345"/>
        </w:tabs>
        <w:ind w:left="3345" w:hanging="420"/>
      </w:pPr>
    </w:lvl>
  </w:abstractNum>
  <w:abstractNum w:abstractNumId="1">
    <w:nsid w:val="17596012"/>
    <w:multiLevelType w:val="multilevel"/>
    <w:tmpl w:val="17596012"/>
    <w:lvl w:ilvl="0">
      <w:start w:val="7"/>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3AE9D28A"/>
    <w:multiLevelType w:val="singleLevel"/>
    <w:tmpl w:val="3AE9D28A"/>
    <w:lvl w:ilvl="0">
      <w:start w:val="4"/>
      <w:numFmt w:val="decimal"/>
      <w:suff w:val="nothing"/>
      <w:lvlText w:val="%1、"/>
      <w:lvlJc w:val="left"/>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stylePaneFormatFilter w:val="3F01"/>
  <w:doNotTrackMoves/>
  <w:defaultTabStop w:val="420"/>
  <w:drawingGridVerticalSpacing w:val="156"/>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ommondata" w:val="eyJoZGlkIjoiMDRhZDQ2NzIzNGIyNDQ4MzJhYjE0YWQ5ZDQxMzM4MGUifQ=="/>
  </w:docVars>
  <w:rsids>
    <w:rsidRoot w:val="00172A27"/>
    <w:rsid w:val="001C4A80"/>
    <w:rsid w:val="001D4856"/>
    <w:rsid w:val="004B0B70"/>
    <w:rsid w:val="00691AE7"/>
    <w:rsid w:val="006E51C3"/>
    <w:rsid w:val="00845597"/>
    <w:rsid w:val="008572C4"/>
    <w:rsid w:val="00AB62F0"/>
    <w:rsid w:val="00BB195E"/>
    <w:rsid w:val="00C555BC"/>
    <w:rsid w:val="00D02EF6"/>
    <w:rsid w:val="00D24EE8"/>
    <w:rsid w:val="00DD6D0C"/>
    <w:rsid w:val="00E57DE9"/>
    <w:rsid w:val="00E767AC"/>
    <w:rsid w:val="00EE53FD"/>
    <w:rsid w:val="00F71249"/>
    <w:rsid w:val="00F9669D"/>
    <w:rsid w:val="01353907"/>
    <w:rsid w:val="01362874"/>
    <w:rsid w:val="01810DA1"/>
    <w:rsid w:val="019D634B"/>
    <w:rsid w:val="01B8055C"/>
    <w:rsid w:val="01B81CE2"/>
    <w:rsid w:val="01CB6FD1"/>
    <w:rsid w:val="03321D76"/>
    <w:rsid w:val="03C4069E"/>
    <w:rsid w:val="03CB384D"/>
    <w:rsid w:val="03F37758"/>
    <w:rsid w:val="040253AC"/>
    <w:rsid w:val="04034233"/>
    <w:rsid w:val="044769F5"/>
    <w:rsid w:val="04483295"/>
    <w:rsid w:val="047C7CD1"/>
    <w:rsid w:val="047F2D99"/>
    <w:rsid w:val="049D07A1"/>
    <w:rsid w:val="04E35692"/>
    <w:rsid w:val="054134AD"/>
    <w:rsid w:val="054229B7"/>
    <w:rsid w:val="054A633B"/>
    <w:rsid w:val="05787EDA"/>
    <w:rsid w:val="05B72A07"/>
    <w:rsid w:val="05D13AC9"/>
    <w:rsid w:val="06340437"/>
    <w:rsid w:val="06542C88"/>
    <w:rsid w:val="06664C2F"/>
    <w:rsid w:val="06C309FC"/>
    <w:rsid w:val="06CF3B0B"/>
    <w:rsid w:val="06DF1C54"/>
    <w:rsid w:val="0756761F"/>
    <w:rsid w:val="07C46148"/>
    <w:rsid w:val="07F36299"/>
    <w:rsid w:val="08130989"/>
    <w:rsid w:val="087921F6"/>
    <w:rsid w:val="08AC6127"/>
    <w:rsid w:val="0920312B"/>
    <w:rsid w:val="09FB15C5"/>
    <w:rsid w:val="0A902107"/>
    <w:rsid w:val="0B044923"/>
    <w:rsid w:val="0B091083"/>
    <w:rsid w:val="0B6D524B"/>
    <w:rsid w:val="0B85745E"/>
    <w:rsid w:val="0BBD357C"/>
    <w:rsid w:val="0BE1258C"/>
    <w:rsid w:val="0BE67BA2"/>
    <w:rsid w:val="0C513622"/>
    <w:rsid w:val="0CAA4F14"/>
    <w:rsid w:val="0CF41C87"/>
    <w:rsid w:val="0D192BFB"/>
    <w:rsid w:val="0D500C64"/>
    <w:rsid w:val="0D8D61C7"/>
    <w:rsid w:val="0DEF00BB"/>
    <w:rsid w:val="0E550D10"/>
    <w:rsid w:val="0EC0071C"/>
    <w:rsid w:val="0ECC62A1"/>
    <w:rsid w:val="0EEA4289"/>
    <w:rsid w:val="0EEB3981"/>
    <w:rsid w:val="0F0B2726"/>
    <w:rsid w:val="0FDD4B16"/>
    <w:rsid w:val="104E2D86"/>
    <w:rsid w:val="10DB14B2"/>
    <w:rsid w:val="11782338"/>
    <w:rsid w:val="11DC08A7"/>
    <w:rsid w:val="11E87828"/>
    <w:rsid w:val="12631218"/>
    <w:rsid w:val="12781EDB"/>
    <w:rsid w:val="12887F77"/>
    <w:rsid w:val="128C5D0D"/>
    <w:rsid w:val="12F829F4"/>
    <w:rsid w:val="12F91530"/>
    <w:rsid w:val="132A35F5"/>
    <w:rsid w:val="135618C9"/>
    <w:rsid w:val="135950FD"/>
    <w:rsid w:val="13675D31"/>
    <w:rsid w:val="137A68C5"/>
    <w:rsid w:val="137D3D07"/>
    <w:rsid w:val="138768A3"/>
    <w:rsid w:val="13E515FF"/>
    <w:rsid w:val="13F10443"/>
    <w:rsid w:val="143147AA"/>
    <w:rsid w:val="1485453A"/>
    <w:rsid w:val="14AD2F1E"/>
    <w:rsid w:val="14BD046E"/>
    <w:rsid w:val="14F523DE"/>
    <w:rsid w:val="154A73F4"/>
    <w:rsid w:val="15793835"/>
    <w:rsid w:val="15A06AEA"/>
    <w:rsid w:val="16301885"/>
    <w:rsid w:val="16420128"/>
    <w:rsid w:val="16A101B8"/>
    <w:rsid w:val="16A45A46"/>
    <w:rsid w:val="16AC7924"/>
    <w:rsid w:val="16AF4B18"/>
    <w:rsid w:val="16DB6376"/>
    <w:rsid w:val="16E33E84"/>
    <w:rsid w:val="172E7B55"/>
    <w:rsid w:val="1731761B"/>
    <w:rsid w:val="17D80CE7"/>
    <w:rsid w:val="182A2C1B"/>
    <w:rsid w:val="184B5B6A"/>
    <w:rsid w:val="186D58D3"/>
    <w:rsid w:val="187576F6"/>
    <w:rsid w:val="18997FAA"/>
    <w:rsid w:val="18CB3D81"/>
    <w:rsid w:val="18ED3174"/>
    <w:rsid w:val="19037516"/>
    <w:rsid w:val="1A824693"/>
    <w:rsid w:val="1AE16D48"/>
    <w:rsid w:val="1B120509"/>
    <w:rsid w:val="1B336F1A"/>
    <w:rsid w:val="1B572A11"/>
    <w:rsid w:val="1B8617B4"/>
    <w:rsid w:val="1BB461A8"/>
    <w:rsid w:val="1BD435B6"/>
    <w:rsid w:val="1BFB4FF6"/>
    <w:rsid w:val="1C3B3721"/>
    <w:rsid w:val="1C61021D"/>
    <w:rsid w:val="1C8F7CFF"/>
    <w:rsid w:val="1CA51C0B"/>
    <w:rsid w:val="1CC04E8A"/>
    <w:rsid w:val="1CD13C69"/>
    <w:rsid w:val="1CF73B82"/>
    <w:rsid w:val="1D1E3E55"/>
    <w:rsid w:val="1D3614FA"/>
    <w:rsid w:val="1D9D3B86"/>
    <w:rsid w:val="1DCD7032"/>
    <w:rsid w:val="1DDD0A0E"/>
    <w:rsid w:val="1E050840"/>
    <w:rsid w:val="1E1A0873"/>
    <w:rsid w:val="1EA01F0B"/>
    <w:rsid w:val="1EF849DE"/>
    <w:rsid w:val="1FD617DD"/>
    <w:rsid w:val="206230EC"/>
    <w:rsid w:val="20827A42"/>
    <w:rsid w:val="20F54676"/>
    <w:rsid w:val="21521B0A"/>
    <w:rsid w:val="215B142A"/>
    <w:rsid w:val="21692A64"/>
    <w:rsid w:val="21CA7CFF"/>
    <w:rsid w:val="21D72AF6"/>
    <w:rsid w:val="225049CA"/>
    <w:rsid w:val="22626E70"/>
    <w:rsid w:val="232A5C8F"/>
    <w:rsid w:val="23867934"/>
    <w:rsid w:val="23F30609"/>
    <w:rsid w:val="24180A2B"/>
    <w:rsid w:val="247022A7"/>
    <w:rsid w:val="24F674E5"/>
    <w:rsid w:val="24FC5E13"/>
    <w:rsid w:val="25541A51"/>
    <w:rsid w:val="26004902"/>
    <w:rsid w:val="264561E1"/>
    <w:rsid w:val="265A09B1"/>
    <w:rsid w:val="267351A5"/>
    <w:rsid w:val="269840E0"/>
    <w:rsid w:val="27041EA4"/>
    <w:rsid w:val="272337D0"/>
    <w:rsid w:val="27276992"/>
    <w:rsid w:val="27522C5C"/>
    <w:rsid w:val="277D7855"/>
    <w:rsid w:val="278B2150"/>
    <w:rsid w:val="27CF1BDE"/>
    <w:rsid w:val="27DB4E44"/>
    <w:rsid w:val="27EC2014"/>
    <w:rsid w:val="2886390B"/>
    <w:rsid w:val="290D1F73"/>
    <w:rsid w:val="294C3165"/>
    <w:rsid w:val="2973493B"/>
    <w:rsid w:val="2A060B46"/>
    <w:rsid w:val="2A571F3F"/>
    <w:rsid w:val="2AB949A8"/>
    <w:rsid w:val="2B0E6BB1"/>
    <w:rsid w:val="2B2B34F2"/>
    <w:rsid w:val="2B717030"/>
    <w:rsid w:val="2BA75327"/>
    <w:rsid w:val="2BC453FA"/>
    <w:rsid w:val="2C864B7B"/>
    <w:rsid w:val="2C8D59A4"/>
    <w:rsid w:val="2CD340B3"/>
    <w:rsid w:val="2D121481"/>
    <w:rsid w:val="2DA11629"/>
    <w:rsid w:val="2DC1251E"/>
    <w:rsid w:val="2DF62C2D"/>
    <w:rsid w:val="2E072260"/>
    <w:rsid w:val="2E506D5A"/>
    <w:rsid w:val="2E7540FB"/>
    <w:rsid w:val="2E7E0689"/>
    <w:rsid w:val="2EA60443"/>
    <w:rsid w:val="2ECC76E8"/>
    <w:rsid w:val="2F5F6AC7"/>
    <w:rsid w:val="2F683B53"/>
    <w:rsid w:val="2F862496"/>
    <w:rsid w:val="2FBE3139"/>
    <w:rsid w:val="30586CDF"/>
    <w:rsid w:val="30A25EDE"/>
    <w:rsid w:val="30A32BD8"/>
    <w:rsid w:val="30B554D1"/>
    <w:rsid w:val="30C67313"/>
    <w:rsid w:val="30CD1BA8"/>
    <w:rsid w:val="311B00CE"/>
    <w:rsid w:val="311D7312"/>
    <w:rsid w:val="31B92BDF"/>
    <w:rsid w:val="31E41285"/>
    <w:rsid w:val="322D2875"/>
    <w:rsid w:val="32705150"/>
    <w:rsid w:val="32805E4B"/>
    <w:rsid w:val="32946609"/>
    <w:rsid w:val="32B678A9"/>
    <w:rsid w:val="32CA348C"/>
    <w:rsid w:val="32DD31FD"/>
    <w:rsid w:val="33CD4387"/>
    <w:rsid w:val="343D5340"/>
    <w:rsid w:val="34B135CA"/>
    <w:rsid w:val="35026AC4"/>
    <w:rsid w:val="35134A6D"/>
    <w:rsid w:val="352C3FC8"/>
    <w:rsid w:val="353D4D64"/>
    <w:rsid w:val="35437D26"/>
    <w:rsid w:val="359C7195"/>
    <w:rsid w:val="361A4C88"/>
    <w:rsid w:val="362C719A"/>
    <w:rsid w:val="36306DF5"/>
    <w:rsid w:val="36336F84"/>
    <w:rsid w:val="36930007"/>
    <w:rsid w:val="36E458DA"/>
    <w:rsid w:val="36FE665D"/>
    <w:rsid w:val="375D3FE4"/>
    <w:rsid w:val="37D01583"/>
    <w:rsid w:val="38451245"/>
    <w:rsid w:val="38764AB1"/>
    <w:rsid w:val="38796457"/>
    <w:rsid w:val="39452C9C"/>
    <w:rsid w:val="399F7D71"/>
    <w:rsid w:val="39E34C87"/>
    <w:rsid w:val="39F40768"/>
    <w:rsid w:val="3A420694"/>
    <w:rsid w:val="3A60099C"/>
    <w:rsid w:val="3AF45DCE"/>
    <w:rsid w:val="3B264539"/>
    <w:rsid w:val="3B2E1F3A"/>
    <w:rsid w:val="3B4C41ED"/>
    <w:rsid w:val="3B8B3D3E"/>
    <w:rsid w:val="3BC52C1E"/>
    <w:rsid w:val="3BDC04F6"/>
    <w:rsid w:val="3C5F759A"/>
    <w:rsid w:val="3C6B74E7"/>
    <w:rsid w:val="3CCE0ED2"/>
    <w:rsid w:val="3CD20A85"/>
    <w:rsid w:val="3D05044D"/>
    <w:rsid w:val="3DB94353"/>
    <w:rsid w:val="3DFE15C4"/>
    <w:rsid w:val="3E2D6890"/>
    <w:rsid w:val="3E6469EA"/>
    <w:rsid w:val="3E78348C"/>
    <w:rsid w:val="3EC6100D"/>
    <w:rsid w:val="3F366D42"/>
    <w:rsid w:val="3F553052"/>
    <w:rsid w:val="3F6F7E2F"/>
    <w:rsid w:val="403A30ED"/>
    <w:rsid w:val="404F7BE1"/>
    <w:rsid w:val="40CC5EDF"/>
    <w:rsid w:val="414B09AC"/>
    <w:rsid w:val="41FF7556"/>
    <w:rsid w:val="426F692D"/>
    <w:rsid w:val="42C85EE2"/>
    <w:rsid w:val="42D14990"/>
    <w:rsid w:val="42E63FD0"/>
    <w:rsid w:val="432D21C6"/>
    <w:rsid w:val="43AB7211"/>
    <w:rsid w:val="43AE36B3"/>
    <w:rsid w:val="44753296"/>
    <w:rsid w:val="4479108A"/>
    <w:rsid w:val="45BD3146"/>
    <w:rsid w:val="45CA7A30"/>
    <w:rsid w:val="45E50200"/>
    <w:rsid w:val="466E4440"/>
    <w:rsid w:val="47237E3C"/>
    <w:rsid w:val="477F1089"/>
    <w:rsid w:val="47AD64A7"/>
    <w:rsid w:val="47D429C9"/>
    <w:rsid w:val="47E56984"/>
    <w:rsid w:val="481B3258"/>
    <w:rsid w:val="485D2DC8"/>
    <w:rsid w:val="48617250"/>
    <w:rsid w:val="48945D96"/>
    <w:rsid w:val="48B07DAC"/>
    <w:rsid w:val="48E7672C"/>
    <w:rsid w:val="48E86627"/>
    <w:rsid w:val="48FD60AB"/>
    <w:rsid w:val="4A0D7D44"/>
    <w:rsid w:val="4A0E3CE9"/>
    <w:rsid w:val="4A2B0F72"/>
    <w:rsid w:val="4AA71688"/>
    <w:rsid w:val="4AE62AC9"/>
    <w:rsid w:val="4AE814BD"/>
    <w:rsid w:val="4B454A0A"/>
    <w:rsid w:val="4B8221EF"/>
    <w:rsid w:val="4B9E2406"/>
    <w:rsid w:val="4BAB03CB"/>
    <w:rsid w:val="4C027FF5"/>
    <w:rsid w:val="4C5061C1"/>
    <w:rsid w:val="4CC12FFC"/>
    <w:rsid w:val="4CCD7280"/>
    <w:rsid w:val="4CCF7D94"/>
    <w:rsid w:val="4CDB6A87"/>
    <w:rsid w:val="4CE444B6"/>
    <w:rsid w:val="4D06246C"/>
    <w:rsid w:val="4D8030A3"/>
    <w:rsid w:val="4D8B7645"/>
    <w:rsid w:val="4D9877DD"/>
    <w:rsid w:val="4DE03454"/>
    <w:rsid w:val="4DEB17E5"/>
    <w:rsid w:val="4E213EBD"/>
    <w:rsid w:val="4E45017D"/>
    <w:rsid w:val="4E7E71EB"/>
    <w:rsid w:val="4E7F4D2D"/>
    <w:rsid w:val="4E8A2A8A"/>
    <w:rsid w:val="4EB42580"/>
    <w:rsid w:val="4F587A3C"/>
    <w:rsid w:val="4F8B3490"/>
    <w:rsid w:val="4FD00B1D"/>
    <w:rsid w:val="4FD10381"/>
    <w:rsid w:val="4FF24139"/>
    <w:rsid w:val="50151D6F"/>
    <w:rsid w:val="50151DD1"/>
    <w:rsid w:val="501C16FA"/>
    <w:rsid w:val="50781E13"/>
    <w:rsid w:val="50E73763"/>
    <w:rsid w:val="510F659C"/>
    <w:rsid w:val="512E7B43"/>
    <w:rsid w:val="51944B08"/>
    <w:rsid w:val="51A87F87"/>
    <w:rsid w:val="51A90A23"/>
    <w:rsid w:val="51C44034"/>
    <w:rsid w:val="51E42B29"/>
    <w:rsid w:val="51F0474C"/>
    <w:rsid w:val="52157A33"/>
    <w:rsid w:val="53287598"/>
    <w:rsid w:val="532F07ED"/>
    <w:rsid w:val="53813640"/>
    <w:rsid w:val="53915699"/>
    <w:rsid w:val="53A54884"/>
    <w:rsid w:val="540F4777"/>
    <w:rsid w:val="54295CC7"/>
    <w:rsid w:val="54AD7269"/>
    <w:rsid w:val="54BC281B"/>
    <w:rsid w:val="54D23DEC"/>
    <w:rsid w:val="550B3024"/>
    <w:rsid w:val="553979B5"/>
    <w:rsid w:val="55521C86"/>
    <w:rsid w:val="555D3CCC"/>
    <w:rsid w:val="55A95F18"/>
    <w:rsid w:val="55C44544"/>
    <w:rsid w:val="55C82F4A"/>
    <w:rsid w:val="55CB0EED"/>
    <w:rsid w:val="55CE28D5"/>
    <w:rsid w:val="56430EDE"/>
    <w:rsid w:val="56440315"/>
    <w:rsid w:val="564D0AE0"/>
    <w:rsid w:val="566C02FA"/>
    <w:rsid w:val="569B7E81"/>
    <w:rsid w:val="56F75D8C"/>
    <w:rsid w:val="57072FD0"/>
    <w:rsid w:val="57323268"/>
    <w:rsid w:val="579E26AC"/>
    <w:rsid w:val="57E37DC1"/>
    <w:rsid w:val="58155B70"/>
    <w:rsid w:val="581F5F1F"/>
    <w:rsid w:val="589A10C5"/>
    <w:rsid w:val="589F0489"/>
    <w:rsid w:val="59A776A2"/>
    <w:rsid w:val="59F52CAF"/>
    <w:rsid w:val="5A6734F4"/>
    <w:rsid w:val="5A6F73AB"/>
    <w:rsid w:val="5ACD5782"/>
    <w:rsid w:val="5ACF0409"/>
    <w:rsid w:val="5B204D10"/>
    <w:rsid w:val="5B2E3267"/>
    <w:rsid w:val="5B302F03"/>
    <w:rsid w:val="5BB4208F"/>
    <w:rsid w:val="5BC46424"/>
    <w:rsid w:val="5BC86423"/>
    <w:rsid w:val="5BE537D4"/>
    <w:rsid w:val="5C164884"/>
    <w:rsid w:val="5C515082"/>
    <w:rsid w:val="5C591D3E"/>
    <w:rsid w:val="5C5B784D"/>
    <w:rsid w:val="5C773163"/>
    <w:rsid w:val="5CCD7CBB"/>
    <w:rsid w:val="5CCF1300"/>
    <w:rsid w:val="5D1A14B3"/>
    <w:rsid w:val="5D752101"/>
    <w:rsid w:val="5DB41D86"/>
    <w:rsid w:val="5DC9487D"/>
    <w:rsid w:val="5E0537B8"/>
    <w:rsid w:val="5E160396"/>
    <w:rsid w:val="5E2D736C"/>
    <w:rsid w:val="5E504ECF"/>
    <w:rsid w:val="5ECB0187"/>
    <w:rsid w:val="5EE9730D"/>
    <w:rsid w:val="5EEE374C"/>
    <w:rsid w:val="5F4872DE"/>
    <w:rsid w:val="5F652779"/>
    <w:rsid w:val="5F7924FB"/>
    <w:rsid w:val="5F8E7A52"/>
    <w:rsid w:val="5FBE58AC"/>
    <w:rsid w:val="606D4FF4"/>
    <w:rsid w:val="608C1C3B"/>
    <w:rsid w:val="60AB306E"/>
    <w:rsid w:val="611134A9"/>
    <w:rsid w:val="613340CF"/>
    <w:rsid w:val="614A3EFD"/>
    <w:rsid w:val="61565DA5"/>
    <w:rsid w:val="6156701E"/>
    <w:rsid w:val="616C6FE3"/>
    <w:rsid w:val="623424B2"/>
    <w:rsid w:val="624C4C73"/>
    <w:rsid w:val="63453803"/>
    <w:rsid w:val="63D351D4"/>
    <w:rsid w:val="647A33CF"/>
    <w:rsid w:val="648A1722"/>
    <w:rsid w:val="6509313E"/>
    <w:rsid w:val="657B37FA"/>
    <w:rsid w:val="65DE1DB1"/>
    <w:rsid w:val="65E36238"/>
    <w:rsid w:val="660D737A"/>
    <w:rsid w:val="66395651"/>
    <w:rsid w:val="66452A5A"/>
    <w:rsid w:val="66884DF5"/>
    <w:rsid w:val="66BE4886"/>
    <w:rsid w:val="66DA7F3E"/>
    <w:rsid w:val="67C57B54"/>
    <w:rsid w:val="686F31DE"/>
    <w:rsid w:val="688E62B3"/>
    <w:rsid w:val="68C217C3"/>
    <w:rsid w:val="691F3B52"/>
    <w:rsid w:val="6959151C"/>
    <w:rsid w:val="69A16CF9"/>
    <w:rsid w:val="69A563E8"/>
    <w:rsid w:val="69CF40DE"/>
    <w:rsid w:val="6A1A173A"/>
    <w:rsid w:val="6A443415"/>
    <w:rsid w:val="6A6521E8"/>
    <w:rsid w:val="6A6E5392"/>
    <w:rsid w:val="6A7A25C1"/>
    <w:rsid w:val="6AFE50B2"/>
    <w:rsid w:val="6B4F0217"/>
    <w:rsid w:val="6B744AB0"/>
    <w:rsid w:val="6B794984"/>
    <w:rsid w:val="6B806ECC"/>
    <w:rsid w:val="6B8609E5"/>
    <w:rsid w:val="6BC22278"/>
    <w:rsid w:val="6C367E96"/>
    <w:rsid w:val="6C446021"/>
    <w:rsid w:val="6D140FEE"/>
    <w:rsid w:val="6D455BDE"/>
    <w:rsid w:val="6D463172"/>
    <w:rsid w:val="6D506AE6"/>
    <w:rsid w:val="6D54286C"/>
    <w:rsid w:val="6D9A6AF9"/>
    <w:rsid w:val="6DDC3A4A"/>
    <w:rsid w:val="6E331948"/>
    <w:rsid w:val="6EAB08B0"/>
    <w:rsid w:val="6EB80E75"/>
    <w:rsid w:val="6F0D763F"/>
    <w:rsid w:val="6F4B4F26"/>
    <w:rsid w:val="6F4E3977"/>
    <w:rsid w:val="6F9366CF"/>
    <w:rsid w:val="701C1116"/>
    <w:rsid w:val="703E1036"/>
    <w:rsid w:val="704F1468"/>
    <w:rsid w:val="70862203"/>
    <w:rsid w:val="70936542"/>
    <w:rsid w:val="70AC59E2"/>
    <w:rsid w:val="70C01AC3"/>
    <w:rsid w:val="70C3128F"/>
    <w:rsid w:val="70C4348D"/>
    <w:rsid w:val="70F213F3"/>
    <w:rsid w:val="70F96E79"/>
    <w:rsid w:val="71155969"/>
    <w:rsid w:val="71191BB7"/>
    <w:rsid w:val="712E50BB"/>
    <w:rsid w:val="71B3746C"/>
    <w:rsid w:val="71B8259B"/>
    <w:rsid w:val="71D15BC9"/>
    <w:rsid w:val="71E44BEA"/>
    <w:rsid w:val="725914B0"/>
    <w:rsid w:val="72757EE0"/>
    <w:rsid w:val="728C1F3C"/>
    <w:rsid w:val="729D50DE"/>
    <w:rsid w:val="72A921D9"/>
    <w:rsid w:val="72E10454"/>
    <w:rsid w:val="72FB3E75"/>
    <w:rsid w:val="730B6BCA"/>
    <w:rsid w:val="73320420"/>
    <w:rsid w:val="73353292"/>
    <w:rsid w:val="73456411"/>
    <w:rsid w:val="741C7D0C"/>
    <w:rsid w:val="74597836"/>
    <w:rsid w:val="748E25CA"/>
    <w:rsid w:val="74BE20D5"/>
    <w:rsid w:val="74C54CA2"/>
    <w:rsid w:val="7526798A"/>
    <w:rsid w:val="75393B4C"/>
    <w:rsid w:val="753B23C5"/>
    <w:rsid w:val="757260C0"/>
    <w:rsid w:val="76295DF0"/>
    <w:rsid w:val="768E4B8C"/>
    <w:rsid w:val="76DB0DCF"/>
    <w:rsid w:val="76F8173F"/>
    <w:rsid w:val="775252D0"/>
    <w:rsid w:val="775A5E33"/>
    <w:rsid w:val="7794703F"/>
    <w:rsid w:val="77CD049D"/>
    <w:rsid w:val="781C51FB"/>
    <w:rsid w:val="783720CB"/>
    <w:rsid w:val="783F17A4"/>
    <w:rsid w:val="7861768C"/>
    <w:rsid w:val="786F4D84"/>
    <w:rsid w:val="78DC3F71"/>
    <w:rsid w:val="78E843CD"/>
    <w:rsid w:val="798E3ED6"/>
    <w:rsid w:val="79A15145"/>
    <w:rsid w:val="79B0209F"/>
    <w:rsid w:val="79D91C08"/>
    <w:rsid w:val="79E047B6"/>
    <w:rsid w:val="7A262361"/>
    <w:rsid w:val="7A4822D7"/>
    <w:rsid w:val="7A5D1726"/>
    <w:rsid w:val="7A8A6D94"/>
    <w:rsid w:val="7AF87737"/>
    <w:rsid w:val="7B0706B3"/>
    <w:rsid w:val="7BD056AF"/>
    <w:rsid w:val="7BD868F4"/>
    <w:rsid w:val="7C042B76"/>
    <w:rsid w:val="7C1F567E"/>
    <w:rsid w:val="7C516D58"/>
    <w:rsid w:val="7C8F68E3"/>
    <w:rsid w:val="7CFC7D9A"/>
    <w:rsid w:val="7D401316"/>
    <w:rsid w:val="7D8B362B"/>
    <w:rsid w:val="7D962DBE"/>
    <w:rsid w:val="7DC73E5B"/>
    <w:rsid w:val="7E5B3861"/>
    <w:rsid w:val="7E5D3C9C"/>
    <w:rsid w:val="7E936BB7"/>
    <w:rsid w:val="7EB37E52"/>
    <w:rsid w:val="7EBA2913"/>
    <w:rsid w:val="7F2018D0"/>
    <w:rsid w:val="7F602F5A"/>
    <w:rsid w:val="7F687E94"/>
    <w:rsid w:val="7F873FDB"/>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ody Text Indent 2"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uiPriority="99" w:qFormat="1"/>
    <w:lsdException w:name="Light Shading" w:uiPriority="1"/>
    <w:lsdException w:name="Light List" w:uiPriority="1"/>
    <w:lsdException w:name="Light Grid" w:uiPriority="1"/>
    <w:lsdException w:name="Medium Shading 1" w:uiPriority="1"/>
    <w:lsdException w:name="Medium Shading 2" w:uiPriority="1"/>
    <w:lsdException w:name="Medium List 1" w:uiPriority="1"/>
    <w:lsdException w:name="Medium List 2" w:uiPriority="1"/>
    <w:lsdException w:name="Medium Grid 1" w:uiPriority="1"/>
    <w:lsdException w:name="Medium Grid 2" w:uiPriority="1"/>
    <w:lsdException w:name="Medium Grid 3" w:uiPriority="1"/>
    <w:lsdException w:name="Dark List" w:uiPriority="1"/>
    <w:lsdException w:name="Colorful Shading" w:uiPriority="1"/>
    <w:lsdException w:name="Colorful List" w:uiPriority="1"/>
    <w:lsdException w:name="Colorful Grid" w:uiPriority="1"/>
    <w:lsdException w:name="Light Shading Accent 1" w:uiPriority="1"/>
    <w:lsdException w:name="Light List Accent 1" w:uiPriority="1"/>
    <w:lsdException w:name="Light Grid Accent 1" w:uiPriority="1"/>
    <w:lsdException w:name="Medium Shading 1 Accent 1" w:uiPriority="1"/>
    <w:lsdException w:name="Medium Shading 2 Accent 1" w:uiPriority="1"/>
    <w:lsdException w:name="Medium List 1 Accent 1" w:uiPriority="1"/>
    <w:lsdException w:name="Revision" w:semiHidden="1" w:uiPriority="99"/>
    <w:lsdException w:name="List Paragraph" w:uiPriority="34" w:qFormat="1"/>
    <w:lsdException w:name="Quote" w:uiPriority="99" w:qFormat="1"/>
    <w:lsdException w:name="Intense Quote" w:uiPriority="99" w:qFormat="1"/>
    <w:lsdException w:name="Medium List 2 Accent 1" w:uiPriority="1"/>
    <w:lsdException w:name="Medium Grid 1 Accent 1" w:uiPriority="1"/>
    <w:lsdException w:name="Medium Grid 2 Accent 1" w:uiPriority="1"/>
    <w:lsdException w:name="Medium Grid 3 Accent 1" w:uiPriority="1"/>
    <w:lsdException w:name="Dark List Accent 1" w:uiPriority="1"/>
    <w:lsdException w:name="Colorful Shading Accent 1" w:uiPriority="1"/>
    <w:lsdException w:name="Colorful List Accent 1" w:uiPriority="1"/>
    <w:lsdException w:name="Colorful Grid Accent 1" w:uiPriority="1"/>
    <w:lsdException w:name="Light Shading Accent 2" w:uiPriority="1"/>
    <w:lsdException w:name="Light List Accent 2" w:uiPriority="1"/>
    <w:lsdException w:name="Light Grid Accent 2" w:uiPriority="1"/>
    <w:lsdException w:name="Medium Shading 1 Accent 2" w:uiPriority="1"/>
    <w:lsdException w:name="Medium Shading 2 Accent 2" w:uiPriority="1"/>
    <w:lsdException w:name="Medium List 1 Accent 2" w:uiPriority="1"/>
    <w:lsdException w:name="Medium List 2 Accent 2" w:uiPriority="1"/>
    <w:lsdException w:name="Medium Grid 1 Accent 2" w:uiPriority="1"/>
    <w:lsdException w:name="Medium Grid 2 Accent 2" w:uiPriority="1"/>
    <w:lsdException w:name="Medium Grid 3 Accent 2" w:uiPriority="1"/>
    <w:lsdException w:name="Dark List Accent 2" w:uiPriority="1"/>
    <w:lsdException w:name="Colorful Shading Accent 2" w:uiPriority="1"/>
    <w:lsdException w:name="Colorful List Accent 2" w:uiPriority="1"/>
    <w:lsdException w:name="Colorful Grid Accent 2" w:uiPriority="1"/>
    <w:lsdException w:name="Light Shading Accent 3" w:uiPriority="1"/>
    <w:lsdException w:name="Light List Accent 3" w:uiPriority="1"/>
    <w:lsdException w:name="Light Grid Accent 3" w:uiPriority="1"/>
    <w:lsdException w:name="Medium Shading 1 Accent 3" w:uiPriority="1"/>
    <w:lsdException w:name="Medium Shading 2 Accent 3" w:uiPriority="1"/>
    <w:lsdException w:name="Medium List 1 Accent 3" w:uiPriority="1"/>
    <w:lsdException w:name="Medium List 2 Accent 3" w:uiPriority="1"/>
    <w:lsdException w:name="Medium Grid 1 Accent 3" w:uiPriority="1"/>
    <w:lsdException w:name="Medium Grid 2 Accent 3" w:uiPriority="1"/>
    <w:lsdException w:name="Medium Grid 3 Accent 3" w:uiPriority="1"/>
    <w:lsdException w:name="Dark List Accent 3" w:uiPriority="1"/>
    <w:lsdException w:name="Colorful Shading Accent 3" w:uiPriority="1"/>
    <w:lsdException w:name="Colorful List Accent 3" w:uiPriority="1"/>
    <w:lsdException w:name="Colorful Grid Accent 3" w:uiPriority="1"/>
    <w:lsdException w:name="Light Shading Accent 4" w:uiPriority="1"/>
    <w:lsdException w:name="Light List Accent 4" w:uiPriority="1"/>
    <w:lsdException w:name="Light Grid Accent 4" w:uiPriority="1"/>
    <w:lsdException w:name="Medium Shading 1 Accent 4" w:uiPriority="1"/>
    <w:lsdException w:name="Medium Shading 2 Accent 4" w:uiPriority="1"/>
    <w:lsdException w:name="Medium List 1 Accent 4" w:uiPriority="1"/>
    <w:lsdException w:name="Medium List 2 Accent 4" w:uiPriority="1"/>
    <w:lsdException w:name="Medium Grid 1 Accent 4" w:uiPriority="1"/>
    <w:lsdException w:name="Medium Grid 2 Accent 4" w:uiPriority="1"/>
    <w:lsdException w:name="Medium Grid 3 Accent 4" w:uiPriority="1"/>
    <w:lsdException w:name="Dark List Accent 4" w:uiPriority="1"/>
    <w:lsdException w:name="Colorful Shading Accent 4" w:uiPriority="1"/>
    <w:lsdException w:name="Colorful List Accent 4" w:uiPriority="1"/>
    <w:lsdException w:name="Colorful Grid Accent 4" w:uiPriority="1"/>
    <w:lsdException w:name="Light Shading Accent 5" w:uiPriority="1"/>
    <w:lsdException w:name="Light List Accent 5" w:uiPriority="1"/>
    <w:lsdException w:name="Light Grid Accent 5" w:uiPriority="1"/>
    <w:lsdException w:name="Medium Shading 1 Accent 5" w:uiPriority="1"/>
    <w:lsdException w:name="Medium Shading 2 Accent 5" w:uiPriority="1"/>
    <w:lsdException w:name="Medium List 1 Accent 5" w:uiPriority="1"/>
    <w:lsdException w:name="Medium List 2 Accent 5" w:uiPriority="1"/>
    <w:lsdException w:name="Medium Grid 1 Accent 5" w:uiPriority="1"/>
    <w:lsdException w:name="Medium Grid 2 Accent 5" w:uiPriority="1"/>
    <w:lsdException w:name="Medium Grid 3 Accent 5" w:uiPriority="1"/>
    <w:lsdException w:name="Dark List Accent 5" w:uiPriority="1"/>
    <w:lsdException w:name="Colorful Shading Accent 5" w:uiPriority="1"/>
    <w:lsdException w:name="Colorful List Accent 5" w:uiPriority="1"/>
    <w:lsdException w:name="Colorful Grid Accent 5" w:uiPriority="1"/>
    <w:lsdException w:name="Light Shading Accent 6" w:uiPriority="1"/>
    <w:lsdException w:name="Light List Accent 6" w:uiPriority="1"/>
    <w:lsdException w:name="Light Grid Accent 6" w:uiPriority="1"/>
    <w:lsdException w:name="Medium Shading 1 Accent 6" w:uiPriority="1"/>
    <w:lsdException w:name="Medium Shading 2 Accent 6" w:uiPriority="1"/>
    <w:lsdException w:name="Medium List 1 Accent 6" w:uiPriority="1"/>
    <w:lsdException w:name="Medium List 2 Accent 6" w:uiPriority="1"/>
    <w:lsdException w:name="Medium Grid 1 Accent 6" w:uiPriority="1"/>
    <w:lsdException w:name="Medium Grid 2 Accent 6" w:uiPriority="1"/>
    <w:lsdException w:name="Medium Grid 3 Accent 6" w:uiPriority="1"/>
    <w:lsdException w:name="Dark List Accent 6" w:uiPriority="1"/>
    <w:lsdException w:name="Colorful Shading Accent 6" w:uiPriority="1"/>
    <w:lsdException w:name="Colorful List Accent 6" w:uiPriority="1"/>
    <w:lsdException w:name="Colorful Grid Accent 6" w:uiPriority="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paragraph" w:styleId="2">
    <w:name w:val="heading 2"/>
    <w:basedOn w:val="a"/>
    <w:next w:val="a"/>
    <w:link w:val="2Char"/>
    <w:qFormat/>
    <w:pPr>
      <w:keepNext/>
      <w:keepLines/>
      <w:spacing w:before="260" w:after="260" w:line="412" w:lineRule="auto"/>
      <w:outlineLvl w:val="1"/>
    </w:pPr>
    <w:rPr>
      <w:rFonts w:ascii="Arial" w:eastAsia="黑体" w:hAnsi="Arial"/>
      <w:b/>
      <w:sz w:val="32"/>
      <w:szCs w:val="22"/>
    </w:rPr>
  </w:style>
  <w:style w:type="paragraph" w:styleId="4">
    <w:name w:val="heading 4"/>
    <w:basedOn w:val="a"/>
    <w:next w:val="a"/>
    <w:link w:val="4Char"/>
    <w:qFormat/>
    <w:pPr>
      <w:keepNext/>
      <w:keepLines/>
      <w:spacing w:before="280" w:after="290" w:line="376" w:lineRule="auto"/>
      <w:outlineLvl w:val="3"/>
    </w:pPr>
    <w:rPr>
      <w:rFonts w:ascii="Cambria" w:hAnsi="Cambria"/>
      <w:b/>
      <w:bCs/>
      <w:sz w:val="28"/>
      <w:szCs w:val="28"/>
    </w:rPr>
  </w:style>
  <w:style w:type="character" w:default="1" w:styleId="a0">
    <w:name w:val="Default Paragraph Font"/>
  </w:style>
  <w:style w:type="table" w:default="1" w:styleId="a1">
    <w:name w:val="Normal Table"/>
    <w:semiHidden/>
    <w:tblPr>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link w:val="2"/>
    <w:rPr>
      <w:rFonts w:ascii="Arial" w:eastAsia="黑体" w:hAnsi="Arial"/>
      <w:b/>
      <w:kern w:val="2"/>
      <w:sz w:val="32"/>
      <w:szCs w:val="22"/>
    </w:rPr>
  </w:style>
  <w:style w:type="character" w:customStyle="1" w:styleId="4Char">
    <w:name w:val="标题 4 Char"/>
    <w:link w:val="4"/>
    <w:semiHidden/>
    <w:rPr>
      <w:rFonts w:ascii="Cambria" w:eastAsia="宋体" w:hAnsi="Cambria" w:cs="Times New Roman"/>
      <w:b/>
      <w:bCs/>
      <w:kern w:val="2"/>
      <w:sz w:val="28"/>
      <w:szCs w:val="28"/>
    </w:rPr>
  </w:style>
  <w:style w:type="paragraph" w:styleId="a3">
    <w:name w:val="annotation text"/>
    <w:basedOn w:val="a"/>
    <w:link w:val="Char"/>
    <w:pPr>
      <w:jc w:val="left"/>
    </w:pPr>
  </w:style>
  <w:style w:type="character" w:customStyle="1" w:styleId="Char">
    <w:name w:val="批注文字 Char"/>
    <w:link w:val="a3"/>
    <w:rPr>
      <w:kern w:val="2"/>
      <w:sz w:val="21"/>
    </w:rPr>
  </w:style>
  <w:style w:type="paragraph" w:styleId="20">
    <w:name w:val="Body Text Indent 2"/>
    <w:basedOn w:val="a"/>
    <w:link w:val="2Char1"/>
    <w:qFormat/>
    <w:pPr>
      <w:spacing w:line="360" w:lineRule="auto"/>
      <w:ind w:firstLineChars="200" w:firstLine="420"/>
    </w:pPr>
    <w:rPr>
      <w:rFonts w:ascii="宋体" w:hAnsi="宋体"/>
    </w:rPr>
  </w:style>
  <w:style w:type="character" w:customStyle="1" w:styleId="2Char1">
    <w:name w:val="正文文本缩进 2 Char1"/>
    <w:link w:val="20"/>
    <w:qFormat/>
    <w:rPr>
      <w:rFonts w:ascii="宋体" w:hAnsi="宋体"/>
      <w:kern w:val="2"/>
      <w:sz w:val="21"/>
    </w:rPr>
  </w:style>
  <w:style w:type="paragraph" w:styleId="a4">
    <w:name w:val="Balloon Text"/>
    <w:basedOn w:val="a"/>
    <w:link w:val="Char0"/>
    <w:rPr>
      <w:sz w:val="18"/>
      <w:szCs w:val="18"/>
    </w:rPr>
  </w:style>
  <w:style w:type="character" w:customStyle="1" w:styleId="Char0">
    <w:name w:val="批注框文本 Char"/>
    <w:link w:val="a4"/>
    <w:rPr>
      <w:kern w:val="2"/>
      <w:sz w:val="18"/>
      <w:szCs w:val="18"/>
    </w:rPr>
  </w:style>
  <w:style w:type="paragraph" w:styleId="a5">
    <w:name w:val="footer"/>
    <w:basedOn w:val="a"/>
    <w:link w:val="Char1"/>
    <w:uiPriority w:val="99"/>
    <w:pPr>
      <w:tabs>
        <w:tab w:val="center" w:pos="4153"/>
        <w:tab w:val="right" w:pos="8306"/>
      </w:tabs>
      <w:snapToGrid w:val="0"/>
      <w:jc w:val="left"/>
    </w:pPr>
    <w:rPr>
      <w:sz w:val="18"/>
      <w:szCs w:val="18"/>
    </w:rPr>
  </w:style>
  <w:style w:type="character" w:customStyle="1" w:styleId="Char1">
    <w:name w:val="页脚 Char"/>
    <w:link w:val="a5"/>
    <w:uiPriority w:val="99"/>
    <w:rPr>
      <w:kern w:val="2"/>
      <w:sz w:val="18"/>
      <w:szCs w:val="18"/>
    </w:rPr>
  </w:style>
  <w:style w:type="paragraph" w:styleId="a6">
    <w:name w:val="header"/>
    <w:basedOn w:val="a"/>
    <w:link w:val="Char10"/>
    <w:uiPriority w:val="99"/>
    <w:pPr>
      <w:pBdr>
        <w:bottom w:val="single" w:sz="6" w:space="1" w:color="auto"/>
      </w:pBdr>
      <w:tabs>
        <w:tab w:val="center" w:pos="4153"/>
        <w:tab w:val="right" w:pos="8306"/>
      </w:tabs>
      <w:snapToGrid w:val="0"/>
      <w:jc w:val="center"/>
    </w:pPr>
    <w:rPr>
      <w:sz w:val="18"/>
      <w:szCs w:val="18"/>
    </w:rPr>
  </w:style>
  <w:style w:type="character" w:customStyle="1" w:styleId="Char10">
    <w:name w:val="页眉 Char1"/>
    <w:link w:val="a6"/>
    <w:uiPriority w:val="99"/>
    <w:rPr>
      <w:kern w:val="2"/>
      <w:sz w:val="18"/>
      <w:szCs w:val="18"/>
    </w:rPr>
  </w:style>
  <w:style w:type="paragraph" w:styleId="a7">
    <w:name w:val="Subtitle"/>
    <w:basedOn w:val="a"/>
    <w:next w:val="a"/>
    <w:link w:val="Char2"/>
    <w:qFormat/>
    <w:pPr>
      <w:spacing w:before="240" w:after="60" w:line="312" w:lineRule="auto"/>
      <w:jc w:val="center"/>
      <w:outlineLvl w:val="1"/>
    </w:pPr>
    <w:rPr>
      <w:rFonts w:ascii="Cambria" w:hAnsi="Cambria"/>
      <w:b/>
      <w:bCs/>
      <w:kern w:val="28"/>
      <w:sz w:val="32"/>
      <w:szCs w:val="32"/>
    </w:rPr>
  </w:style>
  <w:style w:type="character" w:customStyle="1" w:styleId="Char2">
    <w:name w:val="副标题 Char"/>
    <w:link w:val="a7"/>
    <w:rPr>
      <w:rFonts w:ascii="Cambria" w:hAnsi="Cambria" w:cs="Times New Roman"/>
      <w:b/>
      <w:bCs/>
      <w:kern w:val="28"/>
      <w:sz w:val="32"/>
      <w:szCs w:val="32"/>
    </w:rPr>
  </w:style>
  <w:style w:type="paragraph" w:styleId="HTML">
    <w:name w:val="HTML Preformatted"/>
    <w:basedOn w:val="a"/>
    <w:link w:val="HTMLChar"/>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olor w:val="000000"/>
      <w:kern w:val="0"/>
      <w:sz w:val="24"/>
    </w:rPr>
  </w:style>
  <w:style w:type="character" w:customStyle="1" w:styleId="HTMLChar">
    <w:name w:val="HTML 预设格式 Char"/>
    <w:link w:val="HTML"/>
    <w:uiPriority w:val="99"/>
    <w:rPr>
      <w:rFonts w:ascii="宋体" w:hAnsi="宋体"/>
      <w:color w:val="000000"/>
      <w:sz w:val="24"/>
    </w:rPr>
  </w:style>
  <w:style w:type="paragraph" w:styleId="a8">
    <w:name w:val="Normal (Web)"/>
    <w:basedOn w:val="a"/>
    <w:pPr>
      <w:spacing w:before="100" w:beforeAutospacing="1" w:after="100" w:afterAutospacing="1"/>
      <w:jc w:val="left"/>
    </w:pPr>
    <w:rPr>
      <w:kern w:val="0"/>
      <w:sz w:val="24"/>
    </w:rPr>
  </w:style>
  <w:style w:type="paragraph" w:styleId="a9">
    <w:name w:val="annotation subject"/>
    <w:basedOn w:val="a3"/>
    <w:next w:val="a3"/>
    <w:link w:val="Char3"/>
    <w:rPr>
      <w:b/>
      <w:bCs/>
    </w:rPr>
  </w:style>
  <w:style w:type="character" w:customStyle="1" w:styleId="Char3">
    <w:name w:val="批注主题 Char"/>
    <w:link w:val="a9"/>
    <w:rPr>
      <w:b/>
      <w:bCs/>
      <w:kern w:val="2"/>
      <w:sz w:val="21"/>
    </w:rPr>
  </w:style>
  <w:style w:type="character" w:styleId="aa">
    <w:name w:val="Emphasis"/>
    <w:qFormat/>
    <w:rPr>
      <w:i/>
    </w:rPr>
  </w:style>
  <w:style w:type="character" w:styleId="ab">
    <w:name w:val="Hyperlink"/>
    <w:rPr>
      <w:color w:val="0000FF"/>
      <w:u w:val="single"/>
    </w:rPr>
  </w:style>
  <w:style w:type="character" w:styleId="ac">
    <w:name w:val="annotation reference"/>
    <w:rPr>
      <w:sz w:val="21"/>
      <w:szCs w:val="21"/>
    </w:rPr>
  </w:style>
  <w:style w:type="character" w:customStyle="1" w:styleId="2Char0">
    <w:name w:val="正文文本缩进 2 Char"/>
    <w:qFormat/>
    <w:rPr>
      <w:rFonts w:ascii="宋体" w:hAnsi="宋体"/>
      <w:kern w:val="2"/>
      <w:sz w:val="21"/>
    </w:rPr>
  </w:style>
  <w:style w:type="character" w:customStyle="1" w:styleId="HTML0">
    <w:name w:val="HTML 预设格式 字符"/>
    <w:rPr>
      <w:rFonts w:ascii="Courier New" w:hAnsi="Courier New" w:cs="Courier New"/>
      <w:kern w:val="2"/>
    </w:rPr>
  </w:style>
  <w:style w:type="character" w:customStyle="1" w:styleId="Char4">
    <w:name w:val="页眉 Char"/>
    <w:uiPriority w:val="99"/>
    <w:rPr>
      <w:kern w:val="2"/>
      <w:sz w:val="18"/>
      <w:szCs w:val="18"/>
    </w:rPr>
  </w:style>
  <w:style w:type="paragraph" w:styleId="ad">
    <w:name w:val="List Paragraph"/>
    <w:basedOn w:val="a"/>
    <w:uiPriority w:val="34"/>
    <w:qFormat/>
    <w:pPr>
      <w:ind w:firstLineChars="200" w:firstLine="420"/>
    </w:pPr>
    <w:rPr>
      <w:szCs w:val="24"/>
    </w:rPr>
  </w:style>
  <w:style w:type="paragraph" w:customStyle="1" w:styleId="222">
    <w:name w:val="样式 样式 产品正文2 + 首行缩进:  2 字符 + 首行缩进:  2 字符"/>
    <w:basedOn w:val="a"/>
    <w:pPr>
      <w:autoSpaceDE w:val="0"/>
      <w:autoSpaceDN w:val="0"/>
      <w:adjustRightInd w:val="0"/>
      <w:snapToGrid w:val="0"/>
      <w:spacing w:line="360" w:lineRule="auto"/>
      <w:ind w:firstLineChars="200" w:firstLine="480"/>
    </w:pPr>
    <w:rPr>
      <w:rFonts w:ascii="仿宋_GB2312" w:eastAsia="仿宋_GB2312" w:cs="宋体"/>
      <w:sz w:val="24"/>
      <w:lang w:val="zh-CN"/>
    </w:rPr>
  </w:style>
  <w:style w:type="paragraph" w:customStyle="1" w:styleId="XBRLTitle2">
    <w:name w:val="XBRLTitle2"/>
    <w:basedOn w:val="a7"/>
    <w:next w:val="4"/>
    <w:pPr>
      <w:keepNext/>
      <w:keepLines/>
      <w:numPr>
        <w:ilvl w:val="1"/>
        <w:numId w:val="1"/>
      </w:numPr>
      <w:tabs>
        <w:tab w:val="left" w:pos="405"/>
      </w:tabs>
      <w:spacing w:beforeLines="50" w:afterLines="50" w:line="240" w:lineRule="auto"/>
      <w:jc w:val="left"/>
    </w:pPr>
    <w:rPr>
      <w:sz w:val="24"/>
    </w:rPr>
  </w:style>
  <w:style w:type="paragraph" w:customStyle="1" w:styleId="Default">
    <w:name w:val="Default"/>
    <w:pPr>
      <w:widowControl w:val="0"/>
      <w:autoSpaceDE w:val="0"/>
      <w:autoSpaceDN w:val="0"/>
      <w:adjustRightInd w:val="0"/>
    </w:pPr>
    <w:rPr>
      <w:rFonts w:ascii="宋体" w:hAnsi="宋体" w:cs="宋体"/>
      <w:color w:val="000000"/>
      <w:sz w:val="24"/>
      <w:szCs w:val="24"/>
    </w:rPr>
  </w:style>
  <w:style w:type="paragraph" w:customStyle="1" w:styleId="080318">
    <w:name w:val="产品方案正文080318"/>
    <w:basedOn w:val="222"/>
    <w:qFormat/>
    <w:pPr>
      <w:ind w:firstLine="200"/>
    </w:pPr>
    <w:rPr>
      <w:rFonts w:ascii="宋体"/>
    </w:rPr>
  </w:style>
  <w:style w:type="paragraph" w:styleId="ae">
    <w:name w:val="Revision"/>
    <w:uiPriority w:val="99"/>
    <w:semiHidden/>
    <w:rPr>
      <w:kern w:val="2"/>
      <w:sz w:val="21"/>
    </w:rPr>
  </w:style>
  <w:style w:type="paragraph" w:customStyle="1" w:styleId="p0">
    <w:name w:val="p0"/>
    <w:basedOn w:val="a"/>
    <w:pPr>
      <w:widowControl/>
    </w:pPr>
    <w:rPr>
      <w:kern w:val="0"/>
    </w:rPr>
  </w:style>
  <w:style w:type="paragraph" w:customStyle="1" w:styleId="af">
    <w:name w:val="产品二级小标题"/>
    <w:basedOn w:val="080318"/>
    <w:pPr>
      <w:ind w:firstLine="422"/>
    </w:pPr>
    <w:rPr>
      <w:rFonts w:ascii="Arial Unicode MS" w:eastAsia="Arial Unicode MS" w:hAnsi="Cambria Math" w:cs="Arial Unicode MS"/>
      <w:b/>
      <w:bCs/>
    </w:rPr>
  </w:style>
  <w:style w:type="paragraph" w:customStyle="1" w:styleId="21">
    <w:name w:val="产品小标题2"/>
    <w:basedOn w:val="a"/>
    <w:next w:val="a"/>
    <w:qFormat/>
    <w:pPr>
      <w:spacing w:before="120" w:line="415" w:lineRule="auto"/>
      <w:ind w:firstLineChars="200" w:firstLine="562"/>
      <w:jc w:val="left"/>
      <w:outlineLvl w:val="0"/>
    </w:pPr>
    <w:rPr>
      <w:rFonts w:ascii="Courier New" w:eastAsia="Courier New" w:hAnsi="Cambria Math" w:cs="Cambria Math"/>
      <w:b/>
      <w:kern w:val="0"/>
      <w:sz w:val="28"/>
      <w:szCs w:val="24"/>
    </w:rPr>
  </w:style>
</w:styles>
</file>

<file path=word/webSettings.xml><?xml version="1.0" encoding="utf-8"?>
<w:webSettings xmlns:r="http://schemas.openxmlformats.org/officeDocument/2006/relationships" xmlns:w="http://schemas.openxmlformats.org/wordprocessingml/2006/main">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hixiao.yhfund.com.c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1152</Words>
  <Characters>6568</Characters>
  <Application>Microsoft Office Word</Application>
  <DocSecurity>4</DocSecurity>
  <PresentationFormat/>
  <Lines>54</Lines>
  <Paragraphs>15</Paragraphs>
  <Slides>0</Slides>
  <Notes>0</Notes>
  <HiddenSlides>0</HiddenSlides>
  <MMClips>0</MMClips>
  <ScaleCrop>false</ScaleCrop>
  <Manager/>
  <Company>YHFund</Company>
  <LinksUpToDate>false</LinksUpToDate>
  <CharactersWithSpaces>7705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银华基金管理有限公司</dc:title>
  <dc:subject/>
  <dc:creator>wangxf</dc:creator>
  <cp:keywords/>
  <dc:description/>
  <cp:lastModifiedBy>ZHONGM</cp:lastModifiedBy>
  <cp:revision>2</cp:revision>
  <cp:lastPrinted>2020-12-08T08:40:00Z</cp:lastPrinted>
  <dcterms:created xsi:type="dcterms:W3CDTF">2026-04-30T16:01:00Z</dcterms:created>
  <dcterms:modified xsi:type="dcterms:W3CDTF">2026-04-30T16:01:00Z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F9B69740B0AB4DB18B7239F61E7D9D8B</vt:lpwstr>
  </property>
  <property fmtid="{D5CDD505-2E9C-101B-9397-08002B2CF9AE}" pid="4" name="KSOTemplateDocerSaveRecord">
    <vt:lpwstr>eyJoZGlkIjoiMDRhZDQ2NzIzNGIyNDQ4MzJhYjE0YWQ5ZDQxMzM4MGUiLCJ1c2VySWQiOiIzNDAyNzUxNTEifQ==</vt:lpwstr>
  </property>
</Properties>
</file>