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Default="00FC1DAA">
      <w:pPr>
        <w:adjustRightInd w:val="0"/>
        <w:snapToGrid w:val="0"/>
        <w:spacing w:line="460" w:lineRule="exact"/>
        <w:ind w:rightChars="40" w:right="84"/>
        <w:jc w:val="center"/>
        <w:rPr>
          <w:b/>
          <w:sz w:val="28"/>
          <w:szCs w:val="28"/>
        </w:rPr>
      </w:pPr>
      <w:bookmarkStart w:id="0" w:name="OLE_LINK7"/>
      <w:bookmarkStart w:id="1" w:name="OLE_LINK4"/>
      <w:bookmarkStart w:id="2" w:name="OLE_LINK5"/>
      <w:bookmarkStart w:id="3" w:name="OLE_LINK6"/>
    </w:p>
    <w:p w:rsidR="00FC1DAA" w:rsidRDefault="00581B89">
      <w:pPr>
        <w:adjustRightInd w:val="0"/>
        <w:snapToGrid w:val="0"/>
        <w:spacing w:line="460" w:lineRule="exact"/>
        <w:ind w:rightChars="40" w:right="84"/>
        <w:jc w:val="center"/>
        <w:rPr>
          <w:b/>
          <w:sz w:val="28"/>
          <w:szCs w:val="28"/>
        </w:rPr>
      </w:pPr>
      <w:r>
        <w:rPr>
          <w:rFonts w:hint="eastAsia"/>
          <w:b/>
          <w:sz w:val="28"/>
          <w:szCs w:val="28"/>
        </w:rPr>
        <w:t>富国</w:t>
      </w:r>
      <w:r>
        <w:rPr>
          <w:b/>
          <w:sz w:val="28"/>
          <w:szCs w:val="28"/>
        </w:rPr>
        <w:t>基金管理有限公司关于旗下部分基金调整业绩比较基准</w:t>
      </w:r>
    </w:p>
    <w:p w:rsidR="00FC1DAA" w:rsidRDefault="00581B89">
      <w:pPr>
        <w:adjustRightInd w:val="0"/>
        <w:snapToGrid w:val="0"/>
        <w:spacing w:line="460" w:lineRule="exact"/>
        <w:ind w:rightChars="40" w:right="84"/>
        <w:jc w:val="center"/>
        <w:rPr>
          <w:b/>
          <w:szCs w:val="21"/>
        </w:rPr>
      </w:pPr>
      <w:r>
        <w:rPr>
          <w:b/>
          <w:kern w:val="0"/>
          <w:sz w:val="28"/>
          <w:szCs w:val="28"/>
        </w:rPr>
        <w:t>并</w:t>
      </w:r>
      <w:r>
        <w:rPr>
          <w:b/>
          <w:sz w:val="28"/>
          <w:szCs w:val="28"/>
        </w:rPr>
        <w:t>修订基金合同</w:t>
      </w:r>
      <w:r>
        <w:rPr>
          <w:rFonts w:hint="eastAsia"/>
          <w:b/>
          <w:sz w:val="28"/>
          <w:szCs w:val="28"/>
        </w:rPr>
        <w:t>等法律文件</w:t>
      </w:r>
      <w:r>
        <w:rPr>
          <w:b/>
          <w:sz w:val="28"/>
          <w:szCs w:val="28"/>
        </w:rPr>
        <w:t>的公告</w:t>
      </w:r>
    </w:p>
    <w:p w:rsidR="00FC1DAA" w:rsidRDefault="00FC1DAA">
      <w:pPr>
        <w:pStyle w:val="af"/>
        <w:adjustRightInd w:val="0"/>
        <w:snapToGrid w:val="0"/>
        <w:spacing w:line="460" w:lineRule="exact"/>
        <w:ind w:firstLine="480"/>
        <w:rPr>
          <w:sz w:val="24"/>
        </w:rPr>
      </w:pPr>
    </w:p>
    <w:p w:rsidR="00FC1DAA" w:rsidRDefault="00581B89">
      <w:pPr>
        <w:adjustRightInd w:val="0"/>
        <w:snapToGrid w:val="0"/>
        <w:spacing w:line="460" w:lineRule="exact"/>
        <w:ind w:firstLineChars="200" w:firstLine="480"/>
        <w:rPr>
          <w:sz w:val="24"/>
        </w:rPr>
      </w:pPr>
      <w:r>
        <w:rPr>
          <w:rFonts w:hint="eastAsia"/>
          <w:bCs/>
          <w:sz w:val="24"/>
        </w:rPr>
        <w:t>根据</w:t>
      </w:r>
      <w:r>
        <w:rPr>
          <w:bCs/>
          <w:sz w:val="24"/>
        </w:rPr>
        <w:t>《公开募集证券投资基金业绩比较基准指引》</w:t>
      </w:r>
      <w:r>
        <w:rPr>
          <w:rFonts w:hint="eastAsia"/>
          <w:bCs/>
          <w:sz w:val="24"/>
        </w:rPr>
        <w:t>的相关规定</w:t>
      </w:r>
      <w:r>
        <w:rPr>
          <w:bCs/>
          <w:sz w:val="24"/>
        </w:rPr>
        <w:t>，</w:t>
      </w:r>
      <w:r>
        <w:rPr>
          <w:rFonts w:hint="eastAsia"/>
          <w:bCs/>
          <w:sz w:val="24"/>
        </w:rPr>
        <w:t>为</w:t>
      </w:r>
      <w:r>
        <w:rPr>
          <w:bCs/>
          <w:sz w:val="24"/>
        </w:rPr>
        <w:t>更好地反映基金</w:t>
      </w:r>
      <w:r>
        <w:rPr>
          <w:rFonts w:hint="eastAsia"/>
          <w:bCs/>
          <w:sz w:val="24"/>
        </w:rPr>
        <w:t>投资风格</w:t>
      </w:r>
      <w:r>
        <w:rPr>
          <w:bCs/>
          <w:sz w:val="24"/>
        </w:rPr>
        <w:t>，提高基金业绩表现与业绩比较基准的可比性，</w:t>
      </w:r>
      <w:r>
        <w:rPr>
          <w:sz w:val="24"/>
        </w:rPr>
        <w:t>经与各基金托管人协商一致，</w:t>
      </w:r>
      <w:r>
        <w:rPr>
          <w:rFonts w:hint="eastAsia"/>
          <w:sz w:val="24"/>
        </w:rPr>
        <w:t>富国</w:t>
      </w:r>
      <w:r>
        <w:rPr>
          <w:sz w:val="24"/>
        </w:rPr>
        <w:t>基金管理有限公司（以下简称</w:t>
      </w:r>
      <w:r>
        <w:rPr>
          <w:rFonts w:hint="eastAsia"/>
          <w:sz w:val="24"/>
        </w:rPr>
        <w:t>“</w:t>
      </w:r>
      <w:r>
        <w:rPr>
          <w:sz w:val="24"/>
        </w:rPr>
        <w:t>基金管理人</w:t>
      </w:r>
      <w:r>
        <w:rPr>
          <w:rFonts w:hint="eastAsia"/>
          <w:sz w:val="24"/>
        </w:rPr>
        <w:t>”</w:t>
      </w:r>
      <w:r>
        <w:rPr>
          <w:sz w:val="24"/>
        </w:rPr>
        <w:t>）决定自</w:t>
      </w:r>
      <w:r>
        <w:rPr>
          <w:rFonts w:hint="eastAsia"/>
          <w:sz w:val="24"/>
        </w:rPr>
        <w:t>2</w:t>
      </w:r>
      <w:r>
        <w:rPr>
          <w:sz w:val="24"/>
        </w:rPr>
        <w:t>026</w:t>
      </w:r>
      <w:r>
        <w:rPr>
          <w:sz w:val="24"/>
        </w:rPr>
        <w:t>年</w:t>
      </w:r>
      <w:r>
        <w:rPr>
          <w:rFonts w:hint="eastAsia"/>
          <w:sz w:val="24"/>
        </w:rPr>
        <w:t>6</w:t>
      </w:r>
      <w:r>
        <w:rPr>
          <w:rFonts w:hint="eastAsia"/>
          <w:sz w:val="24"/>
        </w:rPr>
        <w:t>月</w:t>
      </w:r>
      <w:r>
        <w:rPr>
          <w:rFonts w:hint="eastAsia"/>
          <w:sz w:val="24"/>
        </w:rPr>
        <w:t>1</w:t>
      </w:r>
      <w:r>
        <w:rPr>
          <w:rFonts w:hint="eastAsia"/>
          <w:sz w:val="24"/>
        </w:rPr>
        <w:t>日起</w:t>
      </w:r>
      <w:r>
        <w:rPr>
          <w:sz w:val="24"/>
        </w:rPr>
        <w:t>调整旗下部分基金的</w:t>
      </w:r>
      <w:r>
        <w:rPr>
          <w:bCs/>
          <w:sz w:val="24"/>
        </w:rPr>
        <w:t>业绩比较基准并对基金合同</w:t>
      </w:r>
      <w:r>
        <w:rPr>
          <w:rFonts w:hint="eastAsia"/>
          <w:bCs/>
          <w:sz w:val="24"/>
        </w:rPr>
        <w:t>等法律文件</w:t>
      </w:r>
      <w:r>
        <w:rPr>
          <w:bCs/>
          <w:sz w:val="24"/>
        </w:rPr>
        <w:t>有关条款进行修订。</w:t>
      </w:r>
      <w:r>
        <w:rPr>
          <w:sz w:val="24"/>
        </w:rPr>
        <w:t>现将相关事宜公告如下：</w:t>
      </w:r>
    </w:p>
    <w:p w:rsidR="00FC1DAA" w:rsidRDefault="00581B89">
      <w:pPr>
        <w:pStyle w:val="a6"/>
        <w:adjustRightInd w:val="0"/>
        <w:snapToGrid w:val="0"/>
        <w:spacing w:line="46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一、</w:t>
      </w:r>
      <w:r>
        <w:rPr>
          <w:rFonts w:ascii="Times New Roman" w:hAnsi="Times New Roman" w:cs="Times New Roman" w:hint="eastAsia"/>
          <w:b/>
          <w:bCs/>
          <w:sz w:val="24"/>
          <w:szCs w:val="24"/>
        </w:rPr>
        <w:t>业绩比较基准调整情况</w:t>
      </w:r>
    </w:p>
    <w:p w:rsidR="00FC1DAA" w:rsidRDefault="00581B89">
      <w:pPr>
        <w:pStyle w:val="a6"/>
        <w:adjustRightInd w:val="0"/>
        <w:snapToGrid w:val="0"/>
        <w:spacing w:line="460" w:lineRule="exact"/>
        <w:ind w:firstLineChars="200" w:firstLine="480"/>
        <w:rPr>
          <w:rFonts w:ascii="Times New Roman" w:hAnsi="Times New Roman" w:cs="Times New Roman"/>
          <w:bCs/>
          <w:sz w:val="24"/>
          <w:szCs w:val="24"/>
        </w:rPr>
      </w:pPr>
      <w:r>
        <w:rPr>
          <w:rFonts w:ascii="Times New Roman" w:hAnsi="Times New Roman" w:cs="Times New Roman"/>
          <w:bCs/>
          <w:sz w:val="24"/>
          <w:szCs w:val="24"/>
        </w:rPr>
        <w:t>本次调整业绩比较基准的基金及调整前后的业绩比较基准情况如下：</w:t>
      </w:r>
    </w:p>
    <w:tbl>
      <w:tblPr>
        <w:tblStyle w:val="ac"/>
        <w:tblW w:w="8120" w:type="dxa"/>
        <w:jc w:val="center"/>
        <w:tblLook w:val="04A0"/>
      </w:tblPr>
      <w:tblGrid>
        <w:gridCol w:w="605"/>
        <w:gridCol w:w="1836"/>
        <w:gridCol w:w="2357"/>
        <w:gridCol w:w="3322"/>
      </w:tblGrid>
      <w:tr w:rsidR="00FC1DAA">
        <w:trPr>
          <w:trHeight w:val="376"/>
          <w:jc w:val="center"/>
        </w:trPr>
        <w:tc>
          <w:tcPr>
            <w:tcW w:w="605" w:type="dxa"/>
          </w:tcPr>
          <w:p w:rsidR="00FC1DAA" w:rsidRDefault="00581B89">
            <w:pPr>
              <w:pStyle w:val="af"/>
              <w:adjustRightInd w:val="0"/>
              <w:snapToGrid w:val="0"/>
              <w:ind w:firstLineChars="0" w:firstLine="0"/>
              <w:jc w:val="center"/>
              <w:rPr>
                <w:b/>
                <w:bCs/>
                <w:sz w:val="24"/>
              </w:rPr>
            </w:pPr>
            <w:r>
              <w:rPr>
                <w:b/>
                <w:bCs/>
                <w:sz w:val="24"/>
              </w:rPr>
              <w:t>序号</w:t>
            </w:r>
          </w:p>
        </w:tc>
        <w:tc>
          <w:tcPr>
            <w:tcW w:w="1836" w:type="dxa"/>
          </w:tcPr>
          <w:p w:rsidR="00FC1DAA" w:rsidRDefault="00581B89">
            <w:pPr>
              <w:pStyle w:val="af"/>
              <w:adjustRightInd w:val="0"/>
              <w:snapToGrid w:val="0"/>
              <w:ind w:firstLineChars="0" w:firstLine="0"/>
              <w:jc w:val="center"/>
              <w:rPr>
                <w:b/>
                <w:bCs/>
                <w:sz w:val="24"/>
              </w:rPr>
            </w:pPr>
            <w:r>
              <w:rPr>
                <w:b/>
                <w:bCs/>
                <w:sz w:val="24"/>
              </w:rPr>
              <w:t>基金全称</w:t>
            </w:r>
          </w:p>
        </w:tc>
        <w:tc>
          <w:tcPr>
            <w:tcW w:w="2357" w:type="dxa"/>
          </w:tcPr>
          <w:p w:rsidR="00FC1DAA" w:rsidRDefault="00581B89">
            <w:pPr>
              <w:pStyle w:val="af"/>
              <w:adjustRightInd w:val="0"/>
              <w:snapToGrid w:val="0"/>
              <w:ind w:firstLineChars="0" w:firstLine="0"/>
              <w:jc w:val="center"/>
              <w:rPr>
                <w:b/>
                <w:bCs/>
                <w:sz w:val="24"/>
              </w:rPr>
            </w:pPr>
            <w:r>
              <w:rPr>
                <w:b/>
                <w:bCs/>
                <w:sz w:val="24"/>
              </w:rPr>
              <w:t>原基金合同业绩比较基准</w:t>
            </w:r>
          </w:p>
        </w:tc>
        <w:tc>
          <w:tcPr>
            <w:tcW w:w="3322" w:type="dxa"/>
          </w:tcPr>
          <w:p w:rsidR="00FC1DAA" w:rsidRDefault="00581B89">
            <w:pPr>
              <w:pStyle w:val="af"/>
              <w:adjustRightInd w:val="0"/>
              <w:snapToGrid w:val="0"/>
              <w:ind w:firstLineChars="0" w:firstLine="0"/>
              <w:jc w:val="center"/>
              <w:rPr>
                <w:b/>
                <w:bCs/>
                <w:sz w:val="24"/>
              </w:rPr>
            </w:pPr>
            <w:r>
              <w:rPr>
                <w:b/>
                <w:bCs/>
                <w:sz w:val="24"/>
              </w:rPr>
              <w:t>调整后的</w:t>
            </w:r>
            <w:r>
              <w:rPr>
                <w:rFonts w:hint="eastAsia"/>
                <w:b/>
                <w:bCs/>
                <w:sz w:val="24"/>
              </w:rPr>
              <w:t>新</w:t>
            </w:r>
            <w:r>
              <w:rPr>
                <w:b/>
                <w:bCs/>
                <w:sz w:val="24"/>
              </w:rPr>
              <w:t>业绩比较基准</w:t>
            </w:r>
          </w:p>
        </w:tc>
      </w:tr>
      <w:tr w:rsidR="00FC1DAA">
        <w:trPr>
          <w:trHeight w:val="370"/>
          <w:jc w:val="center"/>
        </w:trPr>
        <w:tc>
          <w:tcPr>
            <w:tcW w:w="605" w:type="dxa"/>
            <w:vAlign w:val="center"/>
          </w:tcPr>
          <w:p w:rsidR="00FC1DAA" w:rsidRDefault="00581B89">
            <w:pPr>
              <w:pStyle w:val="af"/>
              <w:adjustRightInd w:val="0"/>
              <w:snapToGrid w:val="0"/>
              <w:ind w:firstLineChars="0" w:firstLine="0"/>
              <w:jc w:val="center"/>
              <w:rPr>
                <w:szCs w:val="21"/>
              </w:rPr>
            </w:pPr>
            <w:r>
              <w:rPr>
                <w:szCs w:val="21"/>
              </w:rPr>
              <w:t>1</w:t>
            </w:r>
          </w:p>
        </w:tc>
        <w:tc>
          <w:tcPr>
            <w:tcW w:w="1836" w:type="dxa"/>
            <w:vAlign w:val="center"/>
          </w:tcPr>
          <w:p w:rsidR="00FC1DAA" w:rsidRDefault="00581B89">
            <w:pPr>
              <w:widowControl/>
              <w:jc w:val="center"/>
              <w:textAlignment w:val="center"/>
              <w:rPr>
                <w:szCs w:val="21"/>
              </w:rPr>
            </w:pPr>
            <w:r>
              <w:rPr>
                <w:szCs w:val="21"/>
              </w:rPr>
              <w:t>富国港股通量化精选股票型证券投资基金</w:t>
            </w:r>
          </w:p>
        </w:tc>
        <w:tc>
          <w:tcPr>
            <w:tcW w:w="2357" w:type="dxa"/>
            <w:vAlign w:val="center"/>
          </w:tcPr>
          <w:p w:rsidR="00FC1DAA" w:rsidRDefault="00581B89">
            <w:pPr>
              <w:widowControl/>
              <w:jc w:val="left"/>
              <w:textAlignment w:val="center"/>
              <w:rPr>
                <w:szCs w:val="21"/>
              </w:rPr>
            </w:pPr>
            <w:r>
              <w:rPr>
                <w:szCs w:val="21"/>
              </w:rPr>
              <w:t>恒生综合指数收益率</w:t>
            </w:r>
            <w:r>
              <w:rPr>
                <w:szCs w:val="21"/>
              </w:rPr>
              <w:t>*95%+</w:t>
            </w:r>
            <w:r>
              <w:rPr>
                <w:szCs w:val="21"/>
              </w:rPr>
              <w:t>同期银行活期存款利率</w:t>
            </w:r>
            <w:r>
              <w:rPr>
                <w:rFonts w:hint="eastAsia"/>
                <w:szCs w:val="21"/>
              </w:rPr>
              <w:t>（</w:t>
            </w:r>
            <w:r>
              <w:rPr>
                <w:szCs w:val="21"/>
              </w:rPr>
              <w:t>税后</w:t>
            </w:r>
            <w:r>
              <w:rPr>
                <w:rFonts w:hint="eastAsia"/>
                <w:szCs w:val="21"/>
              </w:rPr>
              <w:t>）</w:t>
            </w:r>
            <w:r>
              <w:rPr>
                <w:szCs w:val="21"/>
              </w:rPr>
              <w:t>*5%</w:t>
            </w:r>
          </w:p>
        </w:tc>
        <w:tc>
          <w:tcPr>
            <w:tcW w:w="3322" w:type="dxa"/>
            <w:vAlign w:val="center"/>
          </w:tcPr>
          <w:p w:rsidR="00FC1DAA" w:rsidRDefault="00581B89">
            <w:pPr>
              <w:widowControl/>
              <w:jc w:val="left"/>
              <w:textAlignment w:val="center"/>
              <w:rPr>
                <w:szCs w:val="21"/>
              </w:rPr>
            </w:pPr>
            <w:r>
              <w:rPr>
                <w:szCs w:val="21"/>
              </w:rPr>
              <w:t>恒生港股通指数收益率</w:t>
            </w:r>
            <w:r>
              <w:rPr>
                <w:szCs w:val="21"/>
              </w:rPr>
              <w:t>*90%+</w:t>
            </w:r>
            <w:r>
              <w:rPr>
                <w:szCs w:val="21"/>
              </w:rPr>
              <w:t>中债</w:t>
            </w:r>
            <w:r>
              <w:rPr>
                <w:szCs w:val="21"/>
              </w:rPr>
              <w:t>-</w:t>
            </w:r>
            <w:r>
              <w:rPr>
                <w:szCs w:val="21"/>
              </w:rPr>
              <w:t>国债总全价</w:t>
            </w:r>
            <w:r>
              <w:rPr>
                <w:rFonts w:hint="eastAsia"/>
                <w:szCs w:val="21"/>
              </w:rPr>
              <w:t>（</w:t>
            </w:r>
            <w:r>
              <w:rPr>
                <w:szCs w:val="21"/>
              </w:rPr>
              <w:t>1-3</w:t>
            </w:r>
            <w:r>
              <w:rPr>
                <w:szCs w:val="21"/>
              </w:rPr>
              <w:t>年</w:t>
            </w:r>
            <w:r>
              <w:rPr>
                <w:rFonts w:hint="eastAsia"/>
                <w:szCs w:val="21"/>
              </w:rPr>
              <w:t>）</w:t>
            </w:r>
            <w:r>
              <w:rPr>
                <w:szCs w:val="21"/>
              </w:rPr>
              <w:t>指数收益率</w:t>
            </w:r>
            <w:r>
              <w:rPr>
                <w:szCs w:val="21"/>
              </w:rPr>
              <w:t>*5%+</w:t>
            </w:r>
            <w:r>
              <w:rPr>
                <w:szCs w:val="21"/>
              </w:rPr>
              <w:t>活期存款基准利率</w:t>
            </w:r>
            <w:r>
              <w:rPr>
                <w:szCs w:val="21"/>
              </w:rPr>
              <w:t>*5%</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szCs w:val="21"/>
              </w:rPr>
              <w:t>2</w:t>
            </w:r>
          </w:p>
        </w:tc>
        <w:tc>
          <w:tcPr>
            <w:tcW w:w="1836" w:type="dxa"/>
            <w:vAlign w:val="center"/>
          </w:tcPr>
          <w:p w:rsidR="00FC1DAA" w:rsidRDefault="00581B89">
            <w:pPr>
              <w:widowControl/>
              <w:jc w:val="center"/>
              <w:textAlignment w:val="center"/>
              <w:rPr>
                <w:szCs w:val="21"/>
              </w:rPr>
            </w:pPr>
            <w:r>
              <w:rPr>
                <w:szCs w:val="21"/>
              </w:rPr>
              <w:t>富国全球科技互联网股票型证券投资基金</w:t>
            </w:r>
            <w:r>
              <w:rPr>
                <w:rFonts w:hint="eastAsia"/>
                <w:szCs w:val="21"/>
              </w:rPr>
              <w:t>（</w:t>
            </w:r>
            <w:r>
              <w:rPr>
                <w:szCs w:val="21"/>
              </w:rPr>
              <w:t>QDII</w:t>
            </w:r>
            <w:r>
              <w:rPr>
                <w:rFonts w:hint="eastAsia"/>
                <w:szCs w:val="21"/>
              </w:rPr>
              <w:t>）</w:t>
            </w:r>
          </w:p>
        </w:tc>
        <w:tc>
          <w:tcPr>
            <w:tcW w:w="2357" w:type="dxa"/>
            <w:vAlign w:val="center"/>
          </w:tcPr>
          <w:p w:rsidR="00FC1DAA" w:rsidRDefault="00581B89">
            <w:pPr>
              <w:widowControl/>
              <w:jc w:val="left"/>
              <w:textAlignment w:val="center"/>
              <w:rPr>
                <w:szCs w:val="21"/>
              </w:rPr>
            </w:pPr>
            <w:r>
              <w:rPr>
                <w:szCs w:val="21"/>
              </w:rPr>
              <w:t>中证海外中国互联网指数收益率</w:t>
            </w:r>
            <w:r>
              <w:rPr>
                <w:rFonts w:hint="eastAsia"/>
                <w:szCs w:val="21"/>
              </w:rPr>
              <w:t>×</w:t>
            </w:r>
            <w:r>
              <w:rPr>
                <w:szCs w:val="21"/>
              </w:rPr>
              <w:t>80%+</w:t>
            </w:r>
            <w:r>
              <w:rPr>
                <w:szCs w:val="21"/>
              </w:rPr>
              <w:t>中证互联网指数收益率</w:t>
            </w:r>
            <w:r>
              <w:rPr>
                <w:rFonts w:hint="eastAsia"/>
                <w:szCs w:val="21"/>
              </w:rPr>
              <w:t>×</w:t>
            </w:r>
            <w:r>
              <w:rPr>
                <w:szCs w:val="21"/>
              </w:rPr>
              <w:t>10%+</w:t>
            </w:r>
            <w:r>
              <w:rPr>
                <w:szCs w:val="21"/>
              </w:rPr>
              <w:t>中债综合全价指数收益率</w:t>
            </w:r>
            <w:r>
              <w:rPr>
                <w:rFonts w:hint="eastAsia"/>
                <w:szCs w:val="21"/>
              </w:rPr>
              <w:t>×</w:t>
            </w:r>
            <w:r>
              <w:rPr>
                <w:szCs w:val="21"/>
              </w:rPr>
              <w:t>10%</w:t>
            </w:r>
          </w:p>
        </w:tc>
        <w:tc>
          <w:tcPr>
            <w:tcW w:w="3322" w:type="dxa"/>
            <w:vAlign w:val="center"/>
          </w:tcPr>
          <w:p w:rsidR="00FC1DAA" w:rsidRDefault="00581B89">
            <w:pPr>
              <w:widowControl/>
              <w:jc w:val="left"/>
              <w:textAlignment w:val="center"/>
              <w:rPr>
                <w:szCs w:val="21"/>
              </w:rPr>
            </w:pPr>
            <w:r>
              <w:rPr>
                <w:szCs w:val="21"/>
              </w:rPr>
              <w:t>中证海外中国互联网指数（美元）收益率</w:t>
            </w:r>
            <w:r>
              <w:rPr>
                <w:szCs w:val="21"/>
              </w:rPr>
              <w:t>*55%+</w:t>
            </w:r>
            <w:r>
              <w:rPr>
                <w:szCs w:val="21"/>
              </w:rPr>
              <w:t>纳斯达克</w:t>
            </w:r>
            <w:r>
              <w:rPr>
                <w:szCs w:val="21"/>
              </w:rPr>
              <w:t>100</w:t>
            </w:r>
            <w:r>
              <w:rPr>
                <w:szCs w:val="21"/>
              </w:rPr>
              <w:t>指数</w:t>
            </w:r>
            <w:r>
              <w:rPr>
                <w:rFonts w:hint="eastAsia"/>
                <w:szCs w:val="21"/>
              </w:rPr>
              <w:t>（</w:t>
            </w:r>
            <w:r>
              <w:rPr>
                <w:szCs w:val="21"/>
              </w:rPr>
              <w:t>NASDAQ</w:t>
            </w:r>
            <w:r>
              <w:rPr>
                <w:rFonts w:hint="eastAsia"/>
                <w:szCs w:val="21"/>
              </w:rPr>
              <w:t xml:space="preserve"> </w:t>
            </w:r>
            <w:r>
              <w:rPr>
                <w:szCs w:val="21"/>
              </w:rPr>
              <w:t>100 Index</w:t>
            </w:r>
            <w:r>
              <w:rPr>
                <w:rFonts w:hint="eastAsia"/>
                <w:szCs w:val="21"/>
              </w:rPr>
              <w:t>）</w:t>
            </w:r>
            <w:r>
              <w:rPr>
                <w:rFonts w:hint="eastAsia"/>
                <w:szCs w:val="21"/>
              </w:rPr>
              <w:t>收益率</w:t>
            </w:r>
            <w:r>
              <w:rPr>
                <w:szCs w:val="21"/>
              </w:rPr>
              <w:t>*30%+</w:t>
            </w:r>
            <w:r>
              <w:rPr>
                <w:szCs w:val="21"/>
              </w:rPr>
              <w:t>中证</w:t>
            </w:r>
            <w:r>
              <w:rPr>
                <w:rFonts w:hint="eastAsia"/>
                <w:szCs w:val="21"/>
              </w:rPr>
              <w:t>互联网</w:t>
            </w:r>
            <w:r>
              <w:rPr>
                <w:szCs w:val="21"/>
              </w:rPr>
              <w:t>指数收益率</w:t>
            </w:r>
            <w:r>
              <w:rPr>
                <w:szCs w:val="21"/>
              </w:rPr>
              <w:t>*5%+</w:t>
            </w:r>
            <w:r>
              <w:rPr>
                <w:szCs w:val="21"/>
              </w:rPr>
              <w:t>中债</w:t>
            </w:r>
            <w:r>
              <w:rPr>
                <w:szCs w:val="21"/>
              </w:rPr>
              <w:t>-</w:t>
            </w:r>
            <w:r>
              <w:rPr>
                <w:szCs w:val="21"/>
              </w:rPr>
              <w:t>国债总全价</w:t>
            </w:r>
            <w:r>
              <w:rPr>
                <w:rFonts w:hint="eastAsia"/>
                <w:szCs w:val="21"/>
              </w:rPr>
              <w:t>（</w:t>
            </w:r>
            <w:r>
              <w:rPr>
                <w:szCs w:val="21"/>
              </w:rPr>
              <w:t>1-3</w:t>
            </w:r>
            <w:r>
              <w:rPr>
                <w:szCs w:val="21"/>
              </w:rPr>
              <w:t>年</w:t>
            </w:r>
            <w:r>
              <w:rPr>
                <w:rFonts w:hint="eastAsia"/>
                <w:szCs w:val="21"/>
              </w:rPr>
              <w:t>）</w:t>
            </w:r>
            <w:r>
              <w:rPr>
                <w:szCs w:val="21"/>
              </w:rPr>
              <w:t>指数收益率</w:t>
            </w:r>
            <w:r>
              <w:rPr>
                <w:szCs w:val="21"/>
              </w:rPr>
              <w:t>*10%</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szCs w:val="21"/>
              </w:rPr>
              <w:t>3</w:t>
            </w:r>
          </w:p>
        </w:tc>
        <w:tc>
          <w:tcPr>
            <w:tcW w:w="1836" w:type="dxa"/>
            <w:vAlign w:val="center"/>
          </w:tcPr>
          <w:p w:rsidR="00FC1DAA" w:rsidRDefault="00581B89">
            <w:pPr>
              <w:widowControl/>
              <w:jc w:val="center"/>
              <w:textAlignment w:val="center"/>
              <w:rPr>
                <w:szCs w:val="21"/>
              </w:rPr>
            </w:pPr>
            <w:r>
              <w:rPr>
                <w:szCs w:val="21"/>
              </w:rPr>
              <w:t>富国消费精选</w:t>
            </w:r>
            <w:r>
              <w:rPr>
                <w:szCs w:val="21"/>
              </w:rPr>
              <w:t>30</w:t>
            </w:r>
            <w:r>
              <w:rPr>
                <w:szCs w:val="21"/>
              </w:rPr>
              <w:t>股票型证券投资基金</w:t>
            </w:r>
          </w:p>
        </w:tc>
        <w:tc>
          <w:tcPr>
            <w:tcW w:w="2357" w:type="dxa"/>
            <w:vAlign w:val="center"/>
          </w:tcPr>
          <w:p w:rsidR="00FC1DAA" w:rsidRDefault="00581B89">
            <w:pPr>
              <w:widowControl/>
              <w:jc w:val="left"/>
              <w:textAlignment w:val="center"/>
              <w:rPr>
                <w:szCs w:val="21"/>
              </w:rPr>
            </w:pPr>
            <w:r>
              <w:rPr>
                <w:szCs w:val="21"/>
              </w:rPr>
              <w:t>中证消费服务领先指数收益率</w:t>
            </w:r>
            <w:r>
              <w:rPr>
                <w:szCs w:val="21"/>
              </w:rPr>
              <w:t>*65%+</w:t>
            </w:r>
            <w:r>
              <w:rPr>
                <w:szCs w:val="21"/>
              </w:rPr>
              <w:t>中证港股通大消费主题指数收益率</w:t>
            </w:r>
            <w:r>
              <w:rPr>
                <w:szCs w:val="21"/>
              </w:rPr>
              <w:t>*20%+</w:t>
            </w:r>
            <w:r>
              <w:rPr>
                <w:szCs w:val="21"/>
              </w:rPr>
              <w:t>中债综合全价指数收益率</w:t>
            </w:r>
            <w:r>
              <w:rPr>
                <w:szCs w:val="21"/>
              </w:rPr>
              <w:t>*15%</w:t>
            </w:r>
          </w:p>
        </w:tc>
        <w:tc>
          <w:tcPr>
            <w:tcW w:w="3322" w:type="dxa"/>
            <w:vAlign w:val="center"/>
          </w:tcPr>
          <w:p w:rsidR="00FC1DAA" w:rsidRDefault="00581B89">
            <w:pPr>
              <w:widowControl/>
              <w:jc w:val="left"/>
              <w:textAlignment w:val="center"/>
              <w:rPr>
                <w:szCs w:val="21"/>
              </w:rPr>
            </w:pPr>
            <w:r>
              <w:rPr>
                <w:szCs w:val="21"/>
              </w:rPr>
              <w:t>中证内地消费</w:t>
            </w:r>
            <w:r>
              <w:rPr>
                <w:rFonts w:hint="eastAsia"/>
                <w:szCs w:val="21"/>
              </w:rPr>
              <w:t>主题</w:t>
            </w:r>
            <w:r>
              <w:rPr>
                <w:szCs w:val="21"/>
              </w:rPr>
              <w:t>指数收益率</w:t>
            </w:r>
            <w:r>
              <w:rPr>
                <w:szCs w:val="21"/>
              </w:rPr>
              <w:t>*75%+</w:t>
            </w:r>
            <w:r>
              <w:rPr>
                <w:szCs w:val="21"/>
              </w:rPr>
              <w:t>中证港股通大消费主题指数</w:t>
            </w:r>
            <w:r>
              <w:rPr>
                <w:rFonts w:hint="eastAsia"/>
                <w:szCs w:val="21"/>
              </w:rPr>
              <w:t>（</w:t>
            </w:r>
            <w:r>
              <w:rPr>
                <w:szCs w:val="21"/>
              </w:rPr>
              <w:t>港元</w:t>
            </w:r>
            <w:r>
              <w:rPr>
                <w:rFonts w:hint="eastAsia"/>
                <w:szCs w:val="21"/>
              </w:rPr>
              <w:t>）</w:t>
            </w:r>
            <w:r>
              <w:rPr>
                <w:szCs w:val="21"/>
              </w:rPr>
              <w:t>收益率</w:t>
            </w:r>
            <w:r>
              <w:rPr>
                <w:szCs w:val="21"/>
              </w:rPr>
              <w:t>*15%+</w:t>
            </w:r>
            <w:r>
              <w:rPr>
                <w:szCs w:val="21"/>
              </w:rPr>
              <w:t>中债</w:t>
            </w:r>
            <w:r>
              <w:rPr>
                <w:szCs w:val="21"/>
              </w:rPr>
              <w:t>-</w:t>
            </w:r>
            <w:r>
              <w:rPr>
                <w:szCs w:val="21"/>
              </w:rPr>
              <w:t>国债总全价</w:t>
            </w:r>
            <w:r>
              <w:rPr>
                <w:rFonts w:hint="eastAsia"/>
                <w:szCs w:val="21"/>
              </w:rPr>
              <w:t>（</w:t>
            </w:r>
            <w:r>
              <w:rPr>
                <w:szCs w:val="21"/>
              </w:rPr>
              <w:t>1-3</w:t>
            </w:r>
            <w:r>
              <w:rPr>
                <w:szCs w:val="21"/>
              </w:rPr>
              <w:t>年</w:t>
            </w:r>
            <w:r>
              <w:rPr>
                <w:rFonts w:hint="eastAsia"/>
                <w:szCs w:val="21"/>
              </w:rPr>
              <w:t>）</w:t>
            </w:r>
            <w:r>
              <w:rPr>
                <w:szCs w:val="21"/>
              </w:rPr>
              <w:t>指数收益率</w:t>
            </w:r>
            <w:r>
              <w:rPr>
                <w:szCs w:val="21"/>
              </w:rPr>
              <w:t>*10%</w:t>
            </w:r>
          </w:p>
        </w:tc>
      </w:tr>
      <w:tr w:rsidR="00FC1DAA">
        <w:trPr>
          <w:trHeight w:val="370"/>
          <w:jc w:val="center"/>
        </w:trPr>
        <w:tc>
          <w:tcPr>
            <w:tcW w:w="605" w:type="dxa"/>
            <w:vAlign w:val="center"/>
          </w:tcPr>
          <w:p w:rsidR="00FC1DAA" w:rsidRDefault="00581B89">
            <w:pPr>
              <w:pStyle w:val="af"/>
              <w:adjustRightInd w:val="0"/>
              <w:snapToGrid w:val="0"/>
              <w:ind w:firstLineChars="0" w:firstLine="0"/>
              <w:jc w:val="center"/>
              <w:rPr>
                <w:szCs w:val="21"/>
              </w:rPr>
            </w:pPr>
            <w:r>
              <w:rPr>
                <w:szCs w:val="21"/>
              </w:rPr>
              <w:t>4</w:t>
            </w:r>
          </w:p>
        </w:tc>
        <w:tc>
          <w:tcPr>
            <w:tcW w:w="1836" w:type="dxa"/>
            <w:vAlign w:val="center"/>
          </w:tcPr>
          <w:p w:rsidR="00FC1DAA" w:rsidRDefault="00581B89">
            <w:pPr>
              <w:widowControl/>
              <w:jc w:val="center"/>
              <w:textAlignment w:val="center"/>
              <w:rPr>
                <w:szCs w:val="21"/>
              </w:rPr>
            </w:pPr>
            <w:r>
              <w:rPr>
                <w:szCs w:val="21"/>
              </w:rPr>
              <w:t>富国精准医疗灵活配置混合型证券投资基金</w:t>
            </w:r>
          </w:p>
        </w:tc>
        <w:tc>
          <w:tcPr>
            <w:tcW w:w="2357" w:type="dxa"/>
            <w:vAlign w:val="center"/>
          </w:tcPr>
          <w:p w:rsidR="00FC1DAA" w:rsidRDefault="00581B89">
            <w:pPr>
              <w:widowControl/>
              <w:jc w:val="left"/>
              <w:textAlignment w:val="center"/>
              <w:rPr>
                <w:szCs w:val="21"/>
              </w:rPr>
            </w:pPr>
            <w:r>
              <w:rPr>
                <w:szCs w:val="21"/>
              </w:rPr>
              <w:t>中证精准医疗主题指数收益率</w:t>
            </w:r>
            <w:r>
              <w:rPr>
                <w:rFonts w:hint="eastAsia"/>
                <w:szCs w:val="21"/>
              </w:rPr>
              <w:t>×</w:t>
            </w:r>
            <w:r>
              <w:rPr>
                <w:szCs w:val="21"/>
              </w:rPr>
              <w:t>50%+</w:t>
            </w:r>
            <w:r>
              <w:rPr>
                <w:szCs w:val="21"/>
              </w:rPr>
              <w:t>中债综合全价指数收益率</w:t>
            </w:r>
            <w:r>
              <w:rPr>
                <w:rFonts w:hint="eastAsia"/>
                <w:szCs w:val="21"/>
              </w:rPr>
              <w:t>×</w:t>
            </w:r>
            <w:r>
              <w:rPr>
                <w:szCs w:val="21"/>
              </w:rPr>
              <w:t>50%</w:t>
            </w:r>
          </w:p>
        </w:tc>
        <w:tc>
          <w:tcPr>
            <w:tcW w:w="3322" w:type="dxa"/>
            <w:vAlign w:val="center"/>
          </w:tcPr>
          <w:p w:rsidR="00FC1DAA" w:rsidRDefault="00581B89">
            <w:pPr>
              <w:widowControl/>
              <w:jc w:val="left"/>
              <w:textAlignment w:val="center"/>
              <w:rPr>
                <w:szCs w:val="21"/>
              </w:rPr>
            </w:pPr>
            <w:r>
              <w:rPr>
                <w:szCs w:val="21"/>
              </w:rPr>
              <w:t>中证医药卫生指数收益率</w:t>
            </w:r>
            <w:r>
              <w:rPr>
                <w:szCs w:val="21"/>
              </w:rPr>
              <w:t>*90%+</w:t>
            </w:r>
            <w:r>
              <w:rPr>
                <w:szCs w:val="21"/>
              </w:rPr>
              <w:t>中债</w:t>
            </w:r>
            <w:r>
              <w:rPr>
                <w:szCs w:val="21"/>
              </w:rPr>
              <w:t>-</w:t>
            </w:r>
            <w:r>
              <w:rPr>
                <w:szCs w:val="21"/>
              </w:rPr>
              <w:t>国债总全价</w:t>
            </w:r>
            <w:r>
              <w:rPr>
                <w:rFonts w:hint="eastAsia"/>
                <w:szCs w:val="21"/>
              </w:rPr>
              <w:t>（</w:t>
            </w:r>
            <w:r>
              <w:rPr>
                <w:szCs w:val="21"/>
              </w:rPr>
              <w:t>1-3</w:t>
            </w:r>
            <w:r>
              <w:rPr>
                <w:szCs w:val="21"/>
              </w:rPr>
              <w:t>年</w:t>
            </w:r>
            <w:r>
              <w:rPr>
                <w:rFonts w:hint="eastAsia"/>
                <w:szCs w:val="21"/>
              </w:rPr>
              <w:t>）</w:t>
            </w:r>
            <w:r>
              <w:rPr>
                <w:szCs w:val="21"/>
              </w:rPr>
              <w:t>指数收益率</w:t>
            </w:r>
            <w:r>
              <w:rPr>
                <w:szCs w:val="21"/>
              </w:rPr>
              <w:t>*10%</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szCs w:val="21"/>
              </w:rPr>
              <w:t>5</w:t>
            </w:r>
          </w:p>
        </w:tc>
        <w:tc>
          <w:tcPr>
            <w:tcW w:w="1836" w:type="dxa"/>
            <w:vAlign w:val="center"/>
          </w:tcPr>
          <w:p w:rsidR="00FC1DAA" w:rsidRDefault="00581B89">
            <w:pPr>
              <w:widowControl/>
              <w:jc w:val="center"/>
              <w:textAlignment w:val="center"/>
              <w:rPr>
                <w:szCs w:val="21"/>
              </w:rPr>
            </w:pPr>
            <w:r>
              <w:rPr>
                <w:szCs w:val="21"/>
              </w:rPr>
              <w:t>富国生物医药科技混合型证券投资基金</w:t>
            </w:r>
          </w:p>
        </w:tc>
        <w:tc>
          <w:tcPr>
            <w:tcW w:w="2357" w:type="dxa"/>
            <w:vAlign w:val="center"/>
          </w:tcPr>
          <w:p w:rsidR="00FC1DAA" w:rsidRDefault="00581B89">
            <w:pPr>
              <w:widowControl/>
              <w:jc w:val="left"/>
              <w:textAlignment w:val="center"/>
              <w:rPr>
                <w:szCs w:val="21"/>
              </w:rPr>
            </w:pPr>
            <w:r>
              <w:rPr>
                <w:szCs w:val="21"/>
              </w:rPr>
              <w:t>中证医药卫生指数收益率</w:t>
            </w:r>
            <w:r>
              <w:rPr>
                <w:szCs w:val="21"/>
              </w:rPr>
              <w:t>*40%+</w:t>
            </w:r>
            <w:r>
              <w:rPr>
                <w:szCs w:val="21"/>
              </w:rPr>
              <w:t>恒生医疗保健指数收益率</w:t>
            </w:r>
            <w:r>
              <w:rPr>
                <w:rFonts w:hint="eastAsia"/>
                <w:szCs w:val="21"/>
              </w:rPr>
              <w:t>（</w:t>
            </w:r>
            <w:r>
              <w:rPr>
                <w:szCs w:val="21"/>
              </w:rPr>
              <w:t>经汇率调整后</w:t>
            </w:r>
            <w:r>
              <w:rPr>
                <w:rFonts w:hint="eastAsia"/>
                <w:szCs w:val="21"/>
              </w:rPr>
              <w:t>）</w:t>
            </w:r>
            <w:r>
              <w:rPr>
                <w:szCs w:val="21"/>
              </w:rPr>
              <w:t>*40%+</w:t>
            </w:r>
            <w:r>
              <w:rPr>
                <w:szCs w:val="21"/>
              </w:rPr>
              <w:t>中证全债指数收益率</w:t>
            </w:r>
            <w:r>
              <w:rPr>
                <w:szCs w:val="21"/>
              </w:rPr>
              <w:t>*20%</w:t>
            </w:r>
          </w:p>
        </w:tc>
        <w:tc>
          <w:tcPr>
            <w:tcW w:w="3322" w:type="dxa"/>
            <w:vAlign w:val="center"/>
          </w:tcPr>
          <w:p w:rsidR="00FC1DAA" w:rsidRDefault="00581B89">
            <w:pPr>
              <w:widowControl/>
              <w:jc w:val="left"/>
              <w:textAlignment w:val="center"/>
              <w:rPr>
                <w:szCs w:val="21"/>
              </w:rPr>
            </w:pPr>
            <w:r>
              <w:rPr>
                <w:szCs w:val="21"/>
              </w:rPr>
              <w:t>中证医药卫生指数收益率</w:t>
            </w:r>
            <w:r>
              <w:rPr>
                <w:szCs w:val="21"/>
              </w:rPr>
              <w:t>*70%+</w:t>
            </w:r>
            <w:r>
              <w:rPr>
                <w:szCs w:val="21"/>
              </w:rPr>
              <w:t>恒生医疗保健指数收益率</w:t>
            </w:r>
            <w:r>
              <w:rPr>
                <w:szCs w:val="21"/>
              </w:rPr>
              <w:t>*20%+</w:t>
            </w:r>
            <w:r>
              <w:rPr>
                <w:szCs w:val="21"/>
              </w:rPr>
              <w:t>中债</w:t>
            </w:r>
            <w:r>
              <w:rPr>
                <w:szCs w:val="21"/>
              </w:rPr>
              <w:t>-</w:t>
            </w:r>
            <w:r>
              <w:rPr>
                <w:szCs w:val="21"/>
              </w:rPr>
              <w:t>国债总财富</w:t>
            </w:r>
            <w:r>
              <w:rPr>
                <w:rFonts w:hint="eastAsia"/>
                <w:szCs w:val="21"/>
              </w:rPr>
              <w:t>（</w:t>
            </w:r>
            <w:r>
              <w:rPr>
                <w:szCs w:val="21"/>
              </w:rPr>
              <w:t>1-3</w:t>
            </w:r>
            <w:r>
              <w:rPr>
                <w:szCs w:val="21"/>
              </w:rPr>
              <w:t>年</w:t>
            </w:r>
            <w:r>
              <w:rPr>
                <w:rFonts w:hint="eastAsia"/>
                <w:szCs w:val="21"/>
              </w:rPr>
              <w:t>）</w:t>
            </w:r>
            <w:r>
              <w:rPr>
                <w:szCs w:val="21"/>
              </w:rPr>
              <w:t>指数收益率</w:t>
            </w:r>
            <w:r>
              <w:rPr>
                <w:szCs w:val="21"/>
              </w:rPr>
              <w:t>*10%</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6</w:t>
            </w:r>
          </w:p>
        </w:tc>
        <w:tc>
          <w:tcPr>
            <w:tcW w:w="1836" w:type="dxa"/>
            <w:vAlign w:val="center"/>
          </w:tcPr>
          <w:p w:rsidR="00FC1DAA" w:rsidRDefault="00581B89">
            <w:pPr>
              <w:widowControl/>
              <w:jc w:val="center"/>
              <w:textAlignment w:val="center"/>
              <w:rPr>
                <w:szCs w:val="21"/>
              </w:rPr>
            </w:pPr>
            <w:r>
              <w:rPr>
                <w:szCs w:val="21"/>
              </w:rPr>
              <w:t>富国沪港深价值精选灵活配置混合型证券投资基</w:t>
            </w:r>
            <w:r>
              <w:rPr>
                <w:szCs w:val="21"/>
              </w:rPr>
              <w:lastRenderedPageBreak/>
              <w:t>金</w:t>
            </w:r>
          </w:p>
        </w:tc>
        <w:tc>
          <w:tcPr>
            <w:tcW w:w="2357" w:type="dxa"/>
            <w:vAlign w:val="center"/>
          </w:tcPr>
          <w:p w:rsidR="00FC1DAA" w:rsidRDefault="00581B89">
            <w:pPr>
              <w:widowControl/>
              <w:jc w:val="left"/>
              <w:textAlignment w:val="center"/>
              <w:rPr>
                <w:szCs w:val="21"/>
              </w:rPr>
            </w:pPr>
            <w:r>
              <w:rPr>
                <w:szCs w:val="21"/>
              </w:rPr>
              <w:lastRenderedPageBreak/>
              <w:t>沪深</w:t>
            </w:r>
            <w:r>
              <w:rPr>
                <w:szCs w:val="21"/>
              </w:rPr>
              <w:t>300</w:t>
            </w:r>
            <w:r>
              <w:rPr>
                <w:szCs w:val="21"/>
              </w:rPr>
              <w:t>指数收益率</w:t>
            </w:r>
            <w:r>
              <w:rPr>
                <w:rFonts w:hint="eastAsia"/>
                <w:szCs w:val="21"/>
              </w:rPr>
              <w:t>×</w:t>
            </w:r>
            <w:r>
              <w:rPr>
                <w:szCs w:val="21"/>
              </w:rPr>
              <w:t>45%+</w:t>
            </w:r>
            <w:r>
              <w:rPr>
                <w:szCs w:val="21"/>
              </w:rPr>
              <w:t>恒生指数收益率</w:t>
            </w:r>
            <w:r>
              <w:rPr>
                <w:rFonts w:hint="eastAsia"/>
                <w:szCs w:val="21"/>
              </w:rPr>
              <w:t>×</w:t>
            </w:r>
            <w:r>
              <w:rPr>
                <w:szCs w:val="21"/>
              </w:rPr>
              <w:t>45%+</w:t>
            </w:r>
            <w:r>
              <w:rPr>
                <w:szCs w:val="21"/>
              </w:rPr>
              <w:t>中债综合财富</w:t>
            </w:r>
            <w:r>
              <w:rPr>
                <w:szCs w:val="21"/>
              </w:rPr>
              <w:lastRenderedPageBreak/>
              <w:t>指数收益率</w:t>
            </w:r>
            <w:r>
              <w:rPr>
                <w:rFonts w:hint="eastAsia"/>
                <w:szCs w:val="21"/>
              </w:rPr>
              <w:t>×</w:t>
            </w:r>
            <w:r>
              <w:rPr>
                <w:szCs w:val="21"/>
              </w:rPr>
              <w:t>10%</w:t>
            </w:r>
          </w:p>
        </w:tc>
        <w:tc>
          <w:tcPr>
            <w:tcW w:w="3322" w:type="dxa"/>
            <w:vAlign w:val="center"/>
          </w:tcPr>
          <w:p w:rsidR="00FC1DAA" w:rsidRDefault="00581B89">
            <w:pPr>
              <w:widowControl/>
              <w:jc w:val="left"/>
              <w:textAlignment w:val="center"/>
              <w:rPr>
                <w:szCs w:val="21"/>
              </w:rPr>
            </w:pPr>
            <w:r>
              <w:rPr>
                <w:szCs w:val="21"/>
              </w:rPr>
              <w:lastRenderedPageBreak/>
              <w:t>沪深</w:t>
            </w:r>
            <w:r>
              <w:rPr>
                <w:szCs w:val="21"/>
              </w:rPr>
              <w:t>300</w:t>
            </w:r>
            <w:r>
              <w:rPr>
                <w:szCs w:val="21"/>
              </w:rPr>
              <w:t>指数收益率</w:t>
            </w:r>
            <w:r>
              <w:rPr>
                <w:szCs w:val="21"/>
              </w:rPr>
              <w:t>*20%+</w:t>
            </w:r>
            <w:r>
              <w:rPr>
                <w:szCs w:val="21"/>
              </w:rPr>
              <w:t>恒生指数收益率</w:t>
            </w:r>
            <w:r>
              <w:rPr>
                <w:szCs w:val="21"/>
              </w:rPr>
              <w:t>*70%+</w:t>
            </w:r>
            <w:r>
              <w:rPr>
                <w:szCs w:val="21"/>
              </w:rPr>
              <w:t>中债</w:t>
            </w:r>
            <w:r>
              <w:rPr>
                <w:szCs w:val="21"/>
              </w:rPr>
              <w:t>-</w:t>
            </w:r>
            <w:r>
              <w:rPr>
                <w:szCs w:val="21"/>
              </w:rPr>
              <w:t>国债总财富</w:t>
            </w:r>
            <w:r>
              <w:rPr>
                <w:rFonts w:hint="eastAsia"/>
                <w:szCs w:val="21"/>
              </w:rPr>
              <w:t>（</w:t>
            </w:r>
            <w:r>
              <w:rPr>
                <w:szCs w:val="21"/>
              </w:rPr>
              <w:t>1-3</w:t>
            </w:r>
            <w:r>
              <w:rPr>
                <w:szCs w:val="21"/>
              </w:rPr>
              <w:t>年</w:t>
            </w:r>
            <w:r>
              <w:rPr>
                <w:rFonts w:hint="eastAsia"/>
                <w:szCs w:val="21"/>
              </w:rPr>
              <w:t>）</w:t>
            </w:r>
            <w:r>
              <w:rPr>
                <w:szCs w:val="21"/>
              </w:rPr>
              <w:t>指数收益率</w:t>
            </w:r>
            <w:r>
              <w:rPr>
                <w:szCs w:val="21"/>
              </w:rPr>
              <w:t>*10%</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lastRenderedPageBreak/>
              <w:t>7</w:t>
            </w:r>
          </w:p>
        </w:tc>
        <w:tc>
          <w:tcPr>
            <w:tcW w:w="1836" w:type="dxa"/>
            <w:vAlign w:val="center"/>
          </w:tcPr>
          <w:p w:rsidR="00FC1DAA" w:rsidRDefault="00581B89">
            <w:pPr>
              <w:widowControl/>
              <w:jc w:val="center"/>
              <w:textAlignment w:val="center"/>
              <w:rPr>
                <w:szCs w:val="21"/>
              </w:rPr>
            </w:pPr>
            <w:r>
              <w:rPr>
                <w:szCs w:val="21"/>
              </w:rPr>
              <w:t>富国致航量化选股股票型证券投资基金</w:t>
            </w:r>
          </w:p>
        </w:tc>
        <w:tc>
          <w:tcPr>
            <w:tcW w:w="2357" w:type="dxa"/>
            <w:vAlign w:val="center"/>
          </w:tcPr>
          <w:p w:rsidR="00FC1DAA" w:rsidRDefault="00581B89">
            <w:pPr>
              <w:widowControl/>
              <w:jc w:val="left"/>
              <w:textAlignment w:val="center"/>
              <w:rPr>
                <w:szCs w:val="21"/>
              </w:rPr>
            </w:pPr>
            <w:r>
              <w:rPr>
                <w:szCs w:val="21"/>
              </w:rPr>
              <w:t>中证</w:t>
            </w:r>
            <w:r>
              <w:rPr>
                <w:szCs w:val="21"/>
              </w:rPr>
              <w:t>500</w:t>
            </w:r>
            <w:r>
              <w:rPr>
                <w:szCs w:val="21"/>
              </w:rPr>
              <w:t>指数收益率</w:t>
            </w:r>
            <w:r>
              <w:rPr>
                <w:rFonts w:hint="eastAsia"/>
                <w:szCs w:val="21"/>
              </w:rPr>
              <w:t>×</w:t>
            </w:r>
            <w:r>
              <w:rPr>
                <w:szCs w:val="21"/>
              </w:rPr>
              <w:t>95%+</w:t>
            </w:r>
            <w:r>
              <w:rPr>
                <w:szCs w:val="21"/>
              </w:rPr>
              <w:t>银行活期存款利率</w:t>
            </w:r>
            <w:r>
              <w:rPr>
                <w:rFonts w:hint="eastAsia"/>
                <w:szCs w:val="21"/>
              </w:rPr>
              <w:t>（</w:t>
            </w:r>
            <w:r>
              <w:rPr>
                <w:szCs w:val="21"/>
              </w:rPr>
              <w:t>税后</w:t>
            </w:r>
            <w:r>
              <w:rPr>
                <w:rFonts w:hint="eastAsia"/>
                <w:szCs w:val="21"/>
              </w:rPr>
              <w:t>）</w:t>
            </w:r>
            <w:r>
              <w:rPr>
                <w:rFonts w:hint="eastAsia"/>
                <w:szCs w:val="21"/>
              </w:rPr>
              <w:t>×</w:t>
            </w:r>
            <w:r>
              <w:rPr>
                <w:szCs w:val="21"/>
              </w:rPr>
              <w:t>5%</w:t>
            </w:r>
          </w:p>
        </w:tc>
        <w:tc>
          <w:tcPr>
            <w:tcW w:w="3322" w:type="dxa"/>
            <w:vAlign w:val="center"/>
          </w:tcPr>
          <w:p w:rsidR="00FC1DAA" w:rsidRDefault="00581B89">
            <w:pPr>
              <w:widowControl/>
              <w:jc w:val="left"/>
              <w:textAlignment w:val="center"/>
              <w:rPr>
                <w:szCs w:val="21"/>
              </w:rPr>
            </w:pPr>
            <w:r>
              <w:rPr>
                <w:szCs w:val="21"/>
              </w:rPr>
              <w:t>中证全指指数收益率</w:t>
            </w:r>
            <w:r>
              <w:rPr>
                <w:szCs w:val="21"/>
              </w:rPr>
              <w:t>*90%+</w:t>
            </w:r>
            <w:r>
              <w:rPr>
                <w:szCs w:val="21"/>
              </w:rPr>
              <w:t>中债</w:t>
            </w:r>
            <w:r>
              <w:rPr>
                <w:szCs w:val="21"/>
              </w:rPr>
              <w:t>-</w:t>
            </w:r>
            <w:r>
              <w:rPr>
                <w:szCs w:val="21"/>
              </w:rPr>
              <w:t>国债总全价</w:t>
            </w:r>
            <w:r>
              <w:rPr>
                <w:rFonts w:hint="eastAsia"/>
                <w:szCs w:val="21"/>
              </w:rPr>
              <w:t>（</w:t>
            </w:r>
            <w:r>
              <w:rPr>
                <w:szCs w:val="21"/>
              </w:rPr>
              <w:t>1-3</w:t>
            </w:r>
            <w:r>
              <w:rPr>
                <w:szCs w:val="21"/>
              </w:rPr>
              <w:t>年</w:t>
            </w:r>
            <w:r>
              <w:rPr>
                <w:rFonts w:hint="eastAsia"/>
                <w:szCs w:val="21"/>
              </w:rPr>
              <w:t>）</w:t>
            </w:r>
            <w:r>
              <w:rPr>
                <w:szCs w:val="21"/>
              </w:rPr>
              <w:t>指数收益率</w:t>
            </w:r>
            <w:r>
              <w:rPr>
                <w:szCs w:val="21"/>
              </w:rPr>
              <w:t>*5%+</w:t>
            </w:r>
            <w:r>
              <w:rPr>
                <w:szCs w:val="21"/>
              </w:rPr>
              <w:t>活期存款基准利率</w:t>
            </w:r>
            <w:r>
              <w:rPr>
                <w:szCs w:val="21"/>
              </w:rPr>
              <w:t>*5%</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8</w:t>
            </w:r>
          </w:p>
        </w:tc>
        <w:tc>
          <w:tcPr>
            <w:tcW w:w="1836" w:type="dxa"/>
            <w:vAlign w:val="center"/>
          </w:tcPr>
          <w:p w:rsidR="00FC1DAA" w:rsidRDefault="00581B89">
            <w:pPr>
              <w:widowControl/>
              <w:jc w:val="center"/>
              <w:textAlignment w:val="center"/>
              <w:rPr>
                <w:szCs w:val="21"/>
              </w:rPr>
            </w:pPr>
            <w:r>
              <w:rPr>
                <w:szCs w:val="21"/>
              </w:rPr>
              <w:t>富国大盘价值量化精选混合型证券投资基金</w:t>
            </w:r>
          </w:p>
        </w:tc>
        <w:tc>
          <w:tcPr>
            <w:tcW w:w="2357" w:type="dxa"/>
            <w:vAlign w:val="center"/>
          </w:tcPr>
          <w:p w:rsidR="00FC1DAA" w:rsidRDefault="00581B89">
            <w:pPr>
              <w:widowControl/>
              <w:jc w:val="left"/>
              <w:textAlignment w:val="center"/>
              <w:rPr>
                <w:szCs w:val="21"/>
              </w:rPr>
            </w:pPr>
            <w:r>
              <w:rPr>
                <w:rFonts w:hint="eastAsia"/>
                <w:szCs w:val="21"/>
              </w:rPr>
              <w:t>90%*</w:t>
            </w:r>
            <w:r>
              <w:rPr>
                <w:szCs w:val="21"/>
              </w:rPr>
              <w:t>沪深</w:t>
            </w:r>
            <w:r>
              <w:rPr>
                <w:szCs w:val="21"/>
              </w:rPr>
              <w:t>300</w:t>
            </w:r>
            <w:r>
              <w:rPr>
                <w:szCs w:val="21"/>
              </w:rPr>
              <w:t>指数收益率</w:t>
            </w:r>
            <w:r>
              <w:rPr>
                <w:szCs w:val="21"/>
              </w:rPr>
              <w:t>+</w:t>
            </w:r>
            <w:r>
              <w:rPr>
                <w:rFonts w:hint="eastAsia"/>
                <w:szCs w:val="21"/>
              </w:rPr>
              <w:t>10%*</w:t>
            </w:r>
            <w:r>
              <w:rPr>
                <w:szCs w:val="21"/>
              </w:rPr>
              <w:t>银行活期存款利率</w:t>
            </w:r>
            <w:r>
              <w:rPr>
                <w:rFonts w:hint="eastAsia"/>
                <w:szCs w:val="21"/>
              </w:rPr>
              <w:t>（</w:t>
            </w:r>
            <w:r>
              <w:rPr>
                <w:szCs w:val="21"/>
              </w:rPr>
              <w:t>税后</w:t>
            </w:r>
            <w:r>
              <w:rPr>
                <w:rFonts w:hint="eastAsia"/>
                <w:szCs w:val="21"/>
              </w:rPr>
              <w:t>）</w:t>
            </w:r>
          </w:p>
        </w:tc>
        <w:tc>
          <w:tcPr>
            <w:tcW w:w="3322" w:type="dxa"/>
            <w:vAlign w:val="center"/>
          </w:tcPr>
          <w:p w:rsidR="00FC1DAA" w:rsidRDefault="00581B89">
            <w:pPr>
              <w:widowControl/>
              <w:jc w:val="left"/>
              <w:textAlignment w:val="center"/>
              <w:rPr>
                <w:szCs w:val="21"/>
              </w:rPr>
            </w:pPr>
            <w:r>
              <w:rPr>
                <w:szCs w:val="21"/>
              </w:rPr>
              <w:t>中证</w:t>
            </w:r>
            <w:r>
              <w:rPr>
                <w:szCs w:val="21"/>
              </w:rPr>
              <w:t>800</w:t>
            </w:r>
            <w:r>
              <w:rPr>
                <w:szCs w:val="21"/>
              </w:rPr>
              <w:t>价值指数收益率</w:t>
            </w:r>
            <w:r>
              <w:rPr>
                <w:szCs w:val="21"/>
              </w:rPr>
              <w:t>*90%+</w:t>
            </w:r>
            <w:r>
              <w:rPr>
                <w:szCs w:val="21"/>
              </w:rPr>
              <w:t>中债</w:t>
            </w:r>
            <w:r>
              <w:rPr>
                <w:szCs w:val="21"/>
              </w:rPr>
              <w:t>-</w:t>
            </w:r>
            <w:r>
              <w:rPr>
                <w:szCs w:val="21"/>
              </w:rPr>
              <w:t>国债总全价</w:t>
            </w:r>
            <w:r>
              <w:rPr>
                <w:rFonts w:hint="eastAsia"/>
                <w:szCs w:val="21"/>
              </w:rPr>
              <w:t>（</w:t>
            </w:r>
            <w:r>
              <w:rPr>
                <w:szCs w:val="21"/>
              </w:rPr>
              <w:t>1-3</w:t>
            </w:r>
            <w:r>
              <w:rPr>
                <w:szCs w:val="21"/>
              </w:rPr>
              <w:t>年</w:t>
            </w:r>
            <w:r>
              <w:rPr>
                <w:rFonts w:hint="eastAsia"/>
                <w:szCs w:val="21"/>
              </w:rPr>
              <w:t>）</w:t>
            </w:r>
            <w:r>
              <w:rPr>
                <w:szCs w:val="21"/>
              </w:rPr>
              <w:t>指数收益率</w:t>
            </w:r>
            <w:r>
              <w:rPr>
                <w:szCs w:val="21"/>
              </w:rPr>
              <w:t>*5%+</w:t>
            </w:r>
            <w:r>
              <w:rPr>
                <w:szCs w:val="21"/>
              </w:rPr>
              <w:t>活期存款基准利率</w:t>
            </w:r>
            <w:r>
              <w:rPr>
                <w:szCs w:val="21"/>
              </w:rPr>
              <w:t>*5%</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9</w:t>
            </w:r>
          </w:p>
        </w:tc>
        <w:tc>
          <w:tcPr>
            <w:tcW w:w="1836" w:type="dxa"/>
            <w:vAlign w:val="center"/>
          </w:tcPr>
          <w:p w:rsidR="00FC1DAA" w:rsidRDefault="00581B89">
            <w:pPr>
              <w:widowControl/>
              <w:jc w:val="center"/>
              <w:textAlignment w:val="center"/>
              <w:rPr>
                <w:szCs w:val="21"/>
              </w:rPr>
            </w:pPr>
            <w:r>
              <w:rPr>
                <w:szCs w:val="21"/>
              </w:rPr>
              <w:t>富国新兴成长量化精选混合型证券投资基金</w:t>
            </w:r>
            <w:r>
              <w:rPr>
                <w:rFonts w:hint="eastAsia"/>
                <w:szCs w:val="21"/>
              </w:rPr>
              <w:t>（</w:t>
            </w:r>
            <w:r>
              <w:rPr>
                <w:szCs w:val="21"/>
              </w:rPr>
              <w:t>LOF</w:t>
            </w:r>
            <w:r>
              <w:rPr>
                <w:rFonts w:hint="eastAsia"/>
                <w:szCs w:val="21"/>
              </w:rPr>
              <w:t>）</w:t>
            </w:r>
          </w:p>
        </w:tc>
        <w:tc>
          <w:tcPr>
            <w:tcW w:w="2357" w:type="dxa"/>
            <w:vAlign w:val="center"/>
          </w:tcPr>
          <w:p w:rsidR="00FC1DAA" w:rsidRDefault="00581B89">
            <w:pPr>
              <w:widowControl/>
              <w:jc w:val="left"/>
              <w:textAlignment w:val="center"/>
              <w:rPr>
                <w:szCs w:val="21"/>
              </w:rPr>
            </w:pPr>
            <w:r>
              <w:rPr>
                <w:szCs w:val="21"/>
              </w:rPr>
              <w:t>中证</w:t>
            </w:r>
            <w:r>
              <w:rPr>
                <w:szCs w:val="21"/>
              </w:rPr>
              <w:t>500</w:t>
            </w:r>
            <w:r>
              <w:rPr>
                <w:szCs w:val="21"/>
              </w:rPr>
              <w:t>指数收益率</w:t>
            </w:r>
            <w:r>
              <w:rPr>
                <w:rFonts w:hint="eastAsia"/>
                <w:szCs w:val="21"/>
              </w:rPr>
              <w:t>×</w:t>
            </w:r>
            <w:r>
              <w:rPr>
                <w:szCs w:val="21"/>
              </w:rPr>
              <w:t>47.5%+</w:t>
            </w:r>
            <w:r>
              <w:rPr>
                <w:szCs w:val="21"/>
              </w:rPr>
              <w:t>创业板指数收益率</w:t>
            </w:r>
            <w:r>
              <w:rPr>
                <w:rFonts w:hint="eastAsia"/>
                <w:szCs w:val="21"/>
              </w:rPr>
              <w:t>×</w:t>
            </w:r>
            <w:r>
              <w:rPr>
                <w:szCs w:val="21"/>
              </w:rPr>
              <w:t>47.5%+</w:t>
            </w:r>
            <w:r>
              <w:rPr>
                <w:szCs w:val="21"/>
              </w:rPr>
              <w:t>银行活期存款利率</w:t>
            </w:r>
            <w:r>
              <w:rPr>
                <w:rFonts w:hint="eastAsia"/>
                <w:szCs w:val="21"/>
              </w:rPr>
              <w:t>（</w:t>
            </w:r>
            <w:r>
              <w:rPr>
                <w:szCs w:val="21"/>
              </w:rPr>
              <w:t>税后</w:t>
            </w:r>
            <w:r>
              <w:rPr>
                <w:rFonts w:hint="eastAsia"/>
                <w:szCs w:val="21"/>
              </w:rPr>
              <w:t>）</w:t>
            </w:r>
            <w:r>
              <w:rPr>
                <w:rFonts w:hint="eastAsia"/>
                <w:szCs w:val="21"/>
              </w:rPr>
              <w:t>×</w:t>
            </w:r>
            <w:r>
              <w:rPr>
                <w:szCs w:val="21"/>
              </w:rPr>
              <w:t>5%</w:t>
            </w:r>
          </w:p>
        </w:tc>
        <w:tc>
          <w:tcPr>
            <w:tcW w:w="3322" w:type="dxa"/>
            <w:vAlign w:val="center"/>
          </w:tcPr>
          <w:p w:rsidR="00FC1DAA" w:rsidRDefault="00581B89">
            <w:pPr>
              <w:widowControl/>
              <w:jc w:val="left"/>
              <w:textAlignment w:val="center"/>
              <w:rPr>
                <w:szCs w:val="21"/>
              </w:rPr>
            </w:pPr>
            <w:r>
              <w:rPr>
                <w:szCs w:val="21"/>
              </w:rPr>
              <w:t>中国战略新兴产业综合指数收益率</w:t>
            </w:r>
            <w:r>
              <w:rPr>
                <w:szCs w:val="21"/>
              </w:rPr>
              <w:t>*90%+</w:t>
            </w:r>
            <w:r>
              <w:rPr>
                <w:szCs w:val="21"/>
              </w:rPr>
              <w:t>中债</w:t>
            </w:r>
            <w:r>
              <w:rPr>
                <w:szCs w:val="21"/>
              </w:rPr>
              <w:t>-</w:t>
            </w:r>
            <w:r>
              <w:rPr>
                <w:szCs w:val="21"/>
              </w:rPr>
              <w:t>国债总全价</w:t>
            </w:r>
            <w:r>
              <w:rPr>
                <w:rFonts w:hint="eastAsia"/>
                <w:szCs w:val="21"/>
              </w:rPr>
              <w:t>（</w:t>
            </w:r>
            <w:r>
              <w:rPr>
                <w:szCs w:val="21"/>
              </w:rPr>
              <w:t>1-3</w:t>
            </w:r>
            <w:r>
              <w:rPr>
                <w:szCs w:val="21"/>
              </w:rPr>
              <w:t>年</w:t>
            </w:r>
            <w:r>
              <w:rPr>
                <w:rFonts w:hint="eastAsia"/>
                <w:szCs w:val="21"/>
              </w:rPr>
              <w:t>）</w:t>
            </w:r>
            <w:r>
              <w:rPr>
                <w:szCs w:val="21"/>
              </w:rPr>
              <w:t>指数收益率</w:t>
            </w:r>
            <w:r>
              <w:rPr>
                <w:szCs w:val="21"/>
              </w:rPr>
              <w:t>*5%+</w:t>
            </w:r>
            <w:r>
              <w:rPr>
                <w:szCs w:val="21"/>
              </w:rPr>
              <w:t>活期存款基准利率</w:t>
            </w:r>
            <w:r>
              <w:rPr>
                <w:szCs w:val="21"/>
              </w:rPr>
              <w:t>*5%</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10</w:t>
            </w:r>
          </w:p>
        </w:tc>
        <w:tc>
          <w:tcPr>
            <w:tcW w:w="1836" w:type="dxa"/>
            <w:vAlign w:val="center"/>
          </w:tcPr>
          <w:p w:rsidR="00FC1DAA" w:rsidRDefault="00581B89">
            <w:pPr>
              <w:widowControl/>
              <w:jc w:val="center"/>
              <w:textAlignment w:val="center"/>
              <w:rPr>
                <w:szCs w:val="21"/>
              </w:rPr>
            </w:pPr>
            <w:r>
              <w:rPr>
                <w:szCs w:val="21"/>
              </w:rPr>
              <w:t>富国医药成长</w:t>
            </w:r>
            <w:r>
              <w:rPr>
                <w:szCs w:val="21"/>
              </w:rPr>
              <w:t>30</w:t>
            </w:r>
            <w:r>
              <w:rPr>
                <w:szCs w:val="21"/>
              </w:rPr>
              <w:t>股票型证券投资基金</w:t>
            </w:r>
          </w:p>
        </w:tc>
        <w:tc>
          <w:tcPr>
            <w:tcW w:w="2357" w:type="dxa"/>
            <w:vAlign w:val="center"/>
          </w:tcPr>
          <w:p w:rsidR="00FC1DAA" w:rsidRDefault="00581B89">
            <w:pPr>
              <w:widowControl/>
              <w:jc w:val="left"/>
              <w:textAlignment w:val="center"/>
              <w:rPr>
                <w:szCs w:val="21"/>
              </w:rPr>
            </w:pPr>
            <w:r>
              <w:rPr>
                <w:szCs w:val="21"/>
              </w:rPr>
              <w:t>中证医药卫生指数收益率</w:t>
            </w:r>
            <w:r>
              <w:rPr>
                <w:szCs w:val="21"/>
              </w:rPr>
              <w:t>*75%+</w:t>
            </w:r>
            <w:r>
              <w:rPr>
                <w:szCs w:val="21"/>
              </w:rPr>
              <w:t>恒生指数收益率</w:t>
            </w:r>
            <w:r>
              <w:rPr>
                <w:rFonts w:hint="eastAsia"/>
                <w:szCs w:val="21"/>
              </w:rPr>
              <w:t>（</w:t>
            </w:r>
            <w:r>
              <w:rPr>
                <w:szCs w:val="21"/>
              </w:rPr>
              <w:t>使用估值汇率折算</w:t>
            </w:r>
            <w:r>
              <w:rPr>
                <w:rFonts w:hint="eastAsia"/>
                <w:szCs w:val="21"/>
              </w:rPr>
              <w:t>）</w:t>
            </w:r>
            <w:r>
              <w:rPr>
                <w:szCs w:val="21"/>
              </w:rPr>
              <w:t>*5%</w:t>
            </w:r>
            <w:r>
              <w:rPr>
                <w:rFonts w:hint="eastAsia"/>
                <w:szCs w:val="21"/>
              </w:rPr>
              <w:t>+</w:t>
            </w:r>
            <w:r>
              <w:rPr>
                <w:szCs w:val="21"/>
              </w:rPr>
              <w:t>中债综合指数收益率</w:t>
            </w:r>
            <w:r>
              <w:rPr>
                <w:szCs w:val="21"/>
              </w:rPr>
              <w:t>*20%</w:t>
            </w:r>
          </w:p>
        </w:tc>
        <w:tc>
          <w:tcPr>
            <w:tcW w:w="3322" w:type="dxa"/>
            <w:vAlign w:val="center"/>
          </w:tcPr>
          <w:p w:rsidR="00FC1DAA" w:rsidRDefault="00581B89">
            <w:pPr>
              <w:widowControl/>
              <w:jc w:val="left"/>
              <w:textAlignment w:val="center"/>
              <w:rPr>
                <w:szCs w:val="21"/>
              </w:rPr>
            </w:pPr>
            <w:r>
              <w:rPr>
                <w:szCs w:val="21"/>
              </w:rPr>
              <w:t>中证医药卫生指数收益率</w:t>
            </w:r>
            <w:r>
              <w:rPr>
                <w:szCs w:val="21"/>
              </w:rPr>
              <w:t>*85%+</w:t>
            </w:r>
            <w:r>
              <w:rPr>
                <w:szCs w:val="21"/>
              </w:rPr>
              <w:t>中债</w:t>
            </w:r>
            <w:r>
              <w:rPr>
                <w:szCs w:val="21"/>
              </w:rPr>
              <w:t>-</w:t>
            </w:r>
            <w:r>
              <w:rPr>
                <w:szCs w:val="21"/>
              </w:rPr>
              <w:t>国债总财富</w:t>
            </w:r>
            <w:r>
              <w:rPr>
                <w:rFonts w:hint="eastAsia"/>
                <w:szCs w:val="21"/>
              </w:rPr>
              <w:t>（</w:t>
            </w:r>
            <w:r>
              <w:rPr>
                <w:szCs w:val="21"/>
              </w:rPr>
              <w:t>1-3</w:t>
            </w:r>
            <w:r>
              <w:rPr>
                <w:szCs w:val="21"/>
              </w:rPr>
              <w:t>年</w:t>
            </w:r>
            <w:r>
              <w:rPr>
                <w:rFonts w:hint="eastAsia"/>
                <w:szCs w:val="21"/>
              </w:rPr>
              <w:t>）</w:t>
            </w:r>
            <w:r>
              <w:rPr>
                <w:szCs w:val="21"/>
              </w:rPr>
              <w:t>指数收益率</w:t>
            </w:r>
            <w:r>
              <w:rPr>
                <w:szCs w:val="21"/>
              </w:rPr>
              <w:t>*10%+</w:t>
            </w:r>
            <w:r>
              <w:rPr>
                <w:szCs w:val="21"/>
              </w:rPr>
              <w:t>恒生医疗保健指数收益率</w:t>
            </w:r>
            <w:r>
              <w:rPr>
                <w:szCs w:val="21"/>
              </w:rPr>
              <w:t>*5%</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11</w:t>
            </w:r>
          </w:p>
        </w:tc>
        <w:tc>
          <w:tcPr>
            <w:tcW w:w="1836" w:type="dxa"/>
            <w:vAlign w:val="center"/>
          </w:tcPr>
          <w:p w:rsidR="00FC1DAA" w:rsidRDefault="00581B89">
            <w:pPr>
              <w:widowControl/>
              <w:jc w:val="center"/>
              <w:textAlignment w:val="center"/>
              <w:rPr>
                <w:szCs w:val="21"/>
              </w:rPr>
            </w:pPr>
            <w:r>
              <w:rPr>
                <w:szCs w:val="21"/>
              </w:rPr>
              <w:t>富国价值成长混合型证券投资基金</w:t>
            </w:r>
          </w:p>
        </w:tc>
        <w:tc>
          <w:tcPr>
            <w:tcW w:w="2357" w:type="dxa"/>
            <w:vAlign w:val="center"/>
          </w:tcPr>
          <w:p w:rsidR="00FC1DAA" w:rsidRDefault="00581B89">
            <w:pPr>
              <w:widowControl/>
              <w:jc w:val="left"/>
              <w:textAlignment w:val="center"/>
              <w:rPr>
                <w:szCs w:val="21"/>
              </w:rPr>
            </w:pPr>
            <w:r>
              <w:rPr>
                <w:szCs w:val="21"/>
              </w:rPr>
              <w:t>沪深</w:t>
            </w:r>
            <w:r>
              <w:rPr>
                <w:szCs w:val="21"/>
              </w:rPr>
              <w:t>300</w:t>
            </w:r>
            <w:r>
              <w:rPr>
                <w:szCs w:val="21"/>
              </w:rPr>
              <w:t>指数收益率</w:t>
            </w:r>
            <w:r>
              <w:rPr>
                <w:szCs w:val="21"/>
              </w:rPr>
              <w:t>*60%+</w:t>
            </w:r>
            <w:r>
              <w:rPr>
                <w:szCs w:val="21"/>
              </w:rPr>
              <w:t>恒生指数收益率</w:t>
            </w:r>
            <w:r>
              <w:rPr>
                <w:rFonts w:hint="eastAsia"/>
                <w:szCs w:val="21"/>
              </w:rPr>
              <w:t>（</w:t>
            </w:r>
            <w:r>
              <w:rPr>
                <w:szCs w:val="21"/>
              </w:rPr>
              <w:t>使用估值汇率折算</w:t>
            </w:r>
            <w:r>
              <w:rPr>
                <w:rFonts w:hint="eastAsia"/>
                <w:szCs w:val="21"/>
              </w:rPr>
              <w:t>）</w:t>
            </w:r>
            <w:r>
              <w:rPr>
                <w:szCs w:val="21"/>
              </w:rPr>
              <w:t>*20%+</w:t>
            </w:r>
            <w:r>
              <w:rPr>
                <w:szCs w:val="21"/>
              </w:rPr>
              <w:t>中债综合全价指数收益率</w:t>
            </w:r>
            <w:r>
              <w:rPr>
                <w:szCs w:val="21"/>
              </w:rPr>
              <w:t>*20%</w:t>
            </w:r>
          </w:p>
        </w:tc>
        <w:tc>
          <w:tcPr>
            <w:tcW w:w="3322" w:type="dxa"/>
            <w:vAlign w:val="center"/>
          </w:tcPr>
          <w:p w:rsidR="00FC1DAA" w:rsidRDefault="00581B89">
            <w:pPr>
              <w:widowControl/>
              <w:jc w:val="left"/>
              <w:textAlignment w:val="center"/>
              <w:rPr>
                <w:szCs w:val="21"/>
              </w:rPr>
            </w:pPr>
            <w:r>
              <w:rPr>
                <w:szCs w:val="21"/>
              </w:rPr>
              <w:t>中证</w:t>
            </w:r>
            <w:r>
              <w:rPr>
                <w:szCs w:val="21"/>
              </w:rPr>
              <w:t>800</w:t>
            </w:r>
            <w:r>
              <w:rPr>
                <w:szCs w:val="21"/>
              </w:rPr>
              <w:t>指数收益率</w:t>
            </w:r>
            <w:r>
              <w:rPr>
                <w:szCs w:val="21"/>
              </w:rPr>
              <w:t>*70%+</w:t>
            </w:r>
            <w:r>
              <w:rPr>
                <w:szCs w:val="21"/>
              </w:rPr>
              <w:t>中债</w:t>
            </w:r>
            <w:r>
              <w:rPr>
                <w:szCs w:val="21"/>
              </w:rPr>
              <w:t>-</w:t>
            </w:r>
            <w:r>
              <w:rPr>
                <w:szCs w:val="21"/>
              </w:rPr>
              <w:t>国债总全价</w:t>
            </w:r>
            <w:r>
              <w:rPr>
                <w:rFonts w:hint="eastAsia"/>
                <w:szCs w:val="21"/>
              </w:rPr>
              <w:t>（</w:t>
            </w:r>
            <w:r>
              <w:rPr>
                <w:szCs w:val="21"/>
              </w:rPr>
              <w:t>1-3</w:t>
            </w:r>
            <w:r>
              <w:rPr>
                <w:szCs w:val="21"/>
              </w:rPr>
              <w:t>年</w:t>
            </w:r>
            <w:r>
              <w:rPr>
                <w:rFonts w:hint="eastAsia"/>
                <w:szCs w:val="21"/>
              </w:rPr>
              <w:t>）</w:t>
            </w:r>
            <w:r>
              <w:rPr>
                <w:szCs w:val="21"/>
              </w:rPr>
              <w:t>指数收益率</w:t>
            </w:r>
            <w:r>
              <w:rPr>
                <w:szCs w:val="21"/>
              </w:rPr>
              <w:t>*20%+</w:t>
            </w:r>
            <w:r>
              <w:rPr>
                <w:szCs w:val="21"/>
              </w:rPr>
              <w:t>恒生指数收益率</w:t>
            </w:r>
            <w:r>
              <w:rPr>
                <w:szCs w:val="21"/>
              </w:rPr>
              <w:t>*10%</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12</w:t>
            </w:r>
          </w:p>
        </w:tc>
        <w:tc>
          <w:tcPr>
            <w:tcW w:w="1836" w:type="dxa"/>
            <w:vAlign w:val="center"/>
          </w:tcPr>
          <w:p w:rsidR="00FC1DAA" w:rsidRDefault="00581B89">
            <w:pPr>
              <w:widowControl/>
              <w:jc w:val="center"/>
              <w:textAlignment w:val="center"/>
              <w:rPr>
                <w:szCs w:val="21"/>
              </w:rPr>
            </w:pPr>
            <w:r>
              <w:rPr>
                <w:szCs w:val="21"/>
              </w:rPr>
              <w:t>富国恒享回报</w:t>
            </w:r>
            <w:r>
              <w:rPr>
                <w:szCs w:val="21"/>
              </w:rPr>
              <w:t>12</w:t>
            </w:r>
            <w:r>
              <w:rPr>
                <w:szCs w:val="21"/>
              </w:rPr>
              <w:t>个月持有期混合型证券投资基金</w:t>
            </w:r>
          </w:p>
        </w:tc>
        <w:tc>
          <w:tcPr>
            <w:tcW w:w="2357" w:type="dxa"/>
            <w:vAlign w:val="center"/>
          </w:tcPr>
          <w:p w:rsidR="00FC1DAA" w:rsidRDefault="00581B89">
            <w:pPr>
              <w:widowControl/>
              <w:jc w:val="left"/>
              <w:textAlignment w:val="center"/>
              <w:rPr>
                <w:szCs w:val="21"/>
              </w:rPr>
            </w:pPr>
            <w:r>
              <w:rPr>
                <w:szCs w:val="21"/>
              </w:rPr>
              <w:t>中债综合全价指数收益率</w:t>
            </w:r>
            <w:r>
              <w:rPr>
                <w:rFonts w:hint="eastAsia"/>
                <w:szCs w:val="21"/>
              </w:rPr>
              <w:t>×</w:t>
            </w:r>
            <w:r>
              <w:rPr>
                <w:szCs w:val="21"/>
              </w:rPr>
              <w:t>85%+</w:t>
            </w:r>
            <w:r>
              <w:rPr>
                <w:szCs w:val="21"/>
              </w:rPr>
              <w:t>沪深</w:t>
            </w:r>
            <w:r>
              <w:rPr>
                <w:szCs w:val="21"/>
              </w:rPr>
              <w:t>300</w:t>
            </w:r>
            <w:r>
              <w:rPr>
                <w:szCs w:val="21"/>
              </w:rPr>
              <w:t>指数收益率</w:t>
            </w:r>
            <w:r>
              <w:rPr>
                <w:rFonts w:hint="eastAsia"/>
                <w:szCs w:val="21"/>
              </w:rPr>
              <w:t>×</w:t>
            </w:r>
            <w:r>
              <w:rPr>
                <w:szCs w:val="21"/>
              </w:rPr>
              <w:t>10%+</w:t>
            </w:r>
            <w:r>
              <w:rPr>
                <w:szCs w:val="21"/>
              </w:rPr>
              <w:t>恒生指数收益率</w:t>
            </w:r>
            <w:r>
              <w:rPr>
                <w:rFonts w:hint="eastAsia"/>
                <w:szCs w:val="21"/>
              </w:rPr>
              <w:t>（</w:t>
            </w:r>
            <w:r>
              <w:rPr>
                <w:szCs w:val="21"/>
              </w:rPr>
              <w:t>使用估值汇率折算</w:t>
            </w:r>
            <w:r>
              <w:rPr>
                <w:rFonts w:hint="eastAsia"/>
                <w:szCs w:val="21"/>
              </w:rPr>
              <w:t>）</w:t>
            </w:r>
            <w:r>
              <w:rPr>
                <w:rFonts w:hint="eastAsia"/>
                <w:szCs w:val="21"/>
              </w:rPr>
              <w:t>×</w:t>
            </w:r>
            <w:r>
              <w:rPr>
                <w:szCs w:val="21"/>
              </w:rPr>
              <w:t>5%</w:t>
            </w:r>
          </w:p>
        </w:tc>
        <w:tc>
          <w:tcPr>
            <w:tcW w:w="3322" w:type="dxa"/>
            <w:vAlign w:val="center"/>
          </w:tcPr>
          <w:p w:rsidR="00FC1DAA" w:rsidRDefault="00581B89">
            <w:pPr>
              <w:widowControl/>
              <w:jc w:val="left"/>
              <w:textAlignment w:val="center"/>
              <w:rPr>
                <w:szCs w:val="21"/>
              </w:rPr>
            </w:pPr>
            <w:r>
              <w:rPr>
                <w:szCs w:val="21"/>
              </w:rPr>
              <w:t>中债</w:t>
            </w:r>
            <w:r>
              <w:rPr>
                <w:szCs w:val="21"/>
              </w:rPr>
              <w:t>-</w:t>
            </w:r>
            <w:r>
              <w:rPr>
                <w:szCs w:val="21"/>
              </w:rPr>
              <w:t>综合全价</w:t>
            </w:r>
            <w:r>
              <w:rPr>
                <w:rFonts w:hint="eastAsia"/>
                <w:szCs w:val="21"/>
              </w:rPr>
              <w:t>（</w:t>
            </w:r>
            <w:r>
              <w:rPr>
                <w:szCs w:val="21"/>
              </w:rPr>
              <w:t>总值</w:t>
            </w:r>
            <w:r>
              <w:rPr>
                <w:rFonts w:hint="eastAsia"/>
                <w:szCs w:val="21"/>
              </w:rPr>
              <w:t>）</w:t>
            </w:r>
            <w:r>
              <w:rPr>
                <w:szCs w:val="21"/>
              </w:rPr>
              <w:t>指数收益率</w:t>
            </w:r>
            <w:r>
              <w:rPr>
                <w:szCs w:val="21"/>
              </w:rPr>
              <w:t>*80%+</w:t>
            </w:r>
            <w:r>
              <w:rPr>
                <w:szCs w:val="21"/>
              </w:rPr>
              <w:t>沪深</w:t>
            </w:r>
            <w:r>
              <w:rPr>
                <w:szCs w:val="21"/>
              </w:rPr>
              <w:t>300</w:t>
            </w:r>
            <w:r>
              <w:rPr>
                <w:szCs w:val="21"/>
              </w:rPr>
              <w:t>指数收益率</w:t>
            </w:r>
            <w:r>
              <w:rPr>
                <w:szCs w:val="21"/>
              </w:rPr>
              <w:t>*15%+</w:t>
            </w:r>
            <w:r>
              <w:rPr>
                <w:szCs w:val="21"/>
              </w:rPr>
              <w:t>恒生指数收益率</w:t>
            </w:r>
            <w:r>
              <w:rPr>
                <w:szCs w:val="21"/>
              </w:rPr>
              <w:t>*5%</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13</w:t>
            </w:r>
          </w:p>
        </w:tc>
        <w:tc>
          <w:tcPr>
            <w:tcW w:w="1836" w:type="dxa"/>
            <w:vAlign w:val="center"/>
          </w:tcPr>
          <w:p w:rsidR="00FC1DAA" w:rsidRDefault="00581B89">
            <w:pPr>
              <w:widowControl/>
              <w:jc w:val="center"/>
              <w:textAlignment w:val="center"/>
              <w:rPr>
                <w:szCs w:val="21"/>
              </w:rPr>
            </w:pPr>
            <w:r>
              <w:rPr>
                <w:szCs w:val="21"/>
              </w:rPr>
              <w:t>富国利享回报</w:t>
            </w:r>
            <w:r>
              <w:rPr>
                <w:szCs w:val="21"/>
              </w:rPr>
              <w:t>12</w:t>
            </w:r>
            <w:r>
              <w:rPr>
                <w:szCs w:val="21"/>
              </w:rPr>
              <w:t>个月持有期混合型证券投资基金</w:t>
            </w:r>
          </w:p>
        </w:tc>
        <w:tc>
          <w:tcPr>
            <w:tcW w:w="2357" w:type="dxa"/>
            <w:vAlign w:val="center"/>
          </w:tcPr>
          <w:p w:rsidR="00FC1DAA" w:rsidRDefault="00581B89">
            <w:pPr>
              <w:widowControl/>
              <w:jc w:val="left"/>
              <w:textAlignment w:val="center"/>
              <w:rPr>
                <w:szCs w:val="21"/>
              </w:rPr>
            </w:pPr>
            <w:r>
              <w:rPr>
                <w:szCs w:val="21"/>
              </w:rPr>
              <w:t>中债综合全价指数收益率</w:t>
            </w:r>
            <w:r>
              <w:rPr>
                <w:rFonts w:hint="eastAsia"/>
                <w:szCs w:val="21"/>
              </w:rPr>
              <w:t>×</w:t>
            </w:r>
            <w:r>
              <w:rPr>
                <w:szCs w:val="21"/>
              </w:rPr>
              <w:t>85%+</w:t>
            </w:r>
            <w:r>
              <w:rPr>
                <w:szCs w:val="21"/>
              </w:rPr>
              <w:t>恒生指数收益率</w:t>
            </w:r>
            <w:r>
              <w:rPr>
                <w:rFonts w:hint="eastAsia"/>
                <w:szCs w:val="21"/>
              </w:rPr>
              <w:t>（</w:t>
            </w:r>
            <w:r>
              <w:rPr>
                <w:szCs w:val="21"/>
              </w:rPr>
              <w:t>使用估值汇率折算</w:t>
            </w:r>
            <w:r>
              <w:rPr>
                <w:rFonts w:hint="eastAsia"/>
                <w:szCs w:val="21"/>
              </w:rPr>
              <w:t>）</w:t>
            </w:r>
            <w:r>
              <w:rPr>
                <w:rFonts w:hint="eastAsia"/>
                <w:szCs w:val="21"/>
              </w:rPr>
              <w:t>×</w:t>
            </w:r>
            <w:r>
              <w:rPr>
                <w:szCs w:val="21"/>
              </w:rPr>
              <w:t>5%</w:t>
            </w:r>
            <w:r>
              <w:rPr>
                <w:rFonts w:hint="eastAsia"/>
                <w:szCs w:val="21"/>
              </w:rPr>
              <w:t>+</w:t>
            </w:r>
            <w:r>
              <w:rPr>
                <w:szCs w:val="21"/>
              </w:rPr>
              <w:t>沪深</w:t>
            </w:r>
            <w:r>
              <w:rPr>
                <w:szCs w:val="21"/>
              </w:rPr>
              <w:t>300</w:t>
            </w:r>
            <w:r>
              <w:rPr>
                <w:szCs w:val="21"/>
              </w:rPr>
              <w:t>指数收益率</w:t>
            </w:r>
            <w:r>
              <w:rPr>
                <w:rFonts w:hint="eastAsia"/>
                <w:szCs w:val="21"/>
              </w:rPr>
              <w:t>×</w:t>
            </w:r>
            <w:r>
              <w:rPr>
                <w:szCs w:val="21"/>
              </w:rPr>
              <w:t>10%</w:t>
            </w:r>
          </w:p>
        </w:tc>
        <w:tc>
          <w:tcPr>
            <w:tcW w:w="3322" w:type="dxa"/>
            <w:vAlign w:val="center"/>
          </w:tcPr>
          <w:p w:rsidR="00FC1DAA" w:rsidRDefault="00581B89">
            <w:pPr>
              <w:widowControl/>
              <w:jc w:val="left"/>
              <w:textAlignment w:val="center"/>
              <w:rPr>
                <w:szCs w:val="21"/>
              </w:rPr>
            </w:pPr>
            <w:r>
              <w:rPr>
                <w:szCs w:val="21"/>
              </w:rPr>
              <w:t>中债</w:t>
            </w:r>
            <w:r>
              <w:rPr>
                <w:szCs w:val="21"/>
              </w:rPr>
              <w:t>-</w:t>
            </w:r>
            <w:r>
              <w:rPr>
                <w:szCs w:val="21"/>
              </w:rPr>
              <w:t>综合全价</w:t>
            </w:r>
            <w:r>
              <w:rPr>
                <w:rFonts w:hint="eastAsia"/>
                <w:szCs w:val="21"/>
              </w:rPr>
              <w:t>（</w:t>
            </w:r>
            <w:r>
              <w:rPr>
                <w:szCs w:val="21"/>
              </w:rPr>
              <w:t>总值</w:t>
            </w:r>
            <w:r>
              <w:rPr>
                <w:rFonts w:hint="eastAsia"/>
                <w:szCs w:val="21"/>
              </w:rPr>
              <w:t>）</w:t>
            </w:r>
            <w:r>
              <w:rPr>
                <w:szCs w:val="21"/>
              </w:rPr>
              <w:t>指数收益率</w:t>
            </w:r>
            <w:r>
              <w:rPr>
                <w:szCs w:val="21"/>
              </w:rPr>
              <w:t>*80%+</w:t>
            </w:r>
            <w:r>
              <w:rPr>
                <w:szCs w:val="21"/>
              </w:rPr>
              <w:t>沪深</w:t>
            </w:r>
            <w:r>
              <w:rPr>
                <w:szCs w:val="21"/>
              </w:rPr>
              <w:t>300</w:t>
            </w:r>
            <w:r>
              <w:rPr>
                <w:szCs w:val="21"/>
              </w:rPr>
              <w:t>指数收益率</w:t>
            </w:r>
            <w:r>
              <w:rPr>
                <w:szCs w:val="21"/>
              </w:rPr>
              <w:t>*15%+</w:t>
            </w:r>
            <w:r>
              <w:rPr>
                <w:szCs w:val="21"/>
              </w:rPr>
              <w:t>恒生指数收益率</w:t>
            </w:r>
            <w:r>
              <w:rPr>
                <w:szCs w:val="21"/>
              </w:rPr>
              <w:t>*5%</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14</w:t>
            </w:r>
          </w:p>
        </w:tc>
        <w:tc>
          <w:tcPr>
            <w:tcW w:w="1836" w:type="dxa"/>
            <w:vAlign w:val="center"/>
          </w:tcPr>
          <w:p w:rsidR="00FC1DAA" w:rsidRDefault="00581B89">
            <w:pPr>
              <w:widowControl/>
              <w:jc w:val="center"/>
              <w:textAlignment w:val="center"/>
              <w:rPr>
                <w:szCs w:val="21"/>
              </w:rPr>
            </w:pPr>
            <w:r>
              <w:rPr>
                <w:szCs w:val="21"/>
              </w:rPr>
              <w:t>富国产业升级混合型证券投资基金</w:t>
            </w:r>
          </w:p>
        </w:tc>
        <w:tc>
          <w:tcPr>
            <w:tcW w:w="2357" w:type="dxa"/>
            <w:vAlign w:val="center"/>
          </w:tcPr>
          <w:p w:rsidR="00FC1DAA" w:rsidRDefault="00581B89">
            <w:pPr>
              <w:widowControl/>
              <w:jc w:val="left"/>
              <w:textAlignment w:val="center"/>
              <w:rPr>
                <w:szCs w:val="21"/>
              </w:rPr>
            </w:pPr>
            <w:r>
              <w:rPr>
                <w:szCs w:val="21"/>
              </w:rPr>
              <w:t>沪深</w:t>
            </w:r>
            <w:r>
              <w:rPr>
                <w:szCs w:val="21"/>
              </w:rPr>
              <w:t>300</w:t>
            </w:r>
            <w:r>
              <w:rPr>
                <w:szCs w:val="21"/>
              </w:rPr>
              <w:t>指数收益率</w:t>
            </w:r>
            <w:r>
              <w:rPr>
                <w:rFonts w:hint="eastAsia"/>
                <w:szCs w:val="21"/>
              </w:rPr>
              <w:t>×</w:t>
            </w:r>
            <w:r>
              <w:rPr>
                <w:szCs w:val="21"/>
              </w:rPr>
              <w:t>80%+</w:t>
            </w:r>
            <w:r>
              <w:rPr>
                <w:szCs w:val="21"/>
              </w:rPr>
              <w:t>中债综合全价指数收益率</w:t>
            </w:r>
            <w:r>
              <w:rPr>
                <w:rFonts w:hint="eastAsia"/>
                <w:szCs w:val="21"/>
              </w:rPr>
              <w:t>×</w:t>
            </w:r>
            <w:r>
              <w:rPr>
                <w:szCs w:val="21"/>
              </w:rPr>
              <w:t>20%</w:t>
            </w:r>
          </w:p>
        </w:tc>
        <w:tc>
          <w:tcPr>
            <w:tcW w:w="3322" w:type="dxa"/>
            <w:vAlign w:val="center"/>
          </w:tcPr>
          <w:p w:rsidR="00FC1DAA" w:rsidRDefault="00581B89">
            <w:pPr>
              <w:widowControl/>
              <w:jc w:val="left"/>
              <w:textAlignment w:val="center"/>
              <w:rPr>
                <w:szCs w:val="21"/>
              </w:rPr>
            </w:pPr>
            <w:r>
              <w:rPr>
                <w:szCs w:val="21"/>
              </w:rPr>
              <w:t>沪深</w:t>
            </w:r>
            <w:r>
              <w:rPr>
                <w:szCs w:val="21"/>
              </w:rPr>
              <w:t>300</w:t>
            </w:r>
            <w:r>
              <w:rPr>
                <w:szCs w:val="21"/>
              </w:rPr>
              <w:t>指数收益率</w:t>
            </w:r>
            <w:r>
              <w:rPr>
                <w:szCs w:val="21"/>
              </w:rPr>
              <w:t>*90%+</w:t>
            </w:r>
            <w:r>
              <w:rPr>
                <w:szCs w:val="21"/>
              </w:rPr>
              <w:t>中债</w:t>
            </w:r>
            <w:r>
              <w:rPr>
                <w:szCs w:val="21"/>
              </w:rPr>
              <w:t>-</w:t>
            </w:r>
            <w:r>
              <w:rPr>
                <w:szCs w:val="21"/>
              </w:rPr>
              <w:t>国债总全价</w:t>
            </w:r>
            <w:r>
              <w:rPr>
                <w:rFonts w:hint="eastAsia"/>
                <w:szCs w:val="21"/>
              </w:rPr>
              <w:t>（</w:t>
            </w:r>
            <w:r>
              <w:rPr>
                <w:szCs w:val="21"/>
              </w:rPr>
              <w:t>1-3</w:t>
            </w:r>
            <w:r>
              <w:rPr>
                <w:szCs w:val="21"/>
              </w:rPr>
              <w:t>年</w:t>
            </w:r>
            <w:r>
              <w:rPr>
                <w:rFonts w:hint="eastAsia"/>
                <w:szCs w:val="21"/>
              </w:rPr>
              <w:t>）</w:t>
            </w:r>
            <w:r>
              <w:rPr>
                <w:szCs w:val="21"/>
              </w:rPr>
              <w:t>指数收益率</w:t>
            </w:r>
            <w:r>
              <w:rPr>
                <w:szCs w:val="21"/>
              </w:rPr>
              <w:t>*10%</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15</w:t>
            </w:r>
          </w:p>
        </w:tc>
        <w:tc>
          <w:tcPr>
            <w:tcW w:w="1836" w:type="dxa"/>
            <w:vAlign w:val="center"/>
          </w:tcPr>
          <w:p w:rsidR="00FC1DAA" w:rsidRDefault="00581B89">
            <w:pPr>
              <w:widowControl/>
              <w:jc w:val="center"/>
              <w:textAlignment w:val="center"/>
              <w:rPr>
                <w:szCs w:val="21"/>
              </w:rPr>
            </w:pPr>
            <w:r>
              <w:rPr>
                <w:szCs w:val="21"/>
              </w:rPr>
              <w:t>富国核心趋势混合型证券投资基金</w:t>
            </w:r>
          </w:p>
        </w:tc>
        <w:tc>
          <w:tcPr>
            <w:tcW w:w="2357" w:type="dxa"/>
            <w:vAlign w:val="center"/>
          </w:tcPr>
          <w:p w:rsidR="00FC1DAA" w:rsidRDefault="00581B89">
            <w:pPr>
              <w:widowControl/>
              <w:jc w:val="left"/>
              <w:textAlignment w:val="center"/>
              <w:rPr>
                <w:szCs w:val="21"/>
              </w:rPr>
            </w:pPr>
            <w:r>
              <w:rPr>
                <w:szCs w:val="21"/>
              </w:rPr>
              <w:t>沪深</w:t>
            </w:r>
            <w:r>
              <w:rPr>
                <w:szCs w:val="21"/>
              </w:rPr>
              <w:t>300</w:t>
            </w:r>
            <w:r>
              <w:rPr>
                <w:szCs w:val="21"/>
              </w:rPr>
              <w:t>指数收益率</w:t>
            </w:r>
            <w:r>
              <w:rPr>
                <w:szCs w:val="21"/>
              </w:rPr>
              <w:t>*60%+</w:t>
            </w:r>
            <w:r>
              <w:rPr>
                <w:szCs w:val="21"/>
              </w:rPr>
              <w:t>恒生指数收益率</w:t>
            </w:r>
            <w:r>
              <w:rPr>
                <w:rFonts w:hint="eastAsia"/>
                <w:szCs w:val="21"/>
              </w:rPr>
              <w:t>（</w:t>
            </w:r>
            <w:r>
              <w:rPr>
                <w:szCs w:val="21"/>
              </w:rPr>
              <w:t>使用估值汇率折算</w:t>
            </w:r>
            <w:r>
              <w:rPr>
                <w:rFonts w:hint="eastAsia"/>
                <w:szCs w:val="21"/>
              </w:rPr>
              <w:t>）</w:t>
            </w:r>
            <w:r>
              <w:rPr>
                <w:szCs w:val="21"/>
              </w:rPr>
              <w:t>*20%+</w:t>
            </w:r>
            <w:r>
              <w:rPr>
                <w:szCs w:val="21"/>
              </w:rPr>
              <w:t>中债综合全价指数收益率</w:t>
            </w:r>
            <w:r>
              <w:rPr>
                <w:szCs w:val="21"/>
              </w:rPr>
              <w:t>*20%</w:t>
            </w:r>
          </w:p>
        </w:tc>
        <w:tc>
          <w:tcPr>
            <w:tcW w:w="3322" w:type="dxa"/>
            <w:vAlign w:val="center"/>
          </w:tcPr>
          <w:p w:rsidR="00FC1DAA" w:rsidRDefault="00581B89">
            <w:pPr>
              <w:widowControl/>
              <w:jc w:val="left"/>
              <w:textAlignment w:val="center"/>
              <w:rPr>
                <w:szCs w:val="21"/>
              </w:rPr>
            </w:pPr>
            <w:r>
              <w:rPr>
                <w:szCs w:val="21"/>
              </w:rPr>
              <w:t>中证</w:t>
            </w:r>
            <w:r>
              <w:rPr>
                <w:szCs w:val="21"/>
              </w:rPr>
              <w:t>A500</w:t>
            </w:r>
            <w:r>
              <w:rPr>
                <w:szCs w:val="21"/>
              </w:rPr>
              <w:t>指数收益率</w:t>
            </w:r>
            <w:r>
              <w:rPr>
                <w:szCs w:val="21"/>
              </w:rPr>
              <w:t>*70%+</w:t>
            </w:r>
            <w:r>
              <w:rPr>
                <w:szCs w:val="21"/>
              </w:rPr>
              <w:t>恒生指数收益率</w:t>
            </w:r>
            <w:r>
              <w:rPr>
                <w:szCs w:val="21"/>
              </w:rPr>
              <w:t>*20%+</w:t>
            </w:r>
            <w:r>
              <w:rPr>
                <w:szCs w:val="21"/>
              </w:rPr>
              <w:t>中债</w:t>
            </w:r>
            <w:r>
              <w:rPr>
                <w:szCs w:val="21"/>
              </w:rPr>
              <w:t>-</w:t>
            </w:r>
            <w:r>
              <w:rPr>
                <w:szCs w:val="21"/>
              </w:rPr>
              <w:t>国债总全价</w:t>
            </w:r>
            <w:r>
              <w:rPr>
                <w:rFonts w:hint="eastAsia"/>
                <w:szCs w:val="21"/>
              </w:rPr>
              <w:t>（</w:t>
            </w:r>
            <w:r>
              <w:rPr>
                <w:szCs w:val="21"/>
              </w:rPr>
              <w:t>1-3</w:t>
            </w:r>
            <w:r>
              <w:rPr>
                <w:szCs w:val="21"/>
              </w:rPr>
              <w:t>年</w:t>
            </w:r>
            <w:r>
              <w:rPr>
                <w:rFonts w:hint="eastAsia"/>
                <w:szCs w:val="21"/>
              </w:rPr>
              <w:t>）</w:t>
            </w:r>
            <w:r>
              <w:rPr>
                <w:szCs w:val="21"/>
              </w:rPr>
              <w:t>指数收益率</w:t>
            </w:r>
            <w:r>
              <w:rPr>
                <w:szCs w:val="21"/>
              </w:rPr>
              <w:t>*10%</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16</w:t>
            </w:r>
          </w:p>
        </w:tc>
        <w:tc>
          <w:tcPr>
            <w:tcW w:w="1836" w:type="dxa"/>
            <w:vAlign w:val="center"/>
          </w:tcPr>
          <w:p w:rsidR="00FC1DAA" w:rsidRDefault="00581B89">
            <w:pPr>
              <w:widowControl/>
              <w:jc w:val="center"/>
              <w:textAlignment w:val="center"/>
              <w:rPr>
                <w:szCs w:val="21"/>
              </w:rPr>
            </w:pPr>
            <w:r>
              <w:rPr>
                <w:szCs w:val="21"/>
              </w:rPr>
              <w:t>富国天源沪港深平衡混合型证券投资基金</w:t>
            </w:r>
          </w:p>
        </w:tc>
        <w:tc>
          <w:tcPr>
            <w:tcW w:w="2357" w:type="dxa"/>
            <w:vAlign w:val="center"/>
          </w:tcPr>
          <w:p w:rsidR="00FC1DAA" w:rsidRDefault="00581B89">
            <w:pPr>
              <w:widowControl/>
              <w:jc w:val="left"/>
              <w:textAlignment w:val="center"/>
              <w:rPr>
                <w:szCs w:val="21"/>
              </w:rPr>
            </w:pPr>
            <w:r>
              <w:rPr>
                <w:szCs w:val="21"/>
              </w:rPr>
              <w:t>沪深</w:t>
            </w:r>
            <w:r>
              <w:rPr>
                <w:szCs w:val="21"/>
              </w:rPr>
              <w:t>300</w:t>
            </w:r>
            <w:r>
              <w:rPr>
                <w:szCs w:val="21"/>
              </w:rPr>
              <w:t>指数收益率</w:t>
            </w:r>
            <w:r>
              <w:rPr>
                <w:rFonts w:hint="eastAsia"/>
                <w:szCs w:val="21"/>
              </w:rPr>
              <w:t>×</w:t>
            </w:r>
            <w:r>
              <w:rPr>
                <w:szCs w:val="21"/>
              </w:rPr>
              <w:t>65%+</w:t>
            </w:r>
            <w:r>
              <w:rPr>
                <w:szCs w:val="21"/>
              </w:rPr>
              <w:t>中债综合全价指数收益率</w:t>
            </w:r>
            <w:r>
              <w:rPr>
                <w:rFonts w:hint="eastAsia"/>
                <w:szCs w:val="21"/>
              </w:rPr>
              <w:t>×</w:t>
            </w:r>
            <w:r>
              <w:rPr>
                <w:szCs w:val="21"/>
              </w:rPr>
              <w:t>30%+</w:t>
            </w:r>
            <w:r>
              <w:rPr>
                <w:szCs w:val="21"/>
              </w:rPr>
              <w:t>同业存款利率</w:t>
            </w:r>
            <w:r>
              <w:rPr>
                <w:rFonts w:hint="eastAsia"/>
                <w:szCs w:val="21"/>
              </w:rPr>
              <w:t>×</w:t>
            </w:r>
            <w:r>
              <w:rPr>
                <w:szCs w:val="21"/>
              </w:rPr>
              <w:t>5%</w:t>
            </w:r>
          </w:p>
        </w:tc>
        <w:tc>
          <w:tcPr>
            <w:tcW w:w="3322" w:type="dxa"/>
            <w:vAlign w:val="center"/>
          </w:tcPr>
          <w:p w:rsidR="00FC1DAA" w:rsidRDefault="00581B89">
            <w:pPr>
              <w:widowControl/>
              <w:jc w:val="left"/>
              <w:textAlignment w:val="center"/>
              <w:rPr>
                <w:szCs w:val="21"/>
              </w:rPr>
            </w:pPr>
            <w:r>
              <w:rPr>
                <w:szCs w:val="21"/>
              </w:rPr>
              <w:t>沪深</w:t>
            </w:r>
            <w:r>
              <w:rPr>
                <w:szCs w:val="21"/>
              </w:rPr>
              <w:t>300</w:t>
            </w:r>
            <w:r>
              <w:rPr>
                <w:szCs w:val="21"/>
              </w:rPr>
              <w:t>指数收益率</w:t>
            </w:r>
            <w:r>
              <w:rPr>
                <w:szCs w:val="21"/>
              </w:rPr>
              <w:t>*65%+</w:t>
            </w:r>
            <w:r>
              <w:rPr>
                <w:szCs w:val="21"/>
              </w:rPr>
              <w:t>中债</w:t>
            </w:r>
            <w:r>
              <w:rPr>
                <w:szCs w:val="21"/>
              </w:rPr>
              <w:t>-</w:t>
            </w:r>
            <w:r>
              <w:rPr>
                <w:szCs w:val="21"/>
              </w:rPr>
              <w:t>国债总全价</w:t>
            </w:r>
            <w:r>
              <w:rPr>
                <w:rFonts w:hint="eastAsia"/>
                <w:szCs w:val="21"/>
              </w:rPr>
              <w:t>（</w:t>
            </w:r>
            <w:r>
              <w:rPr>
                <w:szCs w:val="21"/>
              </w:rPr>
              <w:t>1-3</w:t>
            </w:r>
            <w:r>
              <w:rPr>
                <w:szCs w:val="21"/>
              </w:rPr>
              <w:t>年</w:t>
            </w:r>
            <w:r>
              <w:rPr>
                <w:rFonts w:hint="eastAsia"/>
                <w:szCs w:val="21"/>
              </w:rPr>
              <w:t>）</w:t>
            </w:r>
            <w:r>
              <w:rPr>
                <w:szCs w:val="21"/>
              </w:rPr>
              <w:t>指数收益率</w:t>
            </w:r>
            <w:r>
              <w:rPr>
                <w:szCs w:val="21"/>
              </w:rPr>
              <w:t>*25%+</w:t>
            </w:r>
            <w:r>
              <w:rPr>
                <w:szCs w:val="21"/>
              </w:rPr>
              <w:t>恒生指数收益率</w:t>
            </w:r>
            <w:r>
              <w:rPr>
                <w:szCs w:val="21"/>
              </w:rPr>
              <w:t>*5%+</w:t>
            </w:r>
            <w:r>
              <w:rPr>
                <w:szCs w:val="21"/>
              </w:rPr>
              <w:t>同业存款利率</w:t>
            </w:r>
            <w:r>
              <w:rPr>
                <w:szCs w:val="21"/>
              </w:rPr>
              <w:t>*5%</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17</w:t>
            </w:r>
          </w:p>
        </w:tc>
        <w:tc>
          <w:tcPr>
            <w:tcW w:w="1836" w:type="dxa"/>
            <w:vAlign w:val="center"/>
          </w:tcPr>
          <w:p w:rsidR="00FC1DAA" w:rsidRDefault="00581B89">
            <w:pPr>
              <w:widowControl/>
              <w:jc w:val="center"/>
              <w:textAlignment w:val="center"/>
              <w:rPr>
                <w:szCs w:val="21"/>
              </w:rPr>
            </w:pPr>
            <w:r>
              <w:rPr>
                <w:szCs w:val="21"/>
              </w:rPr>
              <w:t>富国碳中和混合型证券投资基金</w:t>
            </w:r>
          </w:p>
        </w:tc>
        <w:tc>
          <w:tcPr>
            <w:tcW w:w="2357" w:type="dxa"/>
            <w:vAlign w:val="center"/>
          </w:tcPr>
          <w:p w:rsidR="00FC1DAA" w:rsidRDefault="00581B89">
            <w:pPr>
              <w:widowControl/>
              <w:jc w:val="left"/>
              <w:textAlignment w:val="center"/>
              <w:rPr>
                <w:szCs w:val="21"/>
              </w:rPr>
            </w:pPr>
            <w:r>
              <w:rPr>
                <w:szCs w:val="21"/>
              </w:rPr>
              <w:t>中证环保产业指数收益率</w:t>
            </w:r>
            <w:r>
              <w:rPr>
                <w:szCs w:val="21"/>
              </w:rPr>
              <w:t>*60%+</w:t>
            </w:r>
            <w:r>
              <w:rPr>
                <w:szCs w:val="21"/>
              </w:rPr>
              <w:t>恒生指数收益率</w:t>
            </w:r>
            <w:r>
              <w:rPr>
                <w:rFonts w:hint="eastAsia"/>
                <w:szCs w:val="21"/>
              </w:rPr>
              <w:t>（</w:t>
            </w:r>
            <w:r>
              <w:rPr>
                <w:szCs w:val="21"/>
              </w:rPr>
              <w:t>使用估值汇率折算</w:t>
            </w:r>
            <w:r>
              <w:rPr>
                <w:rFonts w:hint="eastAsia"/>
                <w:szCs w:val="21"/>
              </w:rPr>
              <w:t>）</w:t>
            </w:r>
            <w:r>
              <w:rPr>
                <w:szCs w:val="21"/>
              </w:rPr>
              <w:t>*20%+</w:t>
            </w:r>
            <w:r>
              <w:rPr>
                <w:szCs w:val="21"/>
              </w:rPr>
              <w:t>中债综合全价指数收益率</w:t>
            </w:r>
            <w:r>
              <w:rPr>
                <w:szCs w:val="21"/>
              </w:rPr>
              <w:t>*20%</w:t>
            </w:r>
          </w:p>
        </w:tc>
        <w:tc>
          <w:tcPr>
            <w:tcW w:w="3322" w:type="dxa"/>
            <w:vAlign w:val="center"/>
          </w:tcPr>
          <w:p w:rsidR="00FC1DAA" w:rsidRDefault="00581B89">
            <w:pPr>
              <w:widowControl/>
              <w:jc w:val="left"/>
              <w:textAlignment w:val="center"/>
              <w:rPr>
                <w:szCs w:val="21"/>
              </w:rPr>
            </w:pPr>
            <w:r>
              <w:rPr>
                <w:szCs w:val="21"/>
              </w:rPr>
              <w:t>中证新能源指数收益率</w:t>
            </w:r>
            <w:r>
              <w:rPr>
                <w:szCs w:val="21"/>
              </w:rPr>
              <w:t>*80%+</w:t>
            </w:r>
            <w:r>
              <w:rPr>
                <w:szCs w:val="21"/>
              </w:rPr>
              <w:t>国证港股通新能源指数收益率</w:t>
            </w:r>
            <w:r>
              <w:rPr>
                <w:szCs w:val="21"/>
              </w:rPr>
              <w:t>*10%+</w:t>
            </w:r>
            <w:r>
              <w:rPr>
                <w:szCs w:val="21"/>
              </w:rPr>
              <w:t>中债</w:t>
            </w:r>
            <w:r>
              <w:rPr>
                <w:szCs w:val="21"/>
              </w:rPr>
              <w:t>-</w:t>
            </w:r>
            <w:r>
              <w:rPr>
                <w:szCs w:val="21"/>
              </w:rPr>
              <w:t>国债总全价</w:t>
            </w:r>
            <w:r>
              <w:rPr>
                <w:rFonts w:hint="eastAsia"/>
                <w:szCs w:val="21"/>
              </w:rPr>
              <w:t>（</w:t>
            </w:r>
            <w:r>
              <w:rPr>
                <w:szCs w:val="21"/>
              </w:rPr>
              <w:t>1-3</w:t>
            </w:r>
            <w:r>
              <w:rPr>
                <w:szCs w:val="21"/>
              </w:rPr>
              <w:t>年</w:t>
            </w:r>
            <w:r>
              <w:rPr>
                <w:rFonts w:hint="eastAsia"/>
                <w:szCs w:val="21"/>
              </w:rPr>
              <w:t>）</w:t>
            </w:r>
            <w:r>
              <w:rPr>
                <w:szCs w:val="21"/>
              </w:rPr>
              <w:t>指数收益率</w:t>
            </w:r>
            <w:r>
              <w:rPr>
                <w:szCs w:val="21"/>
              </w:rPr>
              <w:t>*10%</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18</w:t>
            </w:r>
          </w:p>
        </w:tc>
        <w:tc>
          <w:tcPr>
            <w:tcW w:w="1836" w:type="dxa"/>
            <w:vAlign w:val="center"/>
          </w:tcPr>
          <w:p w:rsidR="00FC1DAA" w:rsidRDefault="00581B89">
            <w:pPr>
              <w:widowControl/>
              <w:jc w:val="center"/>
              <w:textAlignment w:val="center"/>
              <w:rPr>
                <w:szCs w:val="21"/>
              </w:rPr>
            </w:pPr>
            <w:r>
              <w:rPr>
                <w:szCs w:val="21"/>
              </w:rPr>
              <w:t>富国改革动力混合型证券投资基金</w:t>
            </w:r>
          </w:p>
        </w:tc>
        <w:tc>
          <w:tcPr>
            <w:tcW w:w="2357" w:type="dxa"/>
            <w:vAlign w:val="center"/>
          </w:tcPr>
          <w:p w:rsidR="00FC1DAA" w:rsidRDefault="00581B89">
            <w:pPr>
              <w:widowControl/>
              <w:jc w:val="left"/>
              <w:textAlignment w:val="center"/>
              <w:rPr>
                <w:szCs w:val="21"/>
              </w:rPr>
            </w:pPr>
            <w:r>
              <w:rPr>
                <w:szCs w:val="21"/>
              </w:rPr>
              <w:t>中证</w:t>
            </w:r>
            <w:r>
              <w:rPr>
                <w:szCs w:val="21"/>
              </w:rPr>
              <w:t>800</w:t>
            </w:r>
            <w:r>
              <w:rPr>
                <w:szCs w:val="21"/>
              </w:rPr>
              <w:t>指数收益率</w:t>
            </w:r>
            <w:r>
              <w:rPr>
                <w:rFonts w:hint="eastAsia"/>
                <w:szCs w:val="21"/>
              </w:rPr>
              <w:t>×</w:t>
            </w:r>
            <w:r>
              <w:rPr>
                <w:szCs w:val="21"/>
              </w:rPr>
              <w:t>60%+</w:t>
            </w:r>
            <w:r>
              <w:rPr>
                <w:szCs w:val="21"/>
              </w:rPr>
              <w:t>中债综合指数收益率</w:t>
            </w:r>
            <w:r>
              <w:rPr>
                <w:rFonts w:hint="eastAsia"/>
                <w:szCs w:val="21"/>
              </w:rPr>
              <w:t>×</w:t>
            </w:r>
            <w:r>
              <w:rPr>
                <w:szCs w:val="21"/>
              </w:rPr>
              <w:t>40%</w:t>
            </w:r>
          </w:p>
        </w:tc>
        <w:tc>
          <w:tcPr>
            <w:tcW w:w="3322" w:type="dxa"/>
            <w:vAlign w:val="center"/>
          </w:tcPr>
          <w:p w:rsidR="00FC1DAA" w:rsidRDefault="00581B89">
            <w:pPr>
              <w:widowControl/>
              <w:jc w:val="left"/>
              <w:textAlignment w:val="center"/>
              <w:rPr>
                <w:szCs w:val="21"/>
              </w:rPr>
            </w:pPr>
            <w:r>
              <w:rPr>
                <w:szCs w:val="21"/>
              </w:rPr>
              <w:t>中证</w:t>
            </w:r>
            <w:r>
              <w:rPr>
                <w:szCs w:val="21"/>
              </w:rPr>
              <w:t>A500</w:t>
            </w:r>
            <w:r>
              <w:rPr>
                <w:szCs w:val="21"/>
              </w:rPr>
              <w:t>指数收益率</w:t>
            </w:r>
            <w:r>
              <w:rPr>
                <w:szCs w:val="21"/>
              </w:rPr>
              <w:t>*90%+</w:t>
            </w:r>
            <w:r>
              <w:rPr>
                <w:szCs w:val="21"/>
              </w:rPr>
              <w:t>中债</w:t>
            </w:r>
            <w:r>
              <w:rPr>
                <w:szCs w:val="21"/>
              </w:rPr>
              <w:t>-</w:t>
            </w:r>
            <w:r>
              <w:rPr>
                <w:szCs w:val="21"/>
              </w:rPr>
              <w:t>国债总财富</w:t>
            </w:r>
            <w:r>
              <w:rPr>
                <w:rFonts w:hint="eastAsia"/>
                <w:szCs w:val="21"/>
              </w:rPr>
              <w:t>（</w:t>
            </w:r>
            <w:r>
              <w:rPr>
                <w:szCs w:val="21"/>
              </w:rPr>
              <w:t>1-3</w:t>
            </w:r>
            <w:r>
              <w:rPr>
                <w:szCs w:val="21"/>
              </w:rPr>
              <w:t>年</w:t>
            </w:r>
            <w:r>
              <w:rPr>
                <w:rFonts w:hint="eastAsia"/>
                <w:szCs w:val="21"/>
              </w:rPr>
              <w:t>）</w:t>
            </w:r>
            <w:r>
              <w:rPr>
                <w:szCs w:val="21"/>
              </w:rPr>
              <w:t>指数收益率</w:t>
            </w:r>
            <w:r>
              <w:rPr>
                <w:szCs w:val="21"/>
              </w:rPr>
              <w:t>*10%</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19</w:t>
            </w:r>
          </w:p>
        </w:tc>
        <w:tc>
          <w:tcPr>
            <w:tcW w:w="1836" w:type="dxa"/>
            <w:vAlign w:val="center"/>
          </w:tcPr>
          <w:p w:rsidR="00FC1DAA" w:rsidRDefault="00581B89">
            <w:pPr>
              <w:widowControl/>
              <w:jc w:val="center"/>
              <w:textAlignment w:val="center"/>
              <w:rPr>
                <w:szCs w:val="21"/>
              </w:rPr>
            </w:pPr>
            <w:r>
              <w:rPr>
                <w:szCs w:val="21"/>
              </w:rPr>
              <w:t>富国致盛量化选股股票型证券投资基金</w:t>
            </w:r>
          </w:p>
        </w:tc>
        <w:tc>
          <w:tcPr>
            <w:tcW w:w="2357" w:type="dxa"/>
            <w:vAlign w:val="center"/>
          </w:tcPr>
          <w:p w:rsidR="00FC1DAA" w:rsidRDefault="00581B89">
            <w:pPr>
              <w:widowControl/>
              <w:jc w:val="left"/>
              <w:textAlignment w:val="center"/>
              <w:rPr>
                <w:szCs w:val="21"/>
              </w:rPr>
            </w:pPr>
            <w:r>
              <w:rPr>
                <w:szCs w:val="21"/>
              </w:rPr>
              <w:t>中证</w:t>
            </w:r>
            <w:r>
              <w:rPr>
                <w:szCs w:val="21"/>
              </w:rPr>
              <w:t>A500</w:t>
            </w:r>
            <w:r>
              <w:rPr>
                <w:szCs w:val="21"/>
              </w:rPr>
              <w:t>指数收益率</w:t>
            </w:r>
            <w:r>
              <w:rPr>
                <w:rFonts w:hint="eastAsia"/>
                <w:szCs w:val="21"/>
              </w:rPr>
              <w:t>×</w:t>
            </w:r>
            <w:r>
              <w:rPr>
                <w:szCs w:val="21"/>
              </w:rPr>
              <w:t>80%+</w:t>
            </w:r>
            <w:r>
              <w:rPr>
                <w:szCs w:val="21"/>
              </w:rPr>
              <w:t>中债综合全价指数收益率</w:t>
            </w:r>
            <w:r>
              <w:rPr>
                <w:rFonts w:hint="eastAsia"/>
                <w:szCs w:val="21"/>
              </w:rPr>
              <w:t>×</w:t>
            </w:r>
            <w:r>
              <w:rPr>
                <w:szCs w:val="21"/>
              </w:rPr>
              <w:t>20%</w:t>
            </w:r>
          </w:p>
        </w:tc>
        <w:tc>
          <w:tcPr>
            <w:tcW w:w="3322" w:type="dxa"/>
            <w:vAlign w:val="center"/>
          </w:tcPr>
          <w:p w:rsidR="00FC1DAA" w:rsidRDefault="00581B89">
            <w:pPr>
              <w:widowControl/>
              <w:jc w:val="left"/>
              <w:textAlignment w:val="center"/>
              <w:rPr>
                <w:szCs w:val="21"/>
              </w:rPr>
            </w:pPr>
            <w:r>
              <w:rPr>
                <w:szCs w:val="21"/>
              </w:rPr>
              <w:t>中证</w:t>
            </w:r>
            <w:r>
              <w:rPr>
                <w:szCs w:val="21"/>
              </w:rPr>
              <w:t>800</w:t>
            </w:r>
            <w:r>
              <w:rPr>
                <w:szCs w:val="21"/>
              </w:rPr>
              <w:t>相对成长指数收益率</w:t>
            </w:r>
            <w:r>
              <w:rPr>
                <w:szCs w:val="21"/>
              </w:rPr>
              <w:t>*90%+</w:t>
            </w:r>
            <w:r>
              <w:rPr>
                <w:szCs w:val="21"/>
              </w:rPr>
              <w:t>中债</w:t>
            </w:r>
            <w:r>
              <w:rPr>
                <w:szCs w:val="21"/>
              </w:rPr>
              <w:t>-</w:t>
            </w:r>
            <w:r>
              <w:rPr>
                <w:szCs w:val="21"/>
              </w:rPr>
              <w:t>国债总全价</w:t>
            </w:r>
            <w:r>
              <w:rPr>
                <w:rFonts w:hint="eastAsia"/>
                <w:szCs w:val="21"/>
              </w:rPr>
              <w:t>（</w:t>
            </w:r>
            <w:r>
              <w:rPr>
                <w:szCs w:val="21"/>
              </w:rPr>
              <w:t>1-3</w:t>
            </w:r>
            <w:r>
              <w:rPr>
                <w:szCs w:val="21"/>
              </w:rPr>
              <w:t>年</w:t>
            </w:r>
            <w:r>
              <w:rPr>
                <w:rFonts w:hint="eastAsia"/>
                <w:szCs w:val="21"/>
              </w:rPr>
              <w:t>）</w:t>
            </w:r>
            <w:r>
              <w:rPr>
                <w:szCs w:val="21"/>
              </w:rPr>
              <w:t>指数收益率</w:t>
            </w:r>
            <w:r>
              <w:rPr>
                <w:szCs w:val="21"/>
              </w:rPr>
              <w:t>*10%</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20</w:t>
            </w:r>
          </w:p>
        </w:tc>
        <w:tc>
          <w:tcPr>
            <w:tcW w:w="1836" w:type="dxa"/>
            <w:vAlign w:val="center"/>
          </w:tcPr>
          <w:p w:rsidR="00FC1DAA" w:rsidRDefault="00581B89">
            <w:pPr>
              <w:widowControl/>
              <w:jc w:val="center"/>
              <w:textAlignment w:val="center"/>
              <w:rPr>
                <w:szCs w:val="21"/>
              </w:rPr>
            </w:pPr>
            <w:r>
              <w:rPr>
                <w:szCs w:val="21"/>
              </w:rPr>
              <w:t>富国天丰强化收益债券型证券投资基金</w:t>
            </w:r>
          </w:p>
        </w:tc>
        <w:tc>
          <w:tcPr>
            <w:tcW w:w="2357" w:type="dxa"/>
            <w:vAlign w:val="center"/>
          </w:tcPr>
          <w:p w:rsidR="00FC1DAA" w:rsidRDefault="00581B89">
            <w:pPr>
              <w:widowControl/>
              <w:jc w:val="left"/>
              <w:textAlignment w:val="center"/>
              <w:rPr>
                <w:szCs w:val="21"/>
              </w:rPr>
            </w:pPr>
            <w:r>
              <w:rPr>
                <w:szCs w:val="21"/>
              </w:rPr>
              <w:t>中债综合指数</w:t>
            </w:r>
          </w:p>
        </w:tc>
        <w:tc>
          <w:tcPr>
            <w:tcW w:w="3322" w:type="dxa"/>
            <w:vAlign w:val="center"/>
          </w:tcPr>
          <w:p w:rsidR="00FC1DAA" w:rsidRDefault="00581B89">
            <w:pPr>
              <w:widowControl/>
              <w:jc w:val="left"/>
              <w:textAlignment w:val="center"/>
              <w:rPr>
                <w:szCs w:val="21"/>
              </w:rPr>
            </w:pPr>
            <w:r>
              <w:rPr>
                <w:szCs w:val="21"/>
              </w:rPr>
              <w:t>中债</w:t>
            </w:r>
            <w:r>
              <w:rPr>
                <w:szCs w:val="21"/>
              </w:rPr>
              <w:t>-0-10</w:t>
            </w:r>
            <w:r>
              <w:rPr>
                <w:szCs w:val="21"/>
              </w:rPr>
              <w:t>年国债及政策性金融债财富</w:t>
            </w:r>
            <w:r>
              <w:rPr>
                <w:rFonts w:hint="eastAsia"/>
                <w:szCs w:val="21"/>
              </w:rPr>
              <w:t>（</w:t>
            </w:r>
            <w:r>
              <w:rPr>
                <w:szCs w:val="21"/>
              </w:rPr>
              <w:t>总值</w:t>
            </w:r>
            <w:r>
              <w:rPr>
                <w:rFonts w:hint="eastAsia"/>
                <w:szCs w:val="21"/>
              </w:rPr>
              <w:t>）</w:t>
            </w:r>
            <w:r>
              <w:rPr>
                <w:szCs w:val="21"/>
              </w:rPr>
              <w:t>指数收益率</w:t>
            </w:r>
            <w:r>
              <w:rPr>
                <w:szCs w:val="21"/>
              </w:rPr>
              <w:t>*70%+</w:t>
            </w:r>
            <w:r>
              <w:rPr>
                <w:szCs w:val="21"/>
              </w:rPr>
              <w:br/>
            </w:r>
            <w:r>
              <w:rPr>
                <w:szCs w:val="21"/>
              </w:rPr>
              <w:t>中证可转换债券指数收益率</w:t>
            </w:r>
            <w:r>
              <w:rPr>
                <w:szCs w:val="21"/>
              </w:rPr>
              <w:t>*30%</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21</w:t>
            </w:r>
          </w:p>
        </w:tc>
        <w:tc>
          <w:tcPr>
            <w:tcW w:w="1836" w:type="dxa"/>
            <w:vAlign w:val="center"/>
          </w:tcPr>
          <w:p w:rsidR="00FC1DAA" w:rsidRDefault="00581B89">
            <w:pPr>
              <w:widowControl/>
              <w:jc w:val="center"/>
              <w:textAlignment w:val="center"/>
              <w:rPr>
                <w:szCs w:val="21"/>
              </w:rPr>
            </w:pPr>
            <w:r>
              <w:rPr>
                <w:szCs w:val="21"/>
              </w:rPr>
              <w:t>富国新天锋债券型证券投资基金</w:t>
            </w:r>
            <w:r>
              <w:rPr>
                <w:rFonts w:hint="eastAsia"/>
                <w:szCs w:val="21"/>
              </w:rPr>
              <w:t>（</w:t>
            </w:r>
            <w:r>
              <w:rPr>
                <w:szCs w:val="21"/>
              </w:rPr>
              <w:t>LOF</w:t>
            </w:r>
            <w:r>
              <w:rPr>
                <w:rFonts w:hint="eastAsia"/>
                <w:szCs w:val="21"/>
              </w:rPr>
              <w:t>）</w:t>
            </w:r>
          </w:p>
        </w:tc>
        <w:tc>
          <w:tcPr>
            <w:tcW w:w="2357" w:type="dxa"/>
            <w:vAlign w:val="center"/>
          </w:tcPr>
          <w:p w:rsidR="00FC1DAA" w:rsidRDefault="00581B89">
            <w:pPr>
              <w:widowControl/>
              <w:jc w:val="left"/>
              <w:textAlignment w:val="center"/>
              <w:rPr>
                <w:szCs w:val="21"/>
              </w:rPr>
            </w:pPr>
            <w:r>
              <w:rPr>
                <w:szCs w:val="21"/>
              </w:rPr>
              <w:t>中债综合指数</w:t>
            </w:r>
            <w:r>
              <w:rPr>
                <w:rFonts w:hint="eastAsia"/>
                <w:szCs w:val="21"/>
              </w:rPr>
              <w:t>收益率</w:t>
            </w:r>
          </w:p>
        </w:tc>
        <w:tc>
          <w:tcPr>
            <w:tcW w:w="3322" w:type="dxa"/>
            <w:vAlign w:val="center"/>
          </w:tcPr>
          <w:p w:rsidR="00FC1DAA" w:rsidRDefault="00581B89">
            <w:pPr>
              <w:widowControl/>
              <w:jc w:val="left"/>
              <w:textAlignment w:val="center"/>
              <w:rPr>
                <w:szCs w:val="21"/>
              </w:rPr>
            </w:pPr>
            <w:r>
              <w:rPr>
                <w:szCs w:val="21"/>
              </w:rPr>
              <w:t>中债</w:t>
            </w:r>
            <w:r>
              <w:rPr>
                <w:szCs w:val="21"/>
              </w:rPr>
              <w:t>-</w:t>
            </w:r>
            <w:r>
              <w:rPr>
                <w:szCs w:val="21"/>
              </w:rPr>
              <w:t>高等级信用债财富（</w:t>
            </w:r>
            <w:r>
              <w:rPr>
                <w:szCs w:val="21"/>
              </w:rPr>
              <w:t>0-5</w:t>
            </w:r>
            <w:r>
              <w:rPr>
                <w:szCs w:val="21"/>
              </w:rPr>
              <w:t>年）指数收益率</w:t>
            </w:r>
            <w:r>
              <w:rPr>
                <w:szCs w:val="21"/>
              </w:rPr>
              <w:t>*60%+</w:t>
            </w:r>
            <w:r>
              <w:rPr>
                <w:szCs w:val="21"/>
              </w:rPr>
              <w:br/>
            </w:r>
            <w:r>
              <w:rPr>
                <w:szCs w:val="21"/>
              </w:rPr>
              <w:t>中债</w:t>
            </w:r>
            <w:r>
              <w:rPr>
                <w:szCs w:val="21"/>
              </w:rPr>
              <w:t>-</w:t>
            </w:r>
            <w:r>
              <w:rPr>
                <w:szCs w:val="21"/>
              </w:rPr>
              <w:t>国债及政策性银行债财富</w:t>
            </w:r>
            <w:r>
              <w:rPr>
                <w:rFonts w:hint="eastAsia"/>
                <w:szCs w:val="21"/>
              </w:rPr>
              <w:t>（</w:t>
            </w:r>
            <w:r>
              <w:rPr>
                <w:szCs w:val="21"/>
              </w:rPr>
              <w:t>总值</w:t>
            </w:r>
            <w:r>
              <w:rPr>
                <w:rFonts w:hint="eastAsia"/>
                <w:szCs w:val="21"/>
              </w:rPr>
              <w:t>）</w:t>
            </w:r>
            <w:r>
              <w:rPr>
                <w:szCs w:val="21"/>
              </w:rPr>
              <w:t>指数收益率</w:t>
            </w:r>
            <w:r>
              <w:rPr>
                <w:szCs w:val="21"/>
              </w:rPr>
              <w:t>*25%+</w:t>
            </w:r>
            <w:r>
              <w:rPr>
                <w:szCs w:val="21"/>
              </w:rPr>
              <w:t>中证可转换债券指数收益率</w:t>
            </w:r>
            <w:r>
              <w:rPr>
                <w:szCs w:val="21"/>
              </w:rPr>
              <w:t>*15%</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22</w:t>
            </w:r>
          </w:p>
        </w:tc>
        <w:tc>
          <w:tcPr>
            <w:tcW w:w="1836" w:type="dxa"/>
            <w:vAlign w:val="center"/>
          </w:tcPr>
          <w:p w:rsidR="00FC1DAA" w:rsidRDefault="00581B89">
            <w:pPr>
              <w:widowControl/>
              <w:jc w:val="center"/>
              <w:textAlignment w:val="center"/>
              <w:rPr>
                <w:szCs w:val="21"/>
              </w:rPr>
            </w:pPr>
            <w:r>
              <w:rPr>
                <w:szCs w:val="21"/>
              </w:rPr>
              <w:t>富国汇利回报两年定期开放债券型证券投资基金</w:t>
            </w:r>
          </w:p>
        </w:tc>
        <w:tc>
          <w:tcPr>
            <w:tcW w:w="2357" w:type="dxa"/>
            <w:vAlign w:val="center"/>
          </w:tcPr>
          <w:p w:rsidR="00FC1DAA" w:rsidRDefault="00581B89">
            <w:pPr>
              <w:widowControl/>
              <w:jc w:val="left"/>
              <w:textAlignment w:val="center"/>
              <w:rPr>
                <w:szCs w:val="21"/>
              </w:rPr>
            </w:pPr>
            <w:r>
              <w:rPr>
                <w:szCs w:val="21"/>
              </w:rPr>
              <w:t>中债综合指数收益率</w:t>
            </w:r>
          </w:p>
        </w:tc>
        <w:tc>
          <w:tcPr>
            <w:tcW w:w="3322" w:type="dxa"/>
            <w:vAlign w:val="center"/>
          </w:tcPr>
          <w:p w:rsidR="00FC1DAA" w:rsidRDefault="00581B89">
            <w:pPr>
              <w:widowControl/>
              <w:jc w:val="left"/>
              <w:textAlignment w:val="center"/>
              <w:rPr>
                <w:szCs w:val="21"/>
              </w:rPr>
            </w:pPr>
            <w:r>
              <w:rPr>
                <w:szCs w:val="21"/>
              </w:rPr>
              <w:t>中债</w:t>
            </w:r>
            <w:r>
              <w:rPr>
                <w:szCs w:val="21"/>
              </w:rPr>
              <w:t>-</w:t>
            </w:r>
            <w:r>
              <w:rPr>
                <w:szCs w:val="21"/>
              </w:rPr>
              <w:t>高等级信用债财富（</w:t>
            </w:r>
            <w:r>
              <w:rPr>
                <w:szCs w:val="21"/>
              </w:rPr>
              <w:t>0-5</w:t>
            </w:r>
            <w:r>
              <w:rPr>
                <w:szCs w:val="21"/>
              </w:rPr>
              <w:t>年）指数收益率</w:t>
            </w:r>
            <w:r>
              <w:rPr>
                <w:szCs w:val="21"/>
              </w:rPr>
              <w:t>*45%+</w:t>
            </w:r>
            <w:r>
              <w:rPr>
                <w:szCs w:val="21"/>
              </w:rPr>
              <w:br/>
            </w:r>
            <w:r>
              <w:rPr>
                <w:szCs w:val="21"/>
              </w:rPr>
              <w:t>中债</w:t>
            </w:r>
            <w:r>
              <w:rPr>
                <w:szCs w:val="21"/>
              </w:rPr>
              <w:t>-0-7</w:t>
            </w:r>
            <w:r>
              <w:rPr>
                <w:szCs w:val="21"/>
              </w:rPr>
              <w:t>年国债及政策性金融债财富（总值）指数收益率</w:t>
            </w:r>
            <w:r>
              <w:rPr>
                <w:szCs w:val="21"/>
              </w:rPr>
              <w:t>*40%+</w:t>
            </w:r>
            <w:r>
              <w:rPr>
                <w:szCs w:val="21"/>
              </w:rPr>
              <w:t>中证可转换债券指数收益率</w:t>
            </w:r>
            <w:r>
              <w:rPr>
                <w:szCs w:val="21"/>
              </w:rPr>
              <w:t>*15%</w:t>
            </w:r>
          </w:p>
        </w:tc>
      </w:tr>
      <w:tr w:rsidR="00FC1DAA">
        <w:trPr>
          <w:trHeight w:val="376"/>
          <w:jc w:val="center"/>
        </w:trPr>
        <w:tc>
          <w:tcPr>
            <w:tcW w:w="605" w:type="dxa"/>
            <w:vAlign w:val="center"/>
          </w:tcPr>
          <w:p w:rsidR="00FC1DAA" w:rsidRDefault="00581B89">
            <w:pPr>
              <w:pStyle w:val="af"/>
              <w:adjustRightInd w:val="0"/>
              <w:snapToGrid w:val="0"/>
              <w:ind w:firstLineChars="0" w:firstLine="0"/>
              <w:jc w:val="center"/>
              <w:rPr>
                <w:szCs w:val="21"/>
              </w:rPr>
            </w:pPr>
            <w:r>
              <w:rPr>
                <w:rFonts w:hint="eastAsia"/>
                <w:szCs w:val="21"/>
              </w:rPr>
              <w:t>23</w:t>
            </w:r>
          </w:p>
        </w:tc>
        <w:tc>
          <w:tcPr>
            <w:tcW w:w="1836" w:type="dxa"/>
            <w:vAlign w:val="center"/>
          </w:tcPr>
          <w:p w:rsidR="00FC1DAA" w:rsidRDefault="00581B89">
            <w:pPr>
              <w:pStyle w:val="af"/>
              <w:adjustRightInd w:val="0"/>
              <w:snapToGrid w:val="0"/>
              <w:ind w:firstLineChars="0" w:firstLine="0"/>
              <w:jc w:val="center"/>
              <w:rPr>
                <w:szCs w:val="21"/>
              </w:rPr>
            </w:pPr>
            <w:r>
              <w:rPr>
                <w:rFonts w:hint="eastAsia"/>
                <w:szCs w:val="21"/>
                <w:lang/>
              </w:rPr>
              <w:t>富国可转换债券证券投资基金</w:t>
            </w:r>
          </w:p>
        </w:tc>
        <w:tc>
          <w:tcPr>
            <w:tcW w:w="2357" w:type="dxa"/>
            <w:vAlign w:val="center"/>
          </w:tcPr>
          <w:p w:rsidR="00FC1DAA" w:rsidRDefault="00581B89">
            <w:pPr>
              <w:pStyle w:val="af"/>
              <w:adjustRightInd w:val="0"/>
              <w:snapToGrid w:val="0"/>
              <w:ind w:firstLineChars="0" w:firstLine="0"/>
              <w:rPr>
                <w:szCs w:val="21"/>
              </w:rPr>
            </w:pPr>
            <w:r>
              <w:rPr>
                <w:rFonts w:hint="eastAsia"/>
                <w:szCs w:val="21"/>
                <w:lang/>
              </w:rPr>
              <w:t>天相转债指数收益率</w:t>
            </w:r>
            <w:r>
              <w:rPr>
                <w:rFonts w:hint="eastAsia"/>
                <w:szCs w:val="21"/>
              </w:rPr>
              <w:t>×</w:t>
            </w:r>
            <w:r>
              <w:rPr>
                <w:rFonts w:hint="eastAsia"/>
                <w:szCs w:val="21"/>
                <w:lang/>
              </w:rPr>
              <w:t>60%+</w:t>
            </w:r>
            <w:r>
              <w:rPr>
                <w:rFonts w:hint="eastAsia"/>
                <w:szCs w:val="21"/>
                <w:lang/>
              </w:rPr>
              <w:t>沪深</w:t>
            </w:r>
            <w:r>
              <w:rPr>
                <w:rFonts w:hint="eastAsia"/>
                <w:szCs w:val="21"/>
                <w:lang/>
              </w:rPr>
              <w:t>300</w:t>
            </w:r>
            <w:r>
              <w:rPr>
                <w:rFonts w:hint="eastAsia"/>
                <w:szCs w:val="21"/>
                <w:lang/>
              </w:rPr>
              <w:t>指数收益率</w:t>
            </w:r>
            <w:r>
              <w:rPr>
                <w:rFonts w:hint="eastAsia"/>
                <w:szCs w:val="21"/>
              </w:rPr>
              <w:t>×</w:t>
            </w:r>
            <w:r>
              <w:rPr>
                <w:rFonts w:hint="eastAsia"/>
                <w:szCs w:val="21"/>
                <w:lang/>
              </w:rPr>
              <w:t>20%+</w:t>
            </w:r>
            <w:r>
              <w:rPr>
                <w:rFonts w:hint="eastAsia"/>
                <w:szCs w:val="21"/>
                <w:lang/>
              </w:rPr>
              <w:t>中债综合指数收益率</w:t>
            </w:r>
            <w:r>
              <w:rPr>
                <w:rFonts w:hint="eastAsia"/>
                <w:szCs w:val="21"/>
              </w:rPr>
              <w:t>×</w:t>
            </w:r>
            <w:r>
              <w:rPr>
                <w:rFonts w:hint="eastAsia"/>
                <w:szCs w:val="21"/>
                <w:lang/>
              </w:rPr>
              <w:t>20%</w:t>
            </w:r>
          </w:p>
        </w:tc>
        <w:tc>
          <w:tcPr>
            <w:tcW w:w="3322" w:type="dxa"/>
            <w:vAlign w:val="center"/>
          </w:tcPr>
          <w:p w:rsidR="00FC1DAA" w:rsidRDefault="00581B89">
            <w:pPr>
              <w:pStyle w:val="af"/>
              <w:adjustRightInd w:val="0"/>
              <w:snapToGrid w:val="0"/>
              <w:ind w:firstLineChars="0" w:firstLine="0"/>
              <w:rPr>
                <w:szCs w:val="21"/>
              </w:rPr>
            </w:pPr>
            <w:r>
              <w:rPr>
                <w:rFonts w:hint="eastAsia"/>
                <w:szCs w:val="21"/>
                <w:lang/>
              </w:rPr>
              <w:t>中证可转换债券指数收益率</w:t>
            </w:r>
          </w:p>
        </w:tc>
      </w:tr>
    </w:tbl>
    <w:p w:rsidR="00FC1DAA" w:rsidRDefault="00581B89">
      <w:pPr>
        <w:adjustRightInd w:val="0"/>
        <w:snapToGrid w:val="0"/>
        <w:spacing w:line="460" w:lineRule="exact"/>
        <w:ind w:firstLineChars="175" w:firstLine="420"/>
        <w:rPr>
          <w:b/>
          <w:bCs/>
          <w:sz w:val="24"/>
        </w:rPr>
      </w:pPr>
      <w:r>
        <w:rPr>
          <w:bCs/>
          <w:sz w:val="24"/>
        </w:rPr>
        <w:t>上述基金调整业绩比较基准</w:t>
      </w:r>
      <w:r>
        <w:rPr>
          <w:rFonts w:hint="eastAsia"/>
          <w:bCs/>
          <w:sz w:val="24"/>
        </w:rPr>
        <w:t>要素</w:t>
      </w:r>
      <w:r>
        <w:rPr>
          <w:bCs/>
          <w:sz w:val="24"/>
        </w:rPr>
        <w:t>的原因</w:t>
      </w:r>
      <w:r>
        <w:rPr>
          <w:rFonts w:hint="eastAsia"/>
          <w:bCs/>
          <w:sz w:val="24"/>
        </w:rPr>
        <w:t>、差异</w:t>
      </w:r>
      <w:r>
        <w:rPr>
          <w:bCs/>
          <w:sz w:val="24"/>
        </w:rPr>
        <w:t>及</w:t>
      </w:r>
      <w:r>
        <w:rPr>
          <w:rFonts w:hint="eastAsia"/>
          <w:bCs/>
          <w:sz w:val="24"/>
        </w:rPr>
        <w:t>影响</w:t>
      </w:r>
      <w:r>
        <w:rPr>
          <w:bCs/>
          <w:sz w:val="24"/>
        </w:rPr>
        <w:t>详见附件《</w:t>
      </w:r>
      <w:r>
        <w:rPr>
          <w:sz w:val="24"/>
        </w:rPr>
        <w:t>业绩比较基准调整原因及合理性说明》。</w:t>
      </w:r>
    </w:p>
    <w:p w:rsidR="00FC1DAA" w:rsidRDefault="00FC1DAA">
      <w:pPr>
        <w:pStyle w:val="af"/>
        <w:adjustRightInd w:val="0"/>
        <w:snapToGrid w:val="0"/>
        <w:spacing w:line="460" w:lineRule="exact"/>
        <w:ind w:rightChars="40" w:right="84" w:firstLine="480"/>
        <w:rPr>
          <w:kern w:val="0"/>
          <w:sz w:val="24"/>
        </w:rPr>
      </w:pPr>
    </w:p>
    <w:p w:rsidR="00FC1DAA" w:rsidRDefault="00581B89" w:rsidP="00581B89">
      <w:pPr>
        <w:pStyle w:val="af"/>
        <w:adjustRightInd w:val="0"/>
        <w:snapToGrid w:val="0"/>
        <w:spacing w:line="460" w:lineRule="exact"/>
        <w:ind w:firstLine="482"/>
        <w:rPr>
          <w:b/>
          <w:sz w:val="24"/>
        </w:rPr>
      </w:pPr>
      <w:r>
        <w:rPr>
          <w:b/>
          <w:kern w:val="0"/>
          <w:sz w:val="24"/>
        </w:rPr>
        <w:t>二、基金合同</w:t>
      </w:r>
      <w:r>
        <w:rPr>
          <w:rFonts w:hint="eastAsia"/>
          <w:b/>
          <w:kern w:val="0"/>
          <w:sz w:val="24"/>
        </w:rPr>
        <w:t>等法律文件</w:t>
      </w:r>
      <w:r>
        <w:rPr>
          <w:b/>
          <w:sz w:val="24"/>
        </w:rPr>
        <w:t>修订内容</w:t>
      </w:r>
    </w:p>
    <w:p w:rsidR="00FC1DAA" w:rsidRDefault="00581B89">
      <w:pPr>
        <w:adjustRightInd w:val="0"/>
        <w:snapToGrid w:val="0"/>
        <w:spacing w:line="460" w:lineRule="exact"/>
        <w:ind w:firstLineChars="200" w:firstLine="480"/>
        <w:rPr>
          <w:rFonts w:eastAsiaTheme="minorEastAsia"/>
          <w:sz w:val="24"/>
        </w:rPr>
      </w:pPr>
      <w:r>
        <w:rPr>
          <w:sz w:val="24"/>
        </w:rPr>
        <w:t>（一）基金合同具体修订内容包括：在</w:t>
      </w:r>
      <w:r>
        <w:rPr>
          <w:rFonts w:hint="eastAsia"/>
          <w:sz w:val="24"/>
        </w:rPr>
        <w:t>“</w:t>
      </w:r>
      <w:r>
        <w:rPr>
          <w:sz w:val="24"/>
        </w:rPr>
        <w:t>基金的投资</w:t>
      </w:r>
      <w:r>
        <w:rPr>
          <w:rFonts w:hint="eastAsia"/>
          <w:sz w:val="24"/>
        </w:rPr>
        <w:t>”</w:t>
      </w:r>
      <w:r>
        <w:rPr>
          <w:sz w:val="24"/>
        </w:rPr>
        <w:t>章节中的</w:t>
      </w:r>
      <w:r>
        <w:rPr>
          <w:rFonts w:hint="eastAsia"/>
          <w:sz w:val="24"/>
        </w:rPr>
        <w:t>“</w:t>
      </w:r>
      <w:r>
        <w:rPr>
          <w:sz w:val="24"/>
        </w:rPr>
        <w:t>业绩比较基准</w:t>
      </w:r>
      <w:r>
        <w:rPr>
          <w:rFonts w:hint="eastAsia"/>
          <w:sz w:val="24"/>
        </w:rPr>
        <w:t>”</w:t>
      </w:r>
      <w:r>
        <w:rPr>
          <w:sz w:val="24"/>
        </w:rPr>
        <w:t>部分列明基金调整后的业绩比较基准</w:t>
      </w:r>
      <w:r>
        <w:rPr>
          <w:rFonts w:hint="eastAsia"/>
          <w:sz w:val="24"/>
        </w:rPr>
        <w:t>、设定</w:t>
      </w:r>
      <w:r>
        <w:rPr>
          <w:sz w:val="24"/>
        </w:rPr>
        <w:t>原因</w:t>
      </w:r>
      <w:r>
        <w:rPr>
          <w:rFonts w:hint="eastAsia"/>
          <w:sz w:val="24"/>
        </w:rPr>
        <w:t>（</w:t>
      </w:r>
      <w:r>
        <w:rPr>
          <w:sz w:val="24"/>
        </w:rPr>
        <w:t>包括与基金产品投资目标、投资范围、投资策略、投资比例限制的匹配情况</w:t>
      </w:r>
      <w:r>
        <w:rPr>
          <w:rFonts w:hint="eastAsia"/>
          <w:sz w:val="24"/>
        </w:rPr>
        <w:t>）、</w:t>
      </w:r>
      <w:r>
        <w:rPr>
          <w:sz w:val="24"/>
        </w:rPr>
        <w:t>基准要素</w:t>
      </w:r>
      <w:r>
        <w:rPr>
          <w:rFonts w:hint="eastAsia"/>
          <w:sz w:val="24"/>
        </w:rPr>
        <w:t>相关信息（包括</w:t>
      </w:r>
      <w:r>
        <w:rPr>
          <w:sz w:val="24"/>
        </w:rPr>
        <w:t>发布机构、代码、查询途径等</w:t>
      </w:r>
      <w:r>
        <w:rPr>
          <w:rFonts w:hint="eastAsia"/>
          <w:sz w:val="24"/>
        </w:rPr>
        <w:t>）、</w:t>
      </w:r>
      <w:r>
        <w:rPr>
          <w:sz w:val="24"/>
        </w:rPr>
        <w:t>业绩比较基准的计算方法</w:t>
      </w:r>
      <w:r>
        <w:rPr>
          <w:rFonts w:hint="eastAsia"/>
          <w:sz w:val="24"/>
        </w:rPr>
        <w:t>、</w:t>
      </w:r>
      <w:r>
        <w:rPr>
          <w:sz w:val="24"/>
        </w:rPr>
        <w:t>管理投资偏离业绩比较基准的定性或定量方法</w:t>
      </w:r>
      <w:r>
        <w:rPr>
          <w:rFonts w:hint="eastAsia"/>
          <w:sz w:val="24"/>
        </w:rPr>
        <w:t>，以及</w:t>
      </w:r>
      <w:r>
        <w:rPr>
          <w:sz w:val="24"/>
        </w:rPr>
        <w:t>未来可能变更业绩比较基准的情形和程序</w:t>
      </w:r>
      <w:r>
        <w:rPr>
          <w:rFonts w:hint="eastAsia"/>
          <w:sz w:val="24"/>
        </w:rPr>
        <w:t>。</w:t>
      </w:r>
      <w:r>
        <w:rPr>
          <w:rFonts w:eastAsiaTheme="minorEastAsia"/>
          <w:sz w:val="24"/>
        </w:rPr>
        <w:t>基金管理人将</w:t>
      </w:r>
      <w:r>
        <w:rPr>
          <w:rFonts w:eastAsiaTheme="minorEastAsia" w:hint="eastAsia"/>
          <w:sz w:val="24"/>
        </w:rPr>
        <w:t>一并修订托管协议（如有），并</w:t>
      </w:r>
      <w:r>
        <w:rPr>
          <w:rFonts w:eastAsiaTheme="minorEastAsia"/>
          <w:sz w:val="24"/>
        </w:rPr>
        <w:t>更新招募说明书</w:t>
      </w:r>
      <w:r>
        <w:rPr>
          <w:rFonts w:eastAsiaTheme="minorEastAsia" w:hint="eastAsia"/>
          <w:sz w:val="24"/>
        </w:rPr>
        <w:t>、基金产品资料概要</w:t>
      </w:r>
      <w:r>
        <w:rPr>
          <w:rFonts w:eastAsiaTheme="minorEastAsia"/>
          <w:sz w:val="24"/>
        </w:rPr>
        <w:t>相关内容。</w:t>
      </w:r>
    </w:p>
    <w:p w:rsidR="00FC1DAA" w:rsidRDefault="00581B89">
      <w:pPr>
        <w:adjustRightInd w:val="0"/>
        <w:snapToGrid w:val="0"/>
        <w:spacing w:line="460" w:lineRule="exact"/>
        <w:ind w:firstLineChars="200" w:firstLine="480"/>
        <w:rPr>
          <w:sz w:val="24"/>
        </w:rPr>
      </w:pPr>
      <w:r>
        <w:rPr>
          <w:sz w:val="24"/>
        </w:rPr>
        <w:t>（二）</w:t>
      </w:r>
      <w:r>
        <w:rPr>
          <w:rFonts w:hint="eastAsia"/>
          <w:kern w:val="0"/>
          <w:sz w:val="24"/>
        </w:rPr>
        <w:t>本次修订</w:t>
      </w:r>
      <w:r>
        <w:rPr>
          <w:kern w:val="0"/>
          <w:sz w:val="24"/>
        </w:rPr>
        <w:t>对基金份额持有人利益无实质性不利影响</w:t>
      </w:r>
      <w:r>
        <w:rPr>
          <w:rFonts w:hint="eastAsia"/>
          <w:kern w:val="0"/>
          <w:sz w:val="24"/>
        </w:rPr>
        <w:t>，基金管理人已履行规定的程序，</w:t>
      </w:r>
      <w:r>
        <w:rPr>
          <w:kern w:val="0"/>
          <w:sz w:val="24"/>
        </w:rPr>
        <w:t>符</w:t>
      </w:r>
      <w:r>
        <w:rPr>
          <w:kern w:val="0"/>
          <w:sz w:val="24"/>
        </w:rPr>
        <w:t>合相关法律法规规定和基金合同约定</w:t>
      </w:r>
      <w:r>
        <w:rPr>
          <w:rFonts w:hint="eastAsia"/>
          <w:kern w:val="0"/>
          <w:sz w:val="24"/>
        </w:rPr>
        <w:t>，</w:t>
      </w:r>
      <w:r>
        <w:rPr>
          <w:sz w:val="24"/>
        </w:rPr>
        <w:t>修订后的基金合同、</w:t>
      </w:r>
      <w:r>
        <w:rPr>
          <w:rFonts w:eastAsiaTheme="minorEastAsia" w:hint="eastAsia"/>
          <w:sz w:val="24"/>
        </w:rPr>
        <w:t>托管协议（如有）、</w:t>
      </w:r>
      <w:r>
        <w:rPr>
          <w:sz w:val="24"/>
        </w:rPr>
        <w:t>招募说明书（更新）和基金产品资料概要（更新）将在</w:t>
      </w:r>
      <w:r>
        <w:rPr>
          <w:rFonts w:hint="eastAsia"/>
          <w:sz w:val="24"/>
        </w:rPr>
        <w:t>基金管理人</w:t>
      </w:r>
      <w:r>
        <w:rPr>
          <w:sz w:val="24"/>
        </w:rPr>
        <w:t>网站（</w:t>
      </w:r>
      <w:r>
        <w:rPr>
          <w:sz w:val="24"/>
        </w:rPr>
        <w:t>www.</w:t>
      </w:r>
      <w:r>
        <w:rPr>
          <w:rFonts w:hint="eastAsia"/>
          <w:sz w:val="24"/>
        </w:rPr>
        <w:t>fullgoal.com.cn</w:t>
      </w:r>
      <w:r>
        <w:rPr>
          <w:sz w:val="24"/>
        </w:rPr>
        <w:t>）和中国证监会基金电子披露网站（</w:t>
      </w:r>
      <w:r>
        <w:rPr>
          <w:sz w:val="24"/>
        </w:rPr>
        <w:t>http://eid.csrc.gov.cn/fund</w:t>
      </w:r>
      <w:r>
        <w:rPr>
          <w:sz w:val="24"/>
        </w:rPr>
        <w:t>）发布。投资者办理基金交易等相关业务前，应仔细阅读各基金的基金合同、招募说明书、基金产品资料概要、风险提示及相关业务规则和操作指南等文件。</w:t>
      </w:r>
    </w:p>
    <w:p w:rsidR="00FC1DAA" w:rsidRDefault="00FC1DAA">
      <w:pPr>
        <w:pStyle w:val="af"/>
        <w:adjustRightInd w:val="0"/>
        <w:snapToGrid w:val="0"/>
        <w:spacing w:line="460" w:lineRule="exact"/>
        <w:ind w:firstLine="480"/>
        <w:rPr>
          <w:sz w:val="24"/>
        </w:rPr>
      </w:pPr>
    </w:p>
    <w:p w:rsidR="00FC1DAA" w:rsidRDefault="00581B89">
      <w:pPr>
        <w:autoSpaceDE w:val="0"/>
        <w:autoSpaceDN w:val="0"/>
        <w:adjustRightInd w:val="0"/>
        <w:snapToGrid w:val="0"/>
        <w:spacing w:line="460" w:lineRule="exact"/>
        <w:ind w:firstLineChars="200" w:firstLine="482"/>
        <w:rPr>
          <w:b/>
          <w:sz w:val="24"/>
        </w:rPr>
      </w:pPr>
      <w:r>
        <w:rPr>
          <w:b/>
          <w:sz w:val="24"/>
        </w:rPr>
        <w:t>三、上述基金修订后的基金合同</w:t>
      </w:r>
      <w:r>
        <w:rPr>
          <w:rFonts w:hint="eastAsia"/>
          <w:b/>
          <w:sz w:val="24"/>
        </w:rPr>
        <w:t>、托管协议（如有）</w:t>
      </w:r>
      <w:r>
        <w:rPr>
          <w:b/>
          <w:sz w:val="24"/>
        </w:rPr>
        <w:t>自</w:t>
      </w:r>
      <w:r>
        <w:rPr>
          <w:b/>
          <w:sz w:val="24"/>
        </w:rPr>
        <w:t>202</w:t>
      </w:r>
      <w:r>
        <w:rPr>
          <w:rFonts w:hint="eastAsia"/>
          <w:b/>
          <w:sz w:val="24"/>
        </w:rPr>
        <w:t>6</w:t>
      </w:r>
      <w:r>
        <w:rPr>
          <w:b/>
          <w:sz w:val="24"/>
        </w:rPr>
        <w:t>年</w:t>
      </w:r>
      <w:r>
        <w:rPr>
          <w:rFonts w:hint="eastAsia"/>
          <w:b/>
          <w:sz w:val="24"/>
        </w:rPr>
        <w:t>6</w:t>
      </w:r>
      <w:r>
        <w:rPr>
          <w:b/>
          <w:sz w:val="24"/>
        </w:rPr>
        <w:t>月</w:t>
      </w:r>
      <w:r>
        <w:rPr>
          <w:rFonts w:hint="eastAsia"/>
          <w:b/>
          <w:sz w:val="24"/>
        </w:rPr>
        <w:t>1</w:t>
      </w:r>
      <w:r>
        <w:rPr>
          <w:b/>
          <w:sz w:val="24"/>
        </w:rPr>
        <w:t>日起生效。</w:t>
      </w:r>
    </w:p>
    <w:p w:rsidR="00FC1DAA" w:rsidRDefault="00FC1DAA">
      <w:pPr>
        <w:autoSpaceDE w:val="0"/>
        <w:autoSpaceDN w:val="0"/>
        <w:adjustRightInd w:val="0"/>
        <w:snapToGrid w:val="0"/>
        <w:spacing w:line="460" w:lineRule="exact"/>
        <w:ind w:firstLineChars="200" w:firstLine="482"/>
        <w:rPr>
          <w:b/>
          <w:sz w:val="24"/>
        </w:rPr>
      </w:pPr>
    </w:p>
    <w:p w:rsidR="00FC1DAA" w:rsidRDefault="00581B89" w:rsidP="00581B89">
      <w:pPr>
        <w:pStyle w:val="af"/>
        <w:adjustRightInd w:val="0"/>
        <w:snapToGrid w:val="0"/>
        <w:spacing w:line="460" w:lineRule="exact"/>
        <w:ind w:firstLine="482"/>
        <w:rPr>
          <w:b/>
          <w:sz w:val="24"/>
        </w:rPr>
      </w:pPr>
      <w:r>
        <w:rPr>
          <w:b/>
          <w:sz w:val="24"/>
        </w:rPr>
        <w:t>四、其他事项</w:t>
      </w:r>
    </w:p>
    <w:p w:rsidR="00FC1DAA" w:rsidRDefault="00581B89">
      <w:pPr>
        <w:pStyle w:val="af"/>
        <w:adjustRightInd w:val="0"/>
        <w:snapToGrid w:val="0"/>
        <w:spacing w:line="460" w:lineRule="exact"/>
        <w:ind w:rightChars="40" w:right="84" w:firstLine="480"/>
        <w:rPr>
          <w:sz w:val="24"/>
        </w:rPr>
      </w:pPr>
      <w:r>
        <w:rPr>
          <w:rFonts w:hint="eastAsia"/>
          <w:sz w:val="24"/>
        </w:rPr>
        <w:t>（一）</w:t>
      </w:r>
      <w:r>
        <w:rPr>
          <w:sz w:val="24"/>
        </w:rPr>
        <w:t>投资者可通过以下途径咨询有关详情</w:t>
      </w:r>
    </w:p>
    <w:p w:rsidR="00FC1DAA" w:rsidRDefault="00581B89">
      <w:pPr>
        <w:pStyle w:val="af"/>
        <w:adjustRightInd w:val="0"/>
        <w:snapToGrid w:val="0"/>
        <w:spacing w:line="460" w:lineRule="exact"/>
        <w:ind w:rightChars="40" w:right="84" w:firstLine="480"/>
        <w:rPr>
          <w:sz w:val="24"/>
        </w:rPr>
      </w:pPr>
      <w:r>
        <w:rPr>
          <w:sz w:val="24"/>
        </w:rPr>
        <w:t>客户服务电话：</w:t>
      </w:r>
      <w:r>
        <w:rPr>
          <w:rFonts w:hint="eastAsia"/>
          <w:sz w:val="24"/>
        </w:rPr>
        <w:t>400-888-0688</w:t>
      </w:r>
    </w:p>
    <w:p w:rsidR="00FC1DAA" w:rsidRDefault="00581B89">
      <w:pPr>
        <w:pStyle w:val="af"/>
        <w:adjustRightInd w:val="0"/>
        <w:snapToGrid w:val="0"/>
        <w:spacing w:line="460" w:lineRule="exact"/>
        <w:ind w:rightChars="40" w:right="84" w:firstLine="480"/>
        <w:rPr>
          <w:sz w:val="24"/>
        </w:rPr>
      </w:pPr>
      <w:r>
        <w:rPr>
          <w:sz w:val="24"/>
        </w:rPr>
        <w:t>网址：</w:t>
      </w:r>
      <w:r>
        <w:rPr>
          <w:rFonts w:hint="eastAsia"/>
          <w:sz w:val="24"/>
        </w:rPr>
        <w:t>www.fullgoal.com.cn</w:t>
      </w:r>
    </w:p>
    <w:p w:rsidR="00FC1DAA" w:rsidRDefault="00581B89">
      <w:pPr>
        <w:pStyle w:val="af"/>
        <w:adjustRightInd w:val="0"/>
        <w:snapToGrid w:val="0"/>
        <w:spacing w:line="460" w:lineRule="exact"/>
        <w:ind w:rightChars="40" w:right="84" w:firstLine="480"/>
        <w:rPr>
          <w:sz w:val="24"/>
        </w:rPr>
      </w:pPr>
      <w:r>
        <w:rPr>
          <w:rFonts w:hint="eastAsia"/>
          <w:sz w:val="24"/>
        </w:rPr>
        <w:t>（二）</w:t>
      </w:r>
      <w:r>
        <w:rPr>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w:t>
      </w:r>
      <w:r>
        <w:rPr>
          <w:sz w:val="24"/>
        </w:rPr>
        <w:t>能力、投资期限和投资目标，对基金投资作出独立决策，选择合适的基金产品。基金管理人提醒投资者基金投资的</w:t>
      </w:r>
      <w:r>
        <w:rPr>
          <w:sz w:val="24"/>
        </w:rPr>
        <w:t>“</w:t>
      </w:r>
      <w:r>
        <w:rPr>
          <w:sz w:val="24"/>
        </w:rPr>
        <w:t>买者自负</w:t>
      </w:r>
      <w:r>
        <w:rPr>
          <w:sz w:val="24"/>
        </w:rPr>
        <w:t>”</w:t>
      </w:r>
      <w:r>
        <w:rPr>
          <w:sz w:val="24"/>
        </w:rPr>
        <w:t>原则，在投资者作出投资决策后，基金运营状况与基金净值变化引致的投资风险，由投资者自行负责。</w:t>
      </w:r>
    </w:p>
    <w:p w:rsidR="00FC1DAA" w:rsidRDefault="00FC1DAA">
      <w:pPr>
        <w:pStyle w:val="af"/>
        <w:adjustRightInd w:val="0"/>
        <w:snapToGrid w:val="0"/>
        <w:spacing w:line="460" w:lineRule="exact"/>
        <w:ind w:rightChars="40" w:right="84"/>
      </w:pPr>
    </w:p>
    <w:p w:rsidR="00FC1DAA" w:rsidRDefault="00581B89">
      <w:pPr>
        <w:adjustRightInd w:val="0"/>
        <w:snapToGrid w:val="0"/>
        <w:spacing w:line="460" w:lineRule="exact"/>
        <w:ind w:firstLineChars="175" w:firstLine="420"/>
        <w:rPr>
          <w:sz w:val="24"/>
        </w:rPr>
      </w:pPr>
      <w:r>
        <w:rPr>
          <w:sz w:val="24"/>
        </w:rPr>
        <w:t>特此公告。</w:t>
      </w:r>
    </w:p>
    <w:p w:rsidR="00FC1DAA" w:rsidRDefault="00581B89">
      <w:pPr>
        <w:adjustRightInd w:val="0"/>
        <w:snapToGrid w:val="0"/>
        <w:spacing w:line="460" w:lineRule="exact"/>
        <w:ind w:firstLineChars="1450" w:firstLine="3480"/>
        <w:jc w:val="right"/>
        <w:rPr>
          <w:sz w:val="24"/>
        </w:rPr>
      </w:pPr>
      <w:r>
        <w:rPr>
          <w:rFonts w:hint="eastAsia"/>
          <w:sz w:val="24"/>
        </w:rPr>
        <w:t>富国</w:t>
      </w:r>
      <w:r>
        <w:rPr>
          <w:sz w:val="24"/>
        </w:rPr>
        <w:t>基金管理有限公司</w:t>
      </w:r>
    </w:p>
    <w:p w:rsidR="00FC1DAA" w:rsidRDefault="00581B89">
      <w:pPr>
        <w:pStyle w:val="af"/>
        <w:adjustRightInd w:val="0"/>
        <w:snapToGrid w:val="0"/>
        <w:spacing w:line="460" w:lineRule="exact"/>
        <w:ind w:right="240" w:firstLineChars="1500" w:firstLine="3600"/>
        <w:jc w:val="right"/>
        <w:rPr>
          <w:sz w:val="24"/>
        </w:rPr>
      </w:pPr>
      <w:r>
        <w:rPr>
          <w:sz w:val="24"/>
        </w:rPr>
        <w:t>202</w:t>
      </w:r>
      <w:r>
        <w:rPr>
          <w:rFonts w:hint="eastAsia"/>
          <w:sz w:val="24"/>
        </w:rPr>
        <w:t>6</w:t>
      </w:r>
      <w:r>
        <w:rPr>
          <w:sz w:val="24"/>
        </w:rPr>
        <w:t>年</w:t>
      </w:r>
      <w:r>
        <w:rPr>
          <w:rFonts w:hint="eastAsia"/>
          <w:sz w:val="24"/>
        </w:rPr>
        <w:t>5</w:t>
      </w:r>
      <w:r>
        <w:rPr>
          <w:sz w:val="24"/>
        </w:rPr>
        <w:t>月</w:t>
      </w:r>
      <w:r>
        <w:rPr>
          <w:rFonts w:hint="eastAsia"/>
          <w:sz w:val="24"/>
        </w:rPr>
        <w:t>1</w:t>
      </w:r>
      <w:r>
        <w:rPr>
          <w:sz w:val="24"/>
        </w:rPr>
        <w:t>日</w:t>
      </w:r>
      <w:bookmarkEnd w:id="0"/>
      <w:bookmarkEnd w:id="1"/>
      <w:bookmarkEnd w:id="2"/>
      <w:bookmarkEnd w:id="3"/>
    </w:p>
    <w:p w:rsidR="00FC1DAA" w:rsidRDefault="00FC1DAA">
      <w:pPr>
        <w:pStyle w:val="af"/>
        <w:adjustRightInd w:val="0"/>
        <w:snapToGrid w:val="0"/>
        <w:spacing w:line="460" w:lineRule="exact"/>
        <w:ind w:right="240" w:firstLineChars="0" w:firstLine="0"/>
        <w:rPr>
          <w:sz w:val="24"/>
        </w:rPr>
      </w:pPr>
    </w:p>
    <w:p w:rsidR="00FC1DAA" w:rsidRDefault="00581B89">
      <w:pPr>
        <w:adjustRightInd w:val="0"/>
        <w:snapToGrid w:val="0"/>
        <w:spacing w:line="460" w:lineRule="exact"/>
        <w:ind w:right="240" w:firstLine="480"/>
        <w:jc w:val="left"/>
        <w:rPr>
          <w:b/>
          <w:sz w:val="24"/>
        </w:rPr>
      </w:pPr>
      <w:r>
        <w:rPr>
          <w:rFonts w:hint="eastAsia"/>
          <w:b/>
          <w:sz w:val="24"/>
        </w:rPr>
        <w:t>附：业绩比较基准调整原因及合理性说明</w:t>
      </w:r>
    </w:p>
    <w:p w:rsidR="00FC1DAA" w:rsidRDefault="00581B89">
      <w:pPr>
        <w:adjustRightInd w:val="0"/>
        <w:snapToGrid w:val="0"/>
        <w:spacing w:line="460" w:lineRule="exact"/>
        <w:ind w:right="240" w:firstLine="480"/>
        <w:jc w:val="center"/>
        <w:rPr>
          <w:b/>
          <w:sz w:val="24"/>
        </w:rPr>
      </w:pPr>
      <w:r>
        <w:rPr>
          <w:rFonts w:hint="eastAsia"/>
          <w:b/>
          <w:sz w:val="24"/>
        </w:rPr>
        <w:t>业绩比较基准调整原因及合理性说明</w:t>
      </w:r>
      <w:bookmarkStart w:id="4" w:name="_GoBack"/>
      <w:bookmarkEnd w:id="4"/>
    </w:p>
    <w:p w:rsidR="00FC1DAA" w:rsidRDefault="00581B89">
      <w:pPr>
        <w:adjustRightInd w:val="0"/>
        <w:snapToGrid w:val="0"/>
        <w:spacing w:line="460" w:lineRule="exact"/>
        <w:ind w:right="240" w:firstLine="480"/>
        <w:jc w:val="left"/>
        <w:rPr>
          <w:b/>
          <w:sz w:val="24"/>
        </w:rPr>
      </w:pPr>
      <w:r>
        <w:rPr>
          <w:rFonts w:hint="eastAsia"/>
          <w:b/>
          <w:sz w:val="24"/>
        </w:rPr>
        <w:t>1</w:t>
      </w:r>
      <w:r>
        <w:rPr>
          <w:rFonts w:hint="eastAsia"/>
          <w:b/>
          <w:sz w:val="24"/>
        </w:rPr>
        <w:t>、富国港股通量化精选股票型证券投资基金</w:t>
      </w:r>
    </w:p>
    <w:p w:rsidR="00FC1DAA" w:rsidRDefault="00581B89">
      <w:pPr>
        <w:adjustRightInd w:val="0"/>
        <w:snapToGrid w:val="0"/>
        <w:spacing w:line="460" w:lineRule="exact"/>
        <w:ind w:right="240" w:firstLine="480"/>
        <w:rPr>
          <w:bCs/>
          <w:sz w:val="24"/>
        </w:rPr>
      </w:pPr>
      <w:r>
        <w:rPr>
          <w:rFonts w:hint="eastAsia"/>
          <w:bCs/>
          <w:sz w:val="24"/>
        </w:rPr>
        <w:t>（</w:t>
      </w:r>
      <w:r>
        <w:rPr>
          <w:rFonts w:hint="eastAsia"/>
          <w:bCs/>
          <w:sz w:val="24"/>
        </w:rPr>
        <w:t>1</w:t>
      </w:r>
      <w:r>
        <w:rPr>
          <w:rFonts w:hint="eastAsia"/>
          <w:bCs/>
          <w:sz w:val="24"/>
        </w:rPr>
        <w:t>）调整业绩比较基准的要素权重：根据过往仓位情况，将基准中的股票资产的基准要素权重从</w:t>
      </w:r>
      <w:r>
        <w:rPr>
          <w:rFonts w:hint="eastAsia"/>
          <w:bCs/>
          <w:sz w:val="24"/>
        </w:rPr>
        <w:t>95%</w:t>
      </w:r>
      <w:r>
        <w:rPr>
          <w:rFonts w:hint="eastAsia"/>
          <w:bCs/>
          <w:sz w:val="24"/>
        </w:rPr>
        <w:t>降低到</w:t>
      </w:r>
      <w:r>
        <w:rPr>
          <w:rFonts w:hint="eastAsia"/>
          <w:bCs/>
          <w:sz w:val="24"/>
        </w:rPr>
        <w:t>90%</w:t>
      </w:r>
      <w:r>
        <w:rPr>
          <w:rFonts w:hint="eastAsia"/>
          <w:bCs/>
          <w:sz w:val="24"/>
        </w:rPr>
        <w:t>，将基准中的债券资产的基准要素权重从</w:t>
      </w:r>
      <w:r>
        <w:rPr>
          <w:rFonts w:hint="eastAsia"/>
          <w:bCs/>
          <w:sz w:val="24"/>
        </w:rPr>
        <w:t>0%</w:t>
      </w:r>
      <w:r>
        <w:rPr>
          <w:rFonts w:hint="eastAsia"/>
          <w:bCs/>
          <w:sz w:val="24"/>
        </w:rPr>
        <w:t>提高到</w:t>
      </w:r>
      <w:r>
        <w:rPr>
          <w:rFonts w:hint="eastAsia"/>
          <w:bCs/>
          <w:sz w:val="24"/>
        </w:rPr>
        <w:t>5%</w:t>
      </w:r>
      <w:r>
        <w:rPr>
          <w:rFonts w:hint="eastAsia"/>
          <w:bCs/>
          <w:sz w:val="24"/>
        </w:rPr>
        <w:t>。</w:t>
      </w:r>
    </w:p>
    <w:p w:rsidR="00FC1DAA" w:rsidRDefault="00581B89">
      <w:pPr>
        <w:adjustRightInd w:val="0"/>
        <w:snapToGrid w:val="0"/>
        <w:spacing w:line="460" w:lineRule="exact"/>
        <w:ind w:right="240" w:firstLine="480"/>
        <w:rPr>
          <w:bCs/>
          <w:sz w:val="24"/>
        </w:rPr>
      </w:pPr>
      <w:r>
        <w:rPr>
          <w:rFonts w:hint="eastAsia"/>
          <w:bCs/>
          <w:sz w:val="24"/>
        </w:rPr>
        <w:t>（</w:t>
      </w:r>
      <w:r>
        <w:rPr>
          <w:rFonts w:hint="eastAsia"/>
          <w:bCs/>
          <w:sz w:val="24"/>
        </w:rPr>
        <w:t>2</w:t>
      </w:r>
      <w:r>
        <w:rPr>
          <w:rFonts w:hint="eastAsia"/>
          <w:bCs/>
          <w:sz w:val="24"/>
        </w:rPr>
        <w:t>）更换业绩比较基准要素：在基准指数的选取方面，港股通标的股票部分的指数由恒生综合指数调整为恒生港股通指数，并新增中债</w:t>
      </w:r>
      <w:r>
        <w:rPr>
          <w:rFonts w:hint="eastAsia"/>
          <w:bCs/>
          <w:sz w:val="24"/>
        </w:rPr>
        <w:t>-</w:t>
      </w:r>
      <w:r>
        <w:rPr>
          <w:rFonts w:hint="eastAsia"/>
          <w:bCs/>
          <w:sz w:val="24"/>
        </w:rPr>
        <w:t>国债总全价</w:t>
      </w:r>
      <w:r>
        <w:rPr>
          <w:rFonts w:hint="eastAsia"/>
          <w:bCs/>
          <w:sz w:val="24"/>
        </w:rPr>
        <w:t>（</w:t>
      </w:r>
      <w:r>
        <w:rPr>
          <w:rFonts w:hint="eastAsia"/>
          <w:bCs/>
          <w:sz w:val="24"/>
        </w:rPr>
        <w:t>1-3</w:t>
      </w:r>
      <w:r>
        <w:rPr>
          <w:rFonts w:hint="eastAsia"/>
          <w:bCs/>
          <w:sz w:val="24"/>
        </w:rPr>
        <w:t>年</w:t>
      </w:r>
      <w:r>
        <w:rPr>
          <w:rFonts w:hint="eastAsia"/>
          <w:bCs/>
          <w:sz w:val="24"/>
        </w:rPr>
        <w:t>）</w:t>
      </w:r>
      <w:r>
        <w:rPr>
          <w:rFonts w:hint="eastAsia"/>
          <w:bCs/>
          <w:sz w:val="24"/>
        </w:rPr>
        <w:t>指数作为债券部分的业绩比较基准。</w:t>
      </w:r>
    </w:p>
    <w:p w:rsidR="00FC1DAA" w:rsidRDefault="00581B89">
      <w:pPr>
        <w:adjustRightInd w:val="0"/>
        <w:snapToGrid w:val="0"/>
        <w:spacing w:line="460" w:lineRule="exact"/>
        <w:ind w:right="240" w:firstLine="480"/>
        <w:rPr>
          <w:bCs/>
          <w:sz w:val="24"/>
        </w:rPr>
      </w:pPr>
      <w:r>
        <w:rPr>
          <w:rFonts w:hint="eastAsia"/>
          <w:bCs/>
          <w:sz w:val="24"/>
        </w:rPr>
        <w:t>在投资范围方面，结合富国港股通量化精选股票型证券投资基金的投资范围以及预期投资的主要资产类别，本基金投资于港股通标的股票投资比例不低于非现金基金资产的</w:t>
      </w:r>
      <w:r>
        <w:rPr>
          <w:rFonts w:hint="eastAsia"/>
          <w:bCs/>
          <w:sz w:val="24"/>
        </w:rPr>
        <w:t>80%</w:t>
      </w:r>
      <w:r>
        <w:rPr>
          <w:rFonts w:hint="eastAsia"/>
          <w:bCs/>
          <w:sz w:val="24"/>
        </w:rPr>
        <w:t>，选用恒生港股通指数</w:t>
      </w:r>
      <w:r>
        <w:rPr>
          <w:rFonts w:hint="eastAsia"/>
          <w:bCs/>
          <w:sz w:val="24"/>
        </w:rPr>
        <w:t>作为业绩比较基准，更符合基金合同约定的投资范围。</w:t>
      </w:r>
    </w:p>
    <w:p w:rsidR="00FC1DAA" w:rsidRDefault="00581B89">
      <w:pPr>
        <w:adjustRightInd w:val="0"/>
        <w:snapToGrid w:val="0"/>
        <w:spacing w:line="460" w:lineRule="exact"/>
        <w:ind w:right="240" w:firstLine="480"/>
        <w:rPr>
          <w:bCs/>
          <w:sz w:val="24"/>
        </w:rPr>
      </w:pPr>
      <w:r>
        <w:rPr>
          <w:rFonts w:hint="eastAsia"/>
          <w:bCs/>
          <w:sz w:val="24"/>
        </w:rPr>
        <w:t>在债券指数的选取方面，</w:t>
      </w:r>
      <w:r>
        <w:rPr>
          <w:rFonts w:hint="eastAsia"/>
          <w:bCs/>
          <w:sz w:val="24"/>
          <w:lang/>
        </w:rPr>
        <w:t>根据过往债券配置情况，</w:t>
      </w:r>
      <w:r>
        <w:rPr>
          <w:rFonts w:hint="eastAsia"/>
          <w:bCs/>
          <w:sz w:val="24"/>
        </w:rPr>
        <w:t>富国港股通量化精选股票型证券投资基金整体组合久期以中短久期为主，中债</w:t>
      </w:r>
      <w:r>
        <w:rPr>
          <w:rFonts w:hint="eastAsia"/>
          <w:bCs/>
          <w:sz w:val="24"/>
        </w:rPr>
        <w:t>-</w:t>
      </w:r>
      <w:r>
        <w:rPr>
          <w:rFonts w:hint="eastAsia"/>
          <w:bCs/>
          <w:sz w:val="24"/>
        </w:rPr>
        <w:t>国债总全价</w:t>
      </w:r>
      <w:r>
        <w:rPr>
          <w:rFonts w:hint="eastAsia"/>
          <w:bCs/>
          <w:sz w:val="24"/>
        </w:rPr>
        <w:t>（</w:t>
      </w:r>
      <w:r>
        <w:rPr>
          <w:rFonts w:hint="eastAsia"/>
          <w:bCs/>
          <w:sz w:val="24"/>
        </w:rPr>
        <w:t>1-3</w:t>
      </w:r>
      <w:r>
        <w:rPr>
          <w:rFonts w:hint="eastAsia"/>
          <w:bCs/>
          <w:sz w:val="24"/>
        </w:rPr>
        <w:t>年</w:t>
      </w:r>
      <w:r>
        <w:rPr>
          <w:rFonts w:hint="eastAsia"/>
          <w:bCs/>
          <w:sz w:val="24"/>
        </w:rPr>
        <w:t>）</w:t>
      </w:r>
      <w:r>
        <w:rPr>
          <w:rFonts w:hint="eastAsia"/>
          <w:bCs/>
          <w:sz w:val="24"/>
        </w:rPr>
        <w:t>指数与基金实际运作的久期较为贴合。</w:t>
      </w:r>
    </w:p>
    <w:p w:rsidR="00FC1DAA" w:rsidRDefault="00581B89">
      <w:pPr>
        <w:adjustRightInd w:val="0"/>
        <w:snapToGrid w:val="0"/>
        <w:spacing w:line="460" w:lineRule="exact"/>
        <w:ind w:right="240" w:firstLine="480"/>
        <w:rPr>
          <w:bCs/>
          <w:sz w:val="24"/>
        </w:rPr>
      </w:pPr>
      <w:r>
        <w:rPr>
          <w:rFonts w:hint="eastAsia"/>
          <w:bCs/>
          <w:sz w:val="24"/>
        </w:rPr>
        <w:t>基于以上情况，该产品的业绩比较基准的调整主要由于现有业绩比较基准与实际投资范围、资产配置比例等不匹配，调整</w:t>
      </w:r>
      <w:r>
        <w:rPr>
          <w:rFonts w:hint="eastAsia"/>
          <w:bCs/>
          <w:sz w:val="24"/>
        </w:rPr>
        <w:t>后的</w:t>
      </w:r>
      <w:r>
        <w:rPr>
          <w:rFonts w:hint="eastAsia"/>
          <w:bCs/>
          <w:sz w:val="24"/>
        </w:rPr>
        <w:t>业绩比较基准与实际产品定位更为契合，不会对产品投资运作、持有人利益产生实质性不利影响。</w:t>
      </w:r>
    </w:p>
    <w:p w:rsidR="00FC1DAA" w:rsidRDefault="00581B89">
      <w:pPr>
        <w:adjustRightInd w:val="0"/>
        <w:snapToGrid w:val="0"/>
        <w:spacing w:line="460" w:lineRule="exact"/>
        <w:ind w:right="240" w:firstLine="480"/>
        <w:jc w:val="left"/>
        <w:rPr>
          <w:b/>
          <w:sz w:val="24"/>
        </w:rPr>
      </w:pPr>
      <w:r>
        <w:rPr>
          <w:rFonts w:hint="eastAsia"/>
          <w:b/>
          <w:sz w:val="24"/>
        </w:rPr>
        <w:t>2</w:t>
      </w:r>
      <w:r>
        <w:rPr>
          <w:rFonts w:hint="eastAsia"/>
          <w:b/>
          <w:sz w:val="24"/>
        </w:rPr>
        <w:t>、富国全球科技互联网股票型证券投资基金（</w:t>
      </w:r>
      <w:r>
        <w:rPr>
          <w:rFonts w:hint="eastAsia"/>
          <w:b/>
          <w:sz w:val="24"/>
        </w:rPr>
        <w:t>QDII</w:t>
      </w:r>
      <w:r>
        <w:rPr>
          <w:rFonts w:hint="eastAsia"/>
          <w:b/>
          <w:sz w:val="24"/>
        </w:rPr>
        <w:t>）</w:t>
      </w:r>
    </w:p>
    <w:p w:rsidR="00FC1DAA" w:rsidRDefault="00581B89">
      <w:pPr>
        <w:adjustRightInd w:val="0"/>
        <w:snapToGrid w:val="0"/>
        <w:spacing w:line="460" w:lineRule="exact"/>
        <w:ind w:right="240" w:firstLine="480"/>
        <w:rPr>
          <w:bCs/>
          <w:sz w:val="24"/>
        </w:rPr>
      </w:pPr>
      <w:r>
        <w:rPr>
          <w:rFonts w:hint="eastAsia"/>
          <w:bCs/>
          <w:sz w:val="24"/>
        </w:rPr>
        <w:t>（</w:t>
      </w:r>
      <w:r>
        <w:rPr>
          <w:rFonts w:hint="eastAsia"/>
          <w:bCs/>
          <w:sz w:val="24"/>
        </w:rPr>
        <w:t>1</w:t>
      </w:r>
      <w:r>
        <w:rPr>
          <w:rFonts w:hint="eastAsia"/>
          <w:bCs/>
          <w:sz w:val="24"/>
        </w:rPr>
        <w:t>）调整业绩比较基准的要素权重：根据</w:t>
      </w:r>
      <w:r>
        <w:rPr>
          <w:rFonts w:hint="eastAsia"/>
          <w:bCs/>
          <w:sz w:val="24"/>
        </w:rPr>
        <w:t>过往仓位情况，将基准中的境外股票与</w:t>
      </w:r>
      <w:r>
        <w:rPr>
          <w:rFonts w:hint="eastAsia"/>
          <w:bCs/>
          <w:sz w:val="24"/>
        </w:rPr>
        <w:t>A</w:t>
      </w:r>
      <w:r>
        <w:rPr>
          <w:rFonts w:hint="eastAsia"/>
          <w:bCs/>
          <w:sz w:val="24"/>
        </w:rPr>
        <w:t>股股票所对应的基准要素权重分别由</w:t>
      </w:r>
      <w:r>
        <w:rPr>
          <w:rFonts w:hint="eastAsia"/>
          <w:bCs/>
          <w:sz w:val="24"/>
        </w:rPr>
        <w:t>80%</w:t>
      </w:r>
      <w:r>
        <w:rPr>
          <w:rFonts w:hint="eastAsia"/>
          <w:bCs/>
          <w:sz w:val="24"/>
        </w:rPr>
        <w:t>和</w:t>
      </w:r>
      <w:r>
        <w:rPr>
          <w:rFonts w:hint="eastAsia"/>
          <w:bCs/>
          <w:sz w:val="24"/>
        </w:rPr>
        <w:t>10%</w:t>
      </w:r>
      <w:r>
        <w:rPr>
          <w:rFonts w:hint="eastAsia"/>
          <w:bCs/>
          <w:sz w:val="24"/>
        </w:rPr>
        <w:t>调整为</w:t>
      </w:r>
      <w:r>
        <w:rPr>
          <w:rFonts w:hint="eastAsia"/>
          <w:bCs/>
          <w:sz w:val="24"/>
        </w:rPr>
        <w:t>85%</w:t>
      </w:r>
      <w:r>
        <w:rPr>
          <w:rFonts w:hint="eastAsia"/>
          <w:bCs/>
          <w:sz w:val="24"/>
        </w:rPr>
        <w:t>和</w:t>
      </w:r>
      <w:r>
        <w:rPr>
          <w:rFonts w:hint="eastAsia"/>
          <w:bCs/>
          <w:sz w:val="24"/>
        </w:rPr>
        <w:t>5%</w:t>
      </w:r>
      <w:r>
        <w:rPr>
          <w:rFonts w:hint="eastAsia"/>
          <w:bCs/>
          <w:sz w:val="24"/>
        </w:rPr>
        <w:t>，与投资比例中要求</w:t>
      </w:r>
      <w:r>
        <w:rPr>
          <w:rFonts w:hint="eastAsia"/>
          <w:bCs/>
          <w:sz w:val="24"/>
        </w:rPr>
        <w:t>投资于</w:t>
      </w:r>
      <w:r>
        <w:rPr>
          <w:rFonts w:hint="eastAsia"/>
          <w:bCs/>
          <w:sz w:val="24"/>
        </w:rPr>
        <w:t>境外市场资产的比例不低于基金资产</w:t>
      </w:r>
      <w:r>
        <w:rPr>
          <w:rFonts w:hint="eastAsia"/>
          <w:bCs/>
          <w:sz w:val="24"/>
        </w:rPr>
        <w:t>80%</w:t>
      </w:r>
      <w:r>
        <w:rPr>
          <w:rFonts w:hint="eastAsia"/>
          <w:bCs/>
          <w:sz w:val="24"/>
        </w:rPr>
        <w:t>的规定较为</w:t>
      </w:r>
      <w:r>
        <w:rPr>
          <w:rFonts w:hint="eastAsia"/>
          <w:bCs/>
          <w:sz w:val="24"/>
        </w:rPr>
        <w:t>一致。</w:t>
      </w:r>
    </w:p>
    <w:p w:rsidR="00FC1DAA" w:rsidRDefault="00581B89">
      <w:pPr>
        <w:adjustRightInd w:val="0"/>
        <w:snapToGrid w:val="0"/>
        <w:spacing w:line="460" w:lineRule="exact"/>
        <w:ind w:right="240" w:firstLine="480"/>
        <w:rPr>
          <w:bCs/>
          <w:sz w:val="24"/>
        </w:rPr>
      </w:pPr>
      <w:r>
        <w:rPr>
          <w:rFonts w:hint="eastAsia"/>
          <w:bCs/>
          <w:sz w:val="24"/>
        </w:rPr>
        <w:t>（</w:t>
      </w:r>
      <w:r>
        <w:rPr>
          <w:rFonts w:hint="eastAsia"/>
          <w:bCs/>
          <w:sz w:val="24"/>
        </w:rPr>
        <w:t>2</w:t>
      </w:r>
      <w:r>
        <w:rPr>
          <w:rFonts w:hint="eastAsia"/>
          <w:bCs/>
          <w:sz w:val="24"/>
        </w:rPr>
        <w:t>）更换业绩比较基准要素：在基准指数的选取方面，新增纳斯达克</w:t>
      </w:r>
      <w:r>
        <w:rPr>
          <w:rFonts w:hint="eastAsia"/>
          <w:bCs/>
          <w:sz w:val="24"/>
        </w:rPr>
        <w:t>100</w:t>
      </w:r>
      <w:r>
        <w:rPr>
          <w:rFonts w:hint="eastAsia"/>
          <w:bCs/>
          <w:sz w:val="24"/>
        </w:rPr>
        <w:t>指数（</w:t>
      </w:r>
      <w:r>
        <w:rPr>
          <w:rFonts w:hint="eastAsia"/>
          <w:bCs/>
          <w:sz w:val="24"/>
        </w:rPr>
        <w:t>NASDAQ 100 Index</w:t>
      </w:r>
      <w:r>
        <w:rPr>
          <w:rFonts w:hint="eastAsia"/>
          <w:bCs/>
          <w:sz w:val="24"/>
        </w:rPr>
        <w:t>）作为美股股票部分的业绩比较基准，债券部分的指数由中债综合全价指数调整为中债</w:t>
      </w:r>
      <w:r>
        <w:rPr>
          <w:rFonts w:hint="eastAsia"/>
          <w:bCs/>
          <w:sz w:val="24"/>
        </w:rPr>
        <w:t>-</w:t>
      </w:r>
      <w:r>
        <w:rPr>
          <w:rFonts w:hint="eastAsia"/>
          <w:bCs/>
          <w:sz w:val="24"/>
        </w:rPr>
        <w:t>国债总全价</w:t>
      </w:r>
      <w:r>
        <w:rPr>
          <w:rFonts w:hint="eastAsia"/>
          <w:bCs/>
          <w:sz w:val="24"/>
        </w:rPr>
        <w:t>（</w:t>
      </w:r>
      <w:r>
        <w:rPr>
          <w:rFonts w:hint="eastAsia"/>
          <w:bCs/>
          <w:sz w:val="24"/>
        </w:rPr>
        <w:t>1-3</w:t>
      </w:r>
      <w:r>
        <w:rPr>
          <w:rFonts w:hint="eastAsia"/>
          <w:bCs/>
          <w:sz w:val="24"/>
        </w:rPr>
        <w:t>年</w:t>
      </w:r>
      <w:r>
        <w:rPr>
          <w:rFonts w:hint="eastAsia"/>
          <w:bCs/>
          <w:sz w:val="24"/>
        </w:rPr>
        <w:t>）</w:t>
      </w:r>
      <w:r>
        <w:rPr>
          <w:rFonts w:hint="eastAsia"/>
          <w:bCs/>
          <w:sz w:val="24"/>
        </w:rPr>
        <w:t>指数。</w:t>
      </w:r>
    </w:p>
    <w:p w:rsidR="00FC1DAA" w:rsidRDefault="00581B89">
      <w:pPr>
        <w:adjustRightInd w:val="0"/>
        <w:snapToGrid w:val="0"/>
        <w:spacing w:line="460" w:lineRule="exact"/>
        <w:ind w:right="240" w:firstLine="480"/>
        <w:rPr>
          <w:bCs/>
          <w:sz w:val="24"/>
        </w:rPr>
      </w:pPr>
      <w:r>
        <w:rPr>
          <w:rFonts w:hint="eastAsia"/>
          <w:bCs/>
          <w:sz w:val="24"/>
        </w:rPr>
        <w:t>在主题界定方面，根据富国全球科技互联网股票型证券投资基金（</w:t>
      </w:r>
      <w:r>
        <w:rPr>
          <w:rFonts w:hint="eastAsia"/>
          <w:bCs/>
          <w:sz w:val="24"/>
        </w:rPr>
        <w:t>QDII</w:t>
      </w:r>
      <w:r>
        <w:rPr>
          <w:rFonts w:hint="eastAsia"/>
          <w:bCs/>
          <w:sz w:val="24"/>
        </w:rPr>
        <w:t>）的投资界定，本基金的股票资产主要投向全球科技互联网主题相关股票，纳斯达克</w:t>
      </w:r>
      <w:r>
        <w:rPr>
          <w:rFonts w:hint="eastAsia"/>
          <w:bCs/>
          <w:sz w:val="24"/>
        </w:rPr>
        <w:t>100</w:t>
      </w:r>
      <w:r>
        <w:rPr>
          <w:rFonts w:hint="eastAsia"/>
          <w:bCs/>
          <w:sz w:val="24"/>
        </w:rPr>
        <w:t>指数（</w:t>
      </w:r>
      <w:r>
        <w:rPr>
          <w:rFonts w:hint="eastAsia"/>
          <w:bCs/>
          <w:sz w:val="24"/>
        </w:rPr>
        <w:t>NASDAQ 100 Index</w:t>
      </w:r>
      <w:r>
        <w:rPr>
          <w:rFonts w:hint="eastAsia"/>
          <w:bCs/>
          <w:sz w:val="24"/>
        </w:rPr>
        <w:t>）涵盖计算机硬件与软件、电信、零售</w:t>
      </w:r>
      <w:r>
        <w:rPr>
          <w:rFonts w:hint="eastAsia"/>
          <w:bCs/>
          <w:sz w:val="24"/>
        </w:rPr>
        <w:t>/</w:t>
      </w:r>
      <w:r>
        <w:rPr>
          <w:rFonts w:hint="eastAsia"/>
          <w:bCs/>
          <w:sz w:val="24"/>
        </w:rPr>
        <w:t>批发贸易及生物技术等主要行业领域的企业，属于代表性较强的美股科技指数，与主题界定契合。</w:t>
      </w:r>
    </w:p>
    <w:p w:rsidR="00FC1DAA" w:rsidRDefault="00581B89">
      <w:pPr>
        <w:adjustRightInd w:val="0"/>
        <w:snapToGrid w:val="0"/>
        <w:spacing w:line="460" w:lineRule="exact"/>
        <w:ind w:right="240" w:firstLine="480"/>
        <w:rPr>
          <w:bCs/>
          <w:sz w:val="24"/>
        </w:rPr>
      </w:pPr>
      <w:r>
        <w:rPr>
          <w:rFonts w:hint="eastAsia"/>
          <w:bCs/>
          <w:sz w:val="24"/>
        </w:rPr>
        <w:t>在债券指数的选取方面，</w:t>
      </w:r>
      <w:r>
        <w:rPr>
          <w:rFonts w:hint="eastAsia"/>
          <w:bCs/>
          <w:sz w:val="24"/>
          <w:lang/>
        </w:rPr>
        <w:t>根据过往债券配置情况，</w:t>
      </w:r>
      <w:r>
        <w:rPr>
          <w:rFonts w:hint="eastAsia"/>
          <w:bCs/>
          <w:sz w:val="24"/>
        </w:rPr>
        <w:t>富国全球科技互联网股票型证券投资基金（</w:t>
      </w:r>
      <w:r>
        <w:rPr>
          <w:rFonts w:hint="eastAsia"/>
          <w:bCs/>
          <w:sz w:val="24"/>
        </w:rPr>
        <w:t>QDII</w:t>
      </w:r>
      <w:r>
        <w:rPr>
          <w:rFonts w:hint="eastAsia"/>
          <w:bCs/>
          <w:sz w:val="24"/>
        </w:rPr>
        <w:t>）整体组合久期以中短久期为主，与原指数相比，中债</w:t>
      </w:r>
      <w:r>
        <w:rPr>
          <w:rFonts w:hint="eastAsia"/>
          <w:bCs/>
          <w:sz w:val="24"/>
        </w:rPr>
        <w:t>-</w:t>
      </w:r>
      <w:r>
        <w:rPr>
          <w:rFonts w:hint="eastAsia"/>
          <w:bCs/>
          <w:sz w:val="24"/>
        </w:rPr>
        <w:t>国债总全价</w:t>
      </w:r>
      <w:r>
        <w:rPr>
          <w:rFonts w:hint="eastAsia"/>
          <w:bCs/>
          <w:sz w:val="24"/>
        </w:rPr>
        <w:t>（</w:t>
      </w:r>
      <w:r>
        <w:rPr>
          <w:rFonts w:hint="eastAsia"/>
          <w:bCs/>
          <w:sz w:val="24"/>
        </w:rPr>
        <w:t>1-3</w:t>
      </w:r>
      <w:r>
        <w:rPr>
          <w:rFonts w:hint="eastAsia"/>
          <w:bCs/>
          <w:sz w:val="24"/>
        </w:rPr>
        <w:t>年</w:t>
      </w:r>
      <w:r>
        <w:rPr>
          <w:rFonts w:hint="eastAsia"/>
          <w:bCs/>
          <w:sz w:val="24"/>
        </w:rPr>
        <w:t>）</w:t>
      </w:r>
      <w:r>
        <w:rPr>
          <w:rFonts w:hint="eastAsia"/>
          <w:bCs/>
          <w:sz w:val="24"/>
        </w:rPr>
        <w:t>指数与基金实际运作的久期更为贴合。</w:t>
      </w:r>
    </w:p>
    <w:p w:rsidR="00FC1DAA" w:rsidRDefault="00581B89">
      <w:pPr>
        <w:adjustRightInd w:val="0"/>
        <w:snapToGrid w:val="0"/>
        <w:spacing w:line="460" w:lineRule="exact"/>
        <w:ind w:right="240" w:firstLine="480"/>
        <w:rPr>
          <w:bCs/>
          <w:sz w:val="24"/>
        </w:rPr>
      </w:pPr>
      <w:r>
        <w:rPr>
          <w:rFonts w:hint="eastAsia"/>
          <w:bCs/>
          <w:sz w:val="24"/>
        </w:rPr>
        <w:t>基于以</w:t>
      </w:r>
      <w:r>
        <w:rPr>
          <w:rFonts w:hint="eastAsia"/>
          <w:bCs/>
          <w:sz w:val="24"/>
        </w:rPr>
        <w:t>上情况，该产品的业绩比较基准的调整主要由于现有业绩比较基准与实际投资风格、资产配置比例等不匹配，调整</w:t>
      </w:r>
      <w:r>
        <w:rPr>
          <w:rFonts w:hint="eastAsia"/>
          <w:bCs/>
          <w:sz w:val="24"/>
        </w:rPr>
        <w:t>后的</w:t>
      </w:r>
      <w:r>
        <w:rPr>
          <w:rFonts w:hint="eastAsia"/>
          <w:bCs/>
          <w:sz w:val="24"/>
        </w:rPr>
        <w:t>业绩比较基准与实际产品定位更为契合，不会对产品投资运作、持有人利益产生实质性不利影响。</w:t>
      </w:r>
    </w:p>
    <w:p w:rsidR="00FC1DAA" w:rsidRDefault="00581B89">
      <w:pPr>
        <w:adjustRightInd w:val="0"/>
        <w:snapToGrid w:val="0"/>
        <w:spacing w:line="460" w:lineRule="exact"/>
        <w:ind w:right="240" w:firstLine="480"/>
        <w:rPr>
          <w:b/>
          <w:sz w:val="24"/>
        </w:rPr>
      </w:pPr>
      <w:r>
        <w:rPr>
          <w:rFonts w:hint="eastAsia"/>
          <w:b/>
          <w:sz w:val="24"/>
        </w:rPr>
        <w:t>3</w:t>
      </w:r>
      <w:r>
        <w:rPr>
          <w:rFonts w:hint="eastAsia"/>
          <w:b/>
          <w:sz w:val="24"/>
        </w:rPr>
        <w:t>、富国消费精选</w:t>
      </w:r>
      <w:r>
        <w:rPr>
          <w:rFonts w:hint="eastAsia"/>
          <w:b/>
          <w:sz w:val="24"/>
        </w:rPr>
        <w:t>30</w:t>
      </w:r>
      <w:r>
        <w:rPr>
          <w:rFonts w:hint="eastAsia"/>
          <w:b/>
          <w:sz w:val="24"/>
        </w:rPr>
        <w:t>股票型证券投资基金</w:t>
      </w:r>
    </w:p>
    <w:p w:rsidR="00FC1DAA" w:rsidRDefault="00581B89">
      <w:pPr>
        <w:adjustRightInd w:val="0"/>
        <w:snapToGrid w:val="0"/>
        <w:spacing w:line="460" w:lineRule="exact"/>
        <w:ind w:right="240" w:firstLine="480"/>
        <w:rPr>
          <w:bCs/>
          <w:sz w:val="24"/>
        </w:rPr>
      </w:pPr>
      <w:r>
        <w:rPr>
          <w:rFonts w:hint="eastAsia"/>
          <w:bCs/>
          <w:sz w:val="24"/>
        </w:rPr>
        <w:t>（</w:t>
      </w:r>
      <w:r>
        <w:rPr>
          <w:rFonts w:hint="eastAsia"/>
          <w:bCs/>
          <w:sz w:val="24"/>
        </w:rPr>
        <w:t>1</w:t>
      </w:r>
      <w:r>
        <w:rPr>
          <w:rFonts w:hint="eastAsia"/>
          <w:bCs/>
          <w:sz w:val="24"/>
        </w:rPr>
        <w:t>）调整业绩比较基准的要素权重：根据过往仓位情况，将基准中的股票资产的基准要素权重从</w:t>
      </w:r>
      <w:r>
        <w:rPr>
          <w:rFonts w:hint="eastAsia"/>
          <w:bCs/>
          <w:sz w:val="24"/>
        </w:rPr>
        <w:t>85%</w:t>
      </w:r>
      <w:r>
        <w:rPr>
          <w:rFonts w:hint="eastAsia"/>
          <w:bCs/>
          <w:sz w:val="24"/>
        </w:rPr>
        <w:t>提高到</w:t>
      </w:r>
      <w:r>
        <w:rPr>
          <w:rFonts w:hint="eastAsia"/>
          <w:bCs/>
          <w:sz w:val="24"/>
        </w:rPr>
        <w:t>90%</w:t>
      </w:r>
      <w:r>
        <w:rPr>
          <w:rFonts w:hint="eastAsia"/>
          <w:bCs/>
          <w:sz w:val="24"/>
        </w:rPr>
        <w:t>，将基准中的债券资产的基准要素权重从</w:t>
      </w:r>
      <w:r>
        <w:rPr>
          <w:rFonts w:hint="eastAsia"/>
          <w:bCs/>
          <w:sz w:val="24"/>
        </w:rPr>
        <w:t>15%</w:t>
      </w:r>
      <w:r>
        <w:rPr>
          <w:rFonts w:hint="eastAsia"/>
          <w:bCs/>
          <w:sz w:val="24"/>
        </w:rPr>
        <w:t>降低到</w:t>
      </w:r>
      <w:r>
        <w:rPr>
          <w:rFonts w:hint="eastAsia"/>
          <w:bCs/>
          <w:sz w:val="24"/>
        </w:rPr>
        <w:t>10%</w:t>
      </w:r>
      <w:r>
        <w:rPr>
          <w:rFonts w:hint="eastAsia"/>
          <w:bCs/>
          <w:sz w:val="24"/>
        </w:rPr>
        <w:t>。其中，将股票资产中的</w:t>
      </w:r>
      <w:r>
        <w:rPr>
          <w:rFonts w:hint="eastAsia"/>
          <w:bCs/>
          <w:sz w:val="24"/>
        </w:rPr>
        <w:t>A</w:t>
      </w:r>
      <w:r>
        <w:rPr>
          <w:rFonts w:hint="eastAsia"/>
          <w:bCs/>
          <w:sz w:val="24"/>
        </w:rPr>
        <w:t>股股票的基准要素权重从</w:t>
      </w:r>
      <w:r>
        <w:rPr>
          <w:rFonts w:hint="eastAsia"/>
          <w:bCs/>
          <w:sz w:val="24"/>
        </w:rPr>
        <w:t>65%</w:t>
      </w:r>
      <w:r>
        <w:rPr>
          <w:rFonts w:hint="eastAsia"/>
          <w:bCs/>
          <w:sz w:val="24"/>
        </w:rPr>
        <w:t>提高到</w:t>
      </w:r>
      <w:r>
        <w:rPr>
          <w:rFonts w:hint="eastAsia"/>
          <w:bCs/>
          <w:sz w:val="24"/>
        </w:rPr>
        <w:t>75%</w:t>
      </w:r>
      <w:r>
        <w:rPr>
          <w:rFonts w:hint="eastAsia"/>
          <w:bCs/>
          <w:sz w:val="24"/>
        </w:rPr>
        <w:t>，港股通标的股票的基准要素权重从</w:t>
      </w:r>
      <w:r>
        <w:rPr>
          <w:rFonts w:hint="eastAsia"/>
          <w:bCs/>
          <w:sz w:val="24"/>
        </w:rPr>
        <w:t>20%</w:t>
      </w:r>
      <w:r>
        <w:rPr>
          <w:rFonts w:hint="eastAsia"/>
          <w:bCs/>
          <w:sz w:val="24"/>
        </w:rPr>
        <w:t>降低到</w:t>
      </w:r>
      <w:r>
        <w:rPr>
          <w:rFonts w:hint="eastAsia"/>
          <w:bCs/>
          <w:sz w:val="24"/>
        </w:rPr>
        <w:t>15%</w:t>
      </w:r>
      <w:r>
        <w:rPr>
          <w:rFonts w:hint="eastAsia"/>
          <w:bCs/>
          <w:sz w:val="24"/>
        </w:rPr>
        <w:t>。</w:t>
      </w:r>
    </w:p>
    <w:p w:rsidR="00FC1DAA" w:rsidRDefault="00581B89">
      <w:pPr>
        <w:adjustRightInd w:val="0"/>
        <w:snapToGrid w:val="0"/>
        <w:spacing w:line="460" w:lineRule="exact"/>
        <w:ind w:right="240" w:firstLine="480"/>
        <w:rPr>
          <w:bCs/>
          <w:sz w:val="24"/>
        </w:rPr>
      </w:pPr>
      <w:r>
        <w:rPr>
          <w:rFonts w:hint="eastAsia"/>
          <w:bCs/>
          <w:sz w:val="24"/>
        </w:rPr>
        <w:t>（</w:t>
      </w:r>
      <w:r>
        <w:rPr>
          <w:rFonts w:hint="eastAsia"/>
          <w:bCs/>
          <w:sz w:val="24"/>
        </w:rPr>
        <w:t>2</w:t>
      </w:r>
      <w:r>
        <w:rPr>
          <w:rFonts w:hint="eastAsia"/>
          <w:bCs/>
          <w:sz w:val="24"/>
        </w:rPr>
        <w:t>）更换业绩比较基准要素：在基准指数的选取方面，</w:t>
      </w:r>
      <w:r>
        <w:rPr>
          <w:rFonts w:hint="eastAsia"/>
          <w:bCs/>
          <w:sz w:val="24"/>
        </w:rPr>
        <w:t>A</w:t>
      </w:r>
      <w:r>
        <w:rPr>
          <w:rFonts w:hint="eastAsia"/>
          <w:bCs/>
          <w:sz w:val="24"/>
        </w:rPr>
        <w:t>股股票部分的指数由中证消费服务领先指数调整为中证内地消费主题指数，港股通标的股票部分的指数保持为中证港股通大消费主题指数（港元），债券部分的指数由中债综合全价指数调整为中债</w:t>
      </w:r>
      <w:r>
        <w:rPr>
          <w:rFonts w:hint="eastAsia"/>
          <w:bCs/>
          <w:sz w:val="24"/>
        </w:rPr>
        <w:t>-</w:t>
      </w:r>
      <w:r>
        <w:rPr>
          <w:rFonts w:hint="eastAsia"/>
          <w:bCs/>
          <w:sz w:val="24"/>
        </w:rPr>
        <w:t>国债总全价</w:t>
      </w:r>
      <w:r>
        <w:rPr>
          <w:rFonts w:hint="eastAsia"/>
          <w:bCs/>
          <w:sz w:val="24"/>
        </w:rPr>
        <w:t>（</w:t>
      </w:r>
      <w:r>
        <w:rPr>
          <w:rFonts w:hint="eastAsia"/>
          <w:bCs/>
          <w:sz w:val="24"/>
        </w:rPr>
        <w:t>1-3</w:t>
      </w:r>
      <w:r>
        <w:rPr>
          <w:rFonts w:hint="eastAsia"/>
          <w:bCs/>
          <w:sz w:val="24"/>
        </w:rPr>
        <w:t>年</w:t>
      </w:r>
      <w:r>
        <w:rPr>
          <w:rFonts w:hint="eastAsia"/>
          <w:bCs/>
          <w:sz w:val="24"/>
        </w:rPr>
        <w:t>）</w:t>
      </w:r>
      <w:r>
        <w:rPr>
          <w:rFonts w:hint="eastAsia"/>
          <w:bCs/>
          <w:sz w:val="24"/>
        </w:rPr>
        <w:t>指数。</w:t>
      </w:r>
    </w:p>
    <w:p w:rsidR="00FC1DAA" w:rsidRDefault="00581B89">
      <w:pPr>
        <w:adjustRightInd w:val="0"/>
        <w:snapToGrid w:val="0"/>
        <w:spacing w:line="460" w:lineRule="exact"/>
        <w:ind w:right="240" w:firstLine="480"/>
        <w:rPr>
          <w:bCs/>
          <w:sz w:val="24"/>
        </w:rPr>
      </w:pPr>
      <w:r>
        <w:rPr>
          <w:rFonts w:hint="eastAsia"/>
          <w:bCs/>
          <w:sz w:val="24"/>
        </w:rPr>
        <w:t>在主题界定方面，根据富国消费精选</w:t>
      </w:r>
      <w:r>
        <w:rPr>
          <w:rFonts w:hint="eastAsia"/>
          <w:bCs/>
          <w:sz w:val="24"/>
        </w:rPr>
        <w:t>30</w:t>
      </w:r>
      <w:r>
        <w:rPr>
          <w:rFonts w:hint="eastAsia"/>
          <w:bCs/>
          <w:sz w:val="24"/>
        </w:rPr>
        <w:t>股票型证券投资基金的投资界定，本基金将以主要消费、可选消费行业为主营业务或贡献主要利润的上市公司股票定义为消费精选主题股票，中证消费服务领先指数主要包括食品饮料、金融保险、医药生物等多个领域，中证内地消费主题指数主要包括</w:t>
      </w:r>
      <w:r>
        <w:rPr>
          <w:rFonts w:hint="eastAsia"/>
          <w:bCs/>
          <w:sz w:val="24"/>
        </w:rPr>
        <w:t>可选消费行业和主要消费行业，与主题界定契合。</w:t>
      </w:r>
    </w:p>
    <w:p w:rsidR="00FC1DAA" w:rsidRDefault="00581B89">
      <w:pPr>
        <w:adjustRightInd w:val="0"/>
        <w:snapToGrid w:val="0"/>
        <w:spacing w:line="460" w:lineRule="exact"/>
        <w:ind w:right="240" w:firstLine="480"/>
        <w:rPr>
          <w:bCs/>
          <w:sz w:val="24"/>
        </w:rPr>
      </w:pPr>
      <w:r>
        <w:rPr>
          <w:rFonts w:hint="eastAsia"/>
          <w:bCs/>
          <w:sz w:val="24"/>
        </w:rPr>
        <w:t>在行业分布方面，富国消费精选</w:t>
      </w:r>
      <w:r>
        <w:rPr>
          <w:rFonts w:hint="eastAsia"/>
          <w:bCs/>
          <w:sz w:val="24"/>
        </w:rPr>
        <w:t>30</w:t>
      </w:r>
      <w:r>
        <w:rPr>
          <w:rFonts w:hint="eastAsia"/>
          <w:bCs/>
          <w:sz w:val="24"/>
        </w:rPr>
        <w:t>股票型证券投资基金的历史持仓情况与中证内地消费主题指数更为贴合。</w:t>
      </w:r>
    </w:p>
    <w:p w:rsidR="00FC1DAA" w:rsidRDefault="00581B89">
      <w:pPr>
        <w:adjustRightInd w:val="0"/>
        <w:snapToGrid w:val="0"/>
        <w:spacing w:line="460" w:lineRule="exact"/>
        <w:ind w:right="240" w:firstLine="480"/>
        <w:rPr>
          <w:bCs/>
          <w:sz w:val="24"/>
        </w:rPr>
      </w:pPr>
      <w:r>
        <w:rPr>
          <w:rFonts w:hint="eastAsia"/>
          <w:bCs/>
          <w:sz w:val="24"/>
        </w:rPr>
        <w:t>在债券指数的选取方面，</w:t>
      </w:r>
      <w:r>
        <w:rPr>
          <w:rFonts w:hint="eastAsia"/>
          <w:bCs/>
          <w:sz w:val="24"/>
          <w:lang/>
        </w:rPr>
        <w:t>根据过往债券配置情况，</w:t>
      </w:r>
      <w:r>
        <w:rPr>
          <w:rFonts w:hint="eastAsia"/>
          <w:bCs/>
          <w:sz w:val="24"/>
        </w:rPr>
        <w:t>富国消费精选</w:t>
      </w:r>
      <w:r>
        <w:rPr>
          <w:rFonts w:hint="eastAsia"/>
          <w:bCs/>
          <w:sz w:val="24"/>
        </w:rPr>
        <w:t>30</w:t>
      </w:r>
      <w:r>
        <w:rPr>
          <w:rFonts w:hint="eastAsia"/>
          <w:bCs/>
          <w:sz w:val="24"/>
        </w:rPr>
        <w:t>股票型证券投资基金整体组合久期以中短久期为主，与原指数相比，中债</w:t>
      </w:r>
      <w:r>
        <w:rPr>
          <w:rFonts w:hint="eastAsia"/>
          <w:bCs/>
          <w:sz w:val="24"/>
        </w:rPr>
        <w:t>-</w:t>
      </w:r>
      <w:r>
        <w:rPr>
          <w:rFonts w:hint="eastAsia"/>
          <w:bCs/>
          <w:sz w:val="24"/>
        </w:rPr>
        <w:t>国债总全价</w:t>
      </w:r>
      <w:r>
        <w:rPr>
          <w:rFonts w:hint="eastAsia"/>
          <w:bCs/>
          <w:sz w:val="24"/>
        </w:rPr>
        <w:t>（</w:t>
      </w:r>
      <w:r>
        <w:rPr>
          <w:rFonts w:hint="eastAsia"/>
          <w:bCs/>
          <w:sz w:val="24"/>
        </w:rPr>
        <w:t>1-3</w:t>
      </w:r>
      <w:r>
        <w:rPr>
          <w:rFonts w:hint="eastAsia"/>
          <w:bCs/>
          <w:sz w:val="24"/>
        </w:rPr>
        <w:t>年</w:t>
      </w:r>
      <w:r>
        <w:rPr>
          <w:rFonts w:hint="eastAsia"/>
          <w:bCs/>
          <w:sz w:val="24"/>
        </w:rPr>
        <w:t>）</w:t>
      </w:r>
      <w:r>
        <w:rPr>
          <w:rFonts w:hint="eastAsia"/>
          <w:bCs/>
          <w:sz w:val="24"/>
        </w:rPr>
        <w:t>指数与基金实际运作的久期更为贴合。</w:t>
      </w:r>
    </w:p>
    <w:p w:rsidR="00FC1DAA" w:rsidRDefault="00581B89">
      <w:pPr>
        <w:adjustRightInd w:val="0"/>
        <w:snapToGrid w:val="0"/>
        <w:spacing w:line="460" w:lineRule="exact"/>
        <w:ind w:right="240" w:firstLine="480"/>
        <w:rPr>
          <w:bCs/>
          <w:sz w:val="24"/>
        </w:rPr>
      </w:pPr>
      <w:r>
        <w:rPr>
          <w:rFonts w:hint="eastAsia"/>
          <w:bCs/>
          <w:sz w:val="24"/>
        </w:rPr>
        <w:t>基于以上情况，该产品的业绩比较基准的调整主要由于现有业绩比较基准与实际投资风格、资产配置比例等不匹配，调整</w:t>
      </w:r>
      <w:r>
        <w:rPr>
          <w:rFonts w:hint="eastAsia"/>
          <w:bCs/>
          <w:sz w:val="24"/>
        </w:rPr>
        <w:t>后的</w:t>
      </w:r>
      <w:r>
        <w:rPr>
          <w:rFonts w:hint="eastAsia"/>
          <w:bCs/>
          <w:sz w:val="24"/>
        </w:rPr>
        <w:t>业绩比较基准与实际产品定位更为契合，不会对产品投资运作、持有人利益产生实质</w:t>
      </w:r>
      <w:r>
        <w:rPr>
          <w:rFonts w:hint="eastAsia"/>
          <w:bCs/>
          <w:sz w:val="24"/>
        </w:rPr>
        <w:t>性不利影响。</w:t>
      </w:r>
    </w:p>
    <w:p w:rsidR="00FC1DAA" w:rsidRDefault="00581B89">
      <w:pPr>
        <w:adjustRightInd w:val="0"/>
        <w:snapToGrid w:val="0"/>
        <w:spacing w:line="460" w:lineRule="exact"/>
        <w:ind w:right="240" w:firstLine="480"/>
        <w:rPr>
          <w:b/>
          <w:sz w:val="24"/>
        </w:rPr>
      </w:pPr>
      <w:r>
        <w:rPr>
          <w:rFonts w:hint="eastAsia"/>
          <w:b/>
          <w:sz w:val="24"/>
        </w:rPr>
        <w:t>4</w:t>
      </w:r>
      <w:r>
        <w:rPr>
          <w:rFonts w:hint="eastAsia"/>
          <w:b/>
          <w:sz w:val="24"/>
        </w:rPr>
        <w:t>、富国精准医疗灵活配置混合型证券投资基金</w:t>
      </w:r>
    </w:p>
    <w:p w:rsidR="00FC1DAA" w:rsidRDefault="00581B89">
      <w:pPr>
        <w:adjustRightInd w:val="0"/>
        <w:snapToGrid w:val="0"/>
        <w:spacing w:line="460" w:lineRule="exact"/>
        <w:ind w:right="240" w:firstLine="480"/>
        <w:rPr>
          <w:bCs/>
          <w:sz w:val="24"/>
        </w:rPr>
      </w:pPr>
      <w:r>
        <w:rPr>
          <w:rFonts w:hint="eastAsia"/>
          <w:bCs/>
          <w:sz w:val="24"/>
        </w:rPr>
        <w:t>（</w:t>
      </w:r>
      <w:r>
        <w:rPr>
          <w:rFonts w:hint="eastAsia"/>
          <w:bCs/>
          <w:sz w:val="24"/>
        </w:rPr>
        <w:t>1</w:t>
      </w:r>
      <w:r>
        <w:rPr>
          <w:rFonts w:hint="eastAsia"/>
          <w:bCs/>
          <w:sz w:val="24"/>
        </w:rPr>
        <w:t>）调整业绩比较基准的要素权重：根据过往仓位情况，将基准中的股票资产的基准要素权重从</w:t>
      </w:r>
      <w:r>
        <w:rPr>
          <w:rFonts w:hint="eastAsia"/>
          <w:bCs/>
          <w:sz w:val="24"/>
        </w:rPr>
        <w:t>50%</w:t>
      </w:r>
      <w:r>
        <w:rPr>
          <w:rFonts w:hint="eastAsia"/>
          <w:bCs/>
          <w:sz w:val="24"/>
        </w:rPr>
        <w:t>提高到</w:t>
      </w:r>
      <w:r>
        <w:rPr>
          <w:rFonts w:hint="eastAsia"/>
          <w:bCs/>
          <w:sz w:val="24"/>
        </w:rPr>
        <w:t>90%</w:t>
      </w:r>
      <w:r>
        <w:rPr>
          <w:rFonts w:hint="eastAsia"/>
          <w:bCs/>
          <w:sz w:val="24"/>
        </w:rPr>
        <w:t>，将基准中的债券资产的基准要素权重从</w:t>
      </w:r>
      <w:r>
        <w:rPr>
          <w:rFonts w:hint="eastAsia"/>
          <w:bCs/>
          <w:sz w:val="24"/>
        </w:rPr>
        <w:t>50%</w:t>
      </w:r>
      <w:r>
        <w:rPr>
          <w:rFonts w:hint="eastAsia"/>
          <w:bCs/>
          <w:sz w:val="24"/>
        </w:rPr>
        <w:t>降低到</w:t>
      </w:r>
      <w:r>
        <w:rPr>
          <w:rFonts w:hint="eastAsia"/>
          <w:bCs/>
          <w:sz w:val="24"/>
        </w:rPr>
        <w:t>10%</w:t>
      </w:r>
      <w:r>
        <w:rPr>
          <w:rFonts w:hint="eastAsia"/>
          <w:bCs/>
          <w:sz w:val="24"/>
        </w:rPr>
        <w:t>。</w:t>
      </w:r>
    </w:p>
    <w:p w:rsidR="00FC1DAA" w:rsidRDefault="00581B89">
      <w:pPr>
        <w:adjustRightInd w:val="0"/>
        <w:snapToGrid w:val="0"/>
        <w:spacing w:line="460" w:lineRule="exact"/>
        <w:ind w:right="240" w:firstLine="480"/>
        <w:rPr>
          <w:bCs/>
          <w:sz w:val="24"/>
        </w:rPr>
      </w:pPr>
      <w:r>
        <w:rPr>
          <w:rFonts w:hint="eastAsia"/>
          <w:bCs/>
          <w:sz w:val="24"/>
        </w:rPr>
        <w:t>（</w:t>
      </w:r>
      <w:r>
        <w:rPr>
          <w:rFonts w:hint="eastAsia"/>
          <w:bCs/>
          <w:sz w:val="24"/>
        </w:rPr>
        <w:t>2</w:t>
      </w:r>
      <w:r>
        <w:rPr>
          <w:rFonts w:hint="eastAsia"/>
          <w:bCs/>
          <w:sz w:val="24"/>
        </w:rPr>
        <w:t>）更换业绩比较基准要素：在基准指数的选取方面，</w:t>
      </w:r>
      <w:r>
        <w:rPr>
          <w:rFonts w:hint="eastAsia"/>
          <w:bCs/>
          <w:sz w:val="24"/>
        </w:rPr>
        <w:t>A</w:t>
      </w:r>
      <w:r>
        <w:rPr>
          <w:rFonts w:hint="eastAsia"/>
          <w:bCs/>
          <w:sz w:val="24"/>
        </w:rPr>
        <w:t>股股票部分的指数由中证精准医疗主题指数调整为中证医药卫生指数，债券部分的指数由中债综合全价指数调整为中债</w:t>
      </w:r>
      <w:r>
        <w:rPr>
          <w:rFonts w:hint="eastAsia"/>
          <w:bCs/>
          <w:sz w:val="24"/>
        </w:rPr>
        <w:t>-</w:t>
      </w:r>
      <w:r>
        <w:rPr>
          <w:rFonts w:hint="eastAsia"/>
          <w:bCs/>
          <w:sz w:val="24"/>
        </w:rPr>
        <w:t>国债总全价</w:t>
      </w:r>
      <w:r>
        <w:rPr>
          <w:rFonts w:hint="eastAsia"/>
          <w:bCs/>
          <w:sz w:val="24"/>
        </w:rPr>
        <w:t>（</w:t>
      </w:r>
      <w:r>
        <w:rPr>
          <w:rFonts w:hint="eastAsia"/>
          <w:bCs/>
          <w:sz w:val="24"/>
        </w:rPr>
        <w:t>1-3</w:t>
      </w:r>
      <w:r>
        <w:rPr>
          <w:rFonts w:hint="eastAsia"/>
          <w:bCs/>
          <w:sz w:val="24"/>
        </w:rPr>
        <w:t>年</w:t>
      </w:r>
      <w:r>
        <w:rPr>
          <w:rFonts w:hint="eastAsia"/>
          <w:bCs/>
          <w:sz w:val="24"/>
        </w:rPr>
        <w:t>）</w:t>
      </w:r>
      <w:r>
        <w:rPr>
          <w:rFonts w:hint="eastAsia"/>
          <w:bCs/>
          <w:sz w:val="24"/>
        </w:rPr>
        <w:t>指数。</w:t>
      </w:r>
    </w:p>
    <w:p w:rsidR="00FC1DAA" w:rsidRDefault="00581B89">
      <w:pPr>
        <w:adjustRightInd w:val="0"/>
        <w:snapToGrid w:val="0"/>
        <w:spacing w:line="460" w:lineRule="exact"/>
        <w:ind w:right="240" w:firstLine="480"/>
        <w:rPr>
          <w:bCs/>
          <w:sz w:val="24"/>
        </w:rPr>
      </w:pPr>
      <w:r>
        <w:rPr>
          <w:rFonts w:hint="eastAsia"/>
          <w:bCs/>
          <w:sz w:val="24"/>
        </w:rPr>
        <w:t>在主题界定方面，根据富国精准医疗灵活配置混合型证券投资基金的投资界定，本基金将以从事精准医疗领域业务的公</w:t>
      </w:r>
      <w:r>
        <w:rPr>
          <w:rFonts w:hint="eastAsia"/>
          <w:bCs/>
          <w:sz w:val="24"/>
        </w:rPr>
        <w:t>司股票以及有潜力成为以精准医疗领域作为公司重要收入或利润来源或增长点的公司股票定义为精准医疗主题股票，中证医药卫生指数由中证</w:t>
      </w:r>
      <w:r>
        <w:rPr>
          <w:rFonts w:hint="eastAsia"/>
          <w:bCs/>
          <w:sz w:val="24"/>
        </w:rPr>
        <w:t>800</w:t>
      </w:r>
      <w:r>
        <w:rPr>
          <w:rFonts w:hint="eastAsia"/>
          <w:bCs/>
          <w:sz w:val="24"/>
        </w:rPr>
        <w:t>指数样本股中的全部医药卫生行业成份股编制而成，综合反映了</w:t>
      </w:r>
      <w:r>
        <w:rPr>
          <w:rFonts w:hint="eastAsia"/>
          <w:bCs/>
          <w:sz w:val="24"/>
        </w:rPr>
        <w:t>A</w:t>
      </w:r>
      <w:r>
        <w:rPr>
          <w:rFonts w:hint="eastAsia"/>
          <w:bCs/>
          <w:sz w:val="24"/>
        </w:rPr>
        <w:t>股市场的医药卫生行业整体表现，与主题界定契合。此外，中证医药卫生指数在业绩比较基准要素库的一类库中，相对于原来的基准要素市场表征性更强、认可度更高。</w:t>
      </w:r>
    </w:p>
    <w:p w:rsidR="00FC1DAA" w:rsidRDefault="00581B89">
      <w:pPr>
        <w:adjustRightInd w:val="0"/>
        <w:snapToGrid w:val="0"/>
        <w:spacing w:line="460" w:lineRule="exact"/>
        <w:ind w:right="240" w:firstLine="480"/>
        <w:rPr>
          <w:bCs/>
          <w:sz w:val="24"/>
        </w:rPr>
      </w:pPr>
      <w:r>
        <w:rPr>
          <w:rFonts w:hint="eastAsia"/>
          <w:bCs/>
          <w:sz w:val="24"/>
        </w:rPr>
        <w:t>在债券指数的选取方面，</w:t>
      </w:r>
      <w:r>
        <w:rPr>
          <w:rFonts w:hint="eastAsia"/>
          <w:bCs/>
          <w:sz w:val="24"/>
          <w:lang/>
        </w:rPr>
        <w:t>根据过往债券配置情况，</w:t>
      </w:r>
      <w:r>
        <w:rPr>
          <w:rFonts w:hint="eastAsia"/>
          <w:bCs/>
          <w:sz w:val="24"/>
        </w:rPr>
        <w:t>富国精准医疗灵活配置混合型证券投资基金整体组合久期以中短久期为主，与原指数相比，中债</w:t>
      </w:r>
      <w:r>
        <w:rPr>
          <w:rFonts w:hint="eastAsia"/>
          <w:bCs/>
          <w:sz w:val="24"/>
        </w:rPr>
        <w:t>-</w:t>
      </w:r>
      <w:r>
        <w:rPr>
          <w:rFonts w:hint="eastAsia"/>
          <w:bCs/>
          <w:sz w:val="24"/>
        </w:rPr>
        <w:t>国债总全价</w:t>
      </w:r>
      <w:r>
        <w:rPr>
          <w:rFonts w:hint="eastAsia"/>
          <w:bCs/>
          <w:sz w:val="24"/>
        </w:rPr>
        <w:t>（</w:t>
      </w:r>
      <w:r>
        <w:rPr>
          <w:rFonts w:hint="eastAsia"/>
          <w:bCs/>
          <w:sz w:val="24"/>
        </w:rPr>
        <w:t>1-3</w:t>
      </w:r>
      <w:r>
        <w:rPr>
          <w:rFonts w:hint="eastAsia"/>
          <w:bCs/>
          <w:sz w:val="24"/>
        </w:rPr>
        <w:t>年</w:t>
      </w:r>
      <w:r>
        <w:rPr>
          <w:rFonts w:hint="eastAsia"/>
          <w:bCs/>
          <w:sz w:val="24"/>
        </w:rPr>
        <w:t>）</w:t>
      </w:r>
      <w:r>
        <w:rPr>
          <w:rFonts w:hint="eastAsia"/>
          <w:bCs/>
          <w:sz w:val="24"/>
        </w:rPr>
        <w:t>指数与基金实际运作的久</w:t>
      </w:r>
      <w:r>
        <w:rPr>
          <w:rFonts w:hint="eastAsia"/>
          <w:bCs/>
          <w:sz w:val="24"/>
        </w:rPr>
        <w:t>期更为贴合。</w:t>
      </w:r>
    </w:p>
    <w:p w:rsidR="00FC1DAA" w:rsidRDefault="00581B89">
      <w:pPr>
        <w:adjustRightInd w:val="0"/>
        <w:snapToGrid w:val="0"/>
        <w:spacing w:line="460" w:lineRule="exact"/>
        <w:ind w:right="240" w:firstLine="480"/>
        <w:rPr>
          <w:bCs/>
          <w:sz w:val="24"/>
        </w:rPr>
      </w:pPr>
      <w:r>
        <w:rPr>
          <w:rFonts w:hint="eastAsia"/>
          <w:bCs/>
          <w:sz w:val="24"/>
        </w:rPr>
        <w:t>基于以上情况，该产品的业绩比较基准的调整主要由于现有业绩比较基准与实际投资风格、资产配置比例等不匹配，调整</w:t>
      </w:r>
      <w:r>
        <w:rPr>
          <w:rFonts w:hint="eastAsia"/>
          <w:bCs/>
          <w:sz w:val="24"/>
        </w:rPr>
        <w:t>后的</w:t>
      </w:r>
      <w:r>
        <w:rPr>
          <w:rFonts w:hint="eastAsia"/>
          <w:bCs/>
          <w:sz w:val="24"/>
        </w:rPr>
        <w:t>业绩比较基准与实际产品定位更为契合，不会对产品投资运作、持有人利益产生实质性不利影响。</w:t>
      </w:r>
    </w:p>
    <w:p w:rsidR="00FC1DAA" w:rsidRDefault="00581B89">
      <w:pPr>
        <w:numPr>
          <w:ilvl w:val="0"/>
          <w:numId w:val="1"/>
        </w:numPr>
        <w:adjustRightInd w:val="0"/>
        <w:snapToGrid w:val="0"/>
        <w:spacing w:line="460" w:lineRule="exact"/>
        <w:ind w:right="240" w:firstLine="480"/>
        <w:rPr>
          <w:b/>
          <w:sz w:val="24"/>
        </w:rPr>
      </w:pPr>
      <w:r>
        <w:rPr>
          <w:rFonts w:hint="eastAsia"/>
          <w:b/>
          <w:sz w:val="24"/>
        </w:rPr>
        <w:t>富国生物医药科技混合型证券投资基金</w:t>
      </w:r>
    </w:p>
    <w:p w:rsidR="00FC1DAA" w:rsidRDefault="00581B89">
      <w:pPr>
        <w:numPr>
          <w:ilvl w:val="0"/>
          <w:numId w:val="2"/>
        </w:numPr>
        <w:adjustRightInd w:val="0"/>
        <w:snapToGrid w:val="0"/>
        <w:spacing w:line="460" w:lineRule="exact"/>
        <w:ind w:right="240" w:firstLine="480"/>
        <w:rPr>
          <w:bCs/>
          <w:sz w:val="24"/>
        </w:rPr>
      </w:pPr>
      <w:r>
        <w:rPr>
          <w:rFonts w:hint="eastAsia"/>
          <w:bCs/>
          <w:sz w:val="24"/>
        </w:rPr>
        <w:t>调整业绩比较基准的要素权重：根据过往仓位情况，将基准中的股票资产的基准要素权重从</w:t>
      </w:r>
      <w:r>
        <w:rPr>
          <w:rFonts w:hint="eastAsia"/>
          <w:bCs/>
          <w:sz w:val="24"/>
        </w:rPr>
        <w:t>80%</w:t>
      </w:r>
      <w:r>
        <w:rPr>
          <w:rFonts w:hint="eastAsia"/>
          <w:bCs/>
          <w:sz w:val="24"/>
        </w:rPr>
        <w:t>提高到</w:t>
      </w:r>
      <w:r>
        <w:rPr>
          <w:rFonts w:hint="eastAsia"/>
          <w:bCs/>
          <w:sz w:val="24"/>
        </w:rPr>
        <w:t>90%</w:t>
      </w:r>
      <w:r>
        <w:rPr>
          <w:rFonts w:hint="eastAsia"/>
          <w:bCs/>
          <w:sz w:val="24"/>
        </w:rPr>
        <w:t>，将基准中的债券资产的基准要素权重从</w:t>
      </w:r>
      <w:r>
        <w:rPr>
          <w:rFonts w:hint="eastAsia"/>
          <w:bCs/>
          <w:sz w:val="24"/>
        </w:rPr>
        <w:t>20%</w:t>
      </w:r>
      <w:r>
        <w:rPr>
          <w:rFonts w:hint="eastAsia"/>
          <w:bCs/>
          <w:sz w:val="24"/>
        </w:rPr>
        <w:t>降低到</w:t>
      </w:r>
      <w:r>
        <w:rPr>
          <w:rFonts w:hint="eastAsia"/>
          <w:bCs/>
          <w:sz w:val="24"/>
        </w:rPr>
        <w:t>10%</w:t>
      </w:r>
      <w:r>
        <w:rPr>
          <w:rFonts w:hint="eastAsia"/>
          <w:bCs/>
          <w:sz w:val="24"/>
        </w:rPr>
        <w:t>。其中，将股票资产中的</w:t>
      </w:r>
      <w:r>
        <w:rPr>
          <w:rFonts w:hint="eastAsia"/>
          <w:bCs/>
          <w:sz w:val="24"/>
        </w:rPr>
        <w:t>A</w:t>
      </w:r>
      <w:r>
        <w:rPr>
          <w:rFonts w:hint="eastAsia"/>
          <w:bCs/>
          <w:sz w:val="24"/>
        </w:rPr>
        <w:t>股股票的基准要素权重从</w:t>
      </w:r>
      <w:r>
        <w:rPr>
          <w:rFonts w:hint="eastAsia"/>
          <w:bCs/>
          <w:sz w:val="24"/>
        </w:rPr>
        <w:t>40%</w:t>
      </w:r>
      <w:r>
        <w:rPr>
          <w:rFonts w:hint="eastAsia"/>
          <w:bCs/>
          <w:sz w:val="24"/>
        </w:rPr>
        <w:t>提高到</w:t>
      </w:r>
      <w:r>
        <w:rPr>
          <w:rFonts w:hint="eastAsia"/>
          <w:bCs/>
          <w:sz w:val="24"/>
        </w:rPr>
        <w:t>70%</w:t>
      </w:r>
      <w:r>
        <w:rPr>
          <w:rFonts w:hint="eastAsia"/>
          <w:bCs/>
          <w:sz w:val="24"/>
        </w:rPr>
        <w:t>，港股通标的股票的基准要素权重从</w:t>
      </w:r>
      <w:r>
        <w:rPr>
          <w:rFonts w:hint="eastAsia"/>
          <w:bCs/>
          <w:sz w:val="24"/>
        </w:rPr>
        <w:t>40%</w:t>
      </w:r>
      <w:r>
        <w:rPr>
          <w:rFonts w:hint="eastAsia"/>
          <w:bCs/>
          <w:sz w:val="24"/>
        </w:rPr>
        <w:t>降低到</w:t>
      </w:r>
      <w:r>
        <w:rPr>
          <w:rFonts w:hint="eastAsia"/>
          <w:bCs/>
          <w:sz w:val="24"/>
        </w:rPr>
        <w:t>20</w:t>
      </w:r>
      <w:r>
        <w:rPr>
          <w:rFonts w:hint="eastAsia"/>
          <w:bCs/>
          <w:sz w:val="24"/>
        </w:rPr>
        <w:t>%</w:t>
      </w:r>
      <w:r>
        <w:rPr>
          <w:rFonts w:hint="eastAsia"/>
          <w:bCs/>
          <w:sz w:val="24"/>
        </w:rPr>
        <w:t>。</w:t>
      </w:r>
    </w:p>
    <w:p w:rsidR="00FC1DAA" w:rsidRDefault="00581B89">
      <w:pPr>
        <w:numPr>
          <w:ilvl w:val="0"/>
          <w:numId w:val="2"/>
        </w:numPr>
        <w:adjustRightInd w:val="0"/>
        <w:snapToGrid w:val="0"/>
        <w:spacing w:line="460" w:lineRule="exact"/>
        <w:ind w:right="240" w:firstLine="480"/>
        <w:rPr>
          <w:bCs/>
          <w:sz w:val="24"/>
        </w:rPr>
      </w:pPr>
      <w:r>
        <w:rPr>
          <w:rFonts w:hint="eastAsia"/>
          <w:bCs/>
          <w:sz w:val="24"/>
        </w:rPr>
        <w:t>更换业绩比较基准要素：在基准指数的选取方面，债券部分的指数由中证全债指数调整为中债</w:t>
      </w:r>
      <w:r>
        <w:rPr>
          <w:rFonts w:hint="eastAsia"/>
          <w:bCs/>
          <w:sz w:val="24"/>
        </w:rPr>
        <w:t>-</w:t>
      </w:r>
      <w:r>
        <w:rPr>
          <w:rFonts w:hint="eastAsia"/>
          <w:bCs/>
          <w:sz w:val="24"/>
        </w:rPr>
        <w:t>国债总财富</w:t>
      </w:r>
      <w:r>
        <w:rPr>
          <w:rFonts w:hint="eastAsia"/>
          <w:bCs/>
          <w:sz w:val="24"/>
        </w:rPr>
        <w:t>（</w:t>
      </w:r>
      <w:r>
        <w:rPr>
          <w:rFonts w:hint="eastAsia"/>
          <w:bCs/>
          <w:sz w:val="24"/>
        </w:rPr>
        <w:t>1-3</w:t>
      </w:r>
      <w:r>
        <w:rPr>
          <w:rFonts w:hint="eastAsia"/>
          <w:bCs/>
          <w:sz w:val="24"/>
        </w:rPr>
        <w:t>年</w:t>
      </w:r>
      <w:r>
        <w:rPr>
          <w:rFonts w:hint="eastAsia"/>
          <w:bCs/>
          <w:sz w:val="24"/>
        </w:rPr>
        <w:t>）</w:t>
      </w:r>
      <w:r>
        <w:rPr>
          <w:rFonts w:hint="eastAsia"/>
          <w:bCs/>
          <w:sz w:val="24"/>
        </w:rPr>
        <w:t>指数。</w:t>
      </w:r>
    </w:p>
    <w:p w:rsidR="00FC1DAA" w:rsidRDefault="00581B89">
      <w:pPr>
        <w:adjustRightInd w:val="0"/>
        <w:snapToGrid w:val="0"/>
        <w:spacing w:line="460" w:lineRule="exact"/>
        <w:ind w:right="240" w:firstLine="480"/>
        <w:rPr>
          <w:bCs/>
          <w:sz w:val="24"/>
        </w:rPr>
      </w:pPr>
      <w:r>
        <w:rPr>
          <w:rFonts w:hint="eastAsia"/>
          <w:bCs/>
          <w:sz w:val="24"/>
        </w:rPr>
        <w:t>在债券指数的选取方面，</w:t>
      </w:r>
      <w:r>
        <w:rPr>
          <w:rFonts w:hint="eastAsia"/>
          <w:bCs/>
          <w:sz w:val="24"/>
          <w:lang/>
        </w:rPr>
        <w:t>根据过往债券配置情况，</w:t>
      </w:r>
      <w:r>
        <w:rPr>
          <w:rFonts w:hint="eastAsia"/>
          <w:bCs/>
          <w:sz w:val="24"/>
        </w:rPr>
        <w:t>富国生物医药科技混合型证券投资基金整体组合久期以中短久期为主，与原指数相比，中债</w:t>
      </w:r>
      <w:r>
        <w:rPr>
          <w:rFonts w:hint="eastAsia"/>
          <w:bCs/>
          <w:sz w:val="24"/>
        </w:rPr>
        <w:t>-</w:t>
      </w:r>
      <w:r>
        <w:rPr>
          <w:rFonts w:hint="eastAsia"/>
          <w:bCs/>
          <w:sz w:val="24"/>
        </w:rPr>
        <w:t>国债总财富</w:t>
      </w:r>
      <w:r>
        <w:rPr>
          <w:rFonts w:hint="eastAsia"/>
          <w:bCs/>
          <w:sz w:val="24"/>
        </w:rPr>
        <w:t>（</w:t>
      </w:r>
      <w:r>
        <w:rPr>
          <w:rFonts w:hint="eastAsia"/>
          <w:bCs/>
          <w:sz w:val="24"/>
        </w:rPr>
        <w:t>1-3</w:t>
      </w:r>
      <w:r>
        <w:rPr>
          <w:rFonts w:hint="eastAsia"/>
          <w:bCs/>
          <w:sz w:val="24"/>
        </w:rPr>
        <w:t>年</w:t>
      </w:r>
      <w:r>
        <w:rPr>
          <w:rFonts w:hint="eastAsia"/>
          <w:bCs/>
          <w:sz w:val="24"/>
        </w:rPr>
        <w:t>）</w:t>
      </w:r>
      <w:r>
        <w:rPr>
          <w:rFonts w:hint="eastAsia"/>
          <w:bCs/>
          <w:sz w:val="24"/>
        </w:rPr>
        <w:t>指数与基金实际运作的久期更为贴合。</w:t>
      </w:r>
    </w:p>
    <w:p w:rsidR="00FC1DAA" w:rsidRDefault="00581B89">
      <w:pPr>
        <w:adjustRightInd w:val="0"/>
        <w:snapToGrid w:val="0"/>
        <w:spacing w:line="460" w:lineRule="exact"/>
        <w:ind w:right="240" w:firstLine="480"/>
        <w:rPr>
          <w:bCs/>
          <w:sz w:val="24"/>
        </w:rPr>
      </w:pPr>
      <w:r>
        <w:rPr>
          <w:rFonts w:hint="eastAsia"/>
          <w:bCs/>
          <w:sz w:val="24"/>
        </w:rPr>
        <w:t>基于以上情况，该产品的业绩比较基准的调整主要由于现有业绩比较基准与资产配置比例</w:t>
      </w:r>
      <w:r>
        <w:rPr>
          <w:rFonts w:hint="eastAsia"/>
          <w:bCs/>
          <w:sz w:val="24"/>
          <w:lang/>
        </w:rPr>
        <w:t>、债券投资情况</w:t>
      </w:r>
      <w:r>
        <w:rPr>
          <w:rFonts w:hint="eastAsia"/>
          <w:bCs/>
          <w:sz w:val="24"/>
        </w:rPr>
        <w:t>等不匹配，调整</w:t>
      </w:r>
      <w:r>
        <w:rPr>
          <w:rFonts w:hint="eastAsia"/>
          <w:bCs/>
          <w:sz w:val="24"/>
        </w:rPr>
        <w:t>后的</w:t>
      </w:r>
      <w:r>
        <w:rPr>
          <w:rFonts w:hint="eastAsia"/>
          <w:bCs/>
          <w:sz w:val="24"/>
        </w:rPr>
        <w:t>业绩比较基准与实际产品定位更为契合，不会对产品投资运作、持有人利益产生实质性不利影响。</w:t>
      </w:r>
    </w:p>
    <w:p w:rsidR="00FC1DAA" w:rsidRDefault="00581B89">
      <w:pPr>
        <w:numPr>
          <w:ilvl w:val="0"/>
          <w:numId w:val="1"/>
        </w:numPr>
        <w:adjustRightInd w:val="0"/>
        <w:snapToGrid w:val="0"/>
        <w:spacing w:line="460" w:lineRule="exact"/>
        <w:ind w:right="240" w:firstLine="480"/>
        <w:rPr>
          <w:b/>
          <w:sz w:val="24"/>
        </w:rPr>
      </w:pPr>
      <w:r>
        <w:rPr>
          <w:rFonts w:hint="eastAsia"/>
          <w:b/>
          <w:sz w:val="24"/>
        </w:rPr>
        <w:t>富国沪港深价值精选灵活配置混合型证券投资基金</w:t>
      </w:r>
    </w:p>
    <w:p w:rsidR="00FC1DAA" w:rsidRDefault="00581B89">
      <w:pPr>
        <w:numPr>
          <w:ilvl w:val="0"/>
          <w:numId w:val="3"/>
        </w:numPr>
        <w:adjustRightInd w:val="0"/>
        <w:snapToGrid w:val="0"/>
        <w:spacing w:line="460" w:lineRule="exact"/>
        <w:ind w:right="240" w:firstLine="480"/>
        <w:rPr>
          <w:bCs/>
          <w:sz w:val="24"/>
        </w:rPr>
      </w:pPr>
      <w:r>
        <w:rPr>
          <w:rFonts w:hint="eastAsia"/>
          <w:bCs/>
          <w:sz w:val="24"/>
        </w:rPr>
        <w:t>调整业绩比较基准的要素权重：根据过往仓位情况，将股票资产中的</w:t>
      </w:r>
      <w:r>
        <w:rPr>
          <w:rFonts w:hint="eastAsia"/>
          <w:bCs/>
          <w:sz w:val="24"/>
        </w:rPr>
        <w:t>A</w:t>
      </w:r>
      <w:r>
        <w:rPr>
          <w:rFonts w:hint="eastAsia"/>
          <w:bCs/>
          <w:sz w:val="24"/>
        </w:rPr>
        <w:t>股股票的基准要素权重从</w:t>
      </w:r>
      <w:r>
        <w:rPr>
          <w:rFonts w:hint="eastAsia"/>
          <w:bCs/>
          <w:sz w:val="24"/>
        </w:rPr>
        <w:t>45%</w:t>
      </w:r>
      <w:r>
        <w:rPr>
          <w:rFonts w:hint="eastAsia"/>
          <w:bCs/>
          <w:sz w:val="24"/>
        </w:rPr>
        <w:t>降低到</w:t>
      </w:r>
      <w:r>
        <w:rPr>
          <w:rFonts w:hint="eastAsia"/>
          <w:bCs/>
          <w:sz w:val="24"/>
        </w:rPr>
        <w:t>20%</w:t>
      </w:r>
      <w:r>
        <w:rPr>
          <w:rFonts w:hint="eastAsia"/>
          <w:bCs/>
          <w:sz w:val="24"/>
        </w:rPr>
        <w:t>，港股通标的股票的基准要素权重从</w:t>
      </w:r>
      <w:r>
        <w:rPr>
          <w:rFonts w:hint="eastAsia"/>
          <w:bCs/>
          <w:sz w:val="24"/>
        </w:rPr>
        <w:t>45%</w:t>
      </w:r>
      <w:r>
        <w:rPr>
          <w:rFonts w:hint="eastAsia"/>
          <w:bCs/>
          <w:sz w:val="24"/>
        </w:rPr>
        <w:t>提高到</w:t>
      </w:r>
      <w:r>
        <w:rPr>
          <w:rFonts w:hint="eastAsia"/>
          <w:bCs/>
          <w:sz w:val="24"/>
        </w:rPr>
        <w:t>70%</w:t>
      </w:r>
      <w:r>
        <w:rPr>
          <w:rFonts w:hint="eastAsia"/>
          <w:bCs/>
          <w:sz w:val="24"/>
        </w:rPr>
        <w:t>。</w:t>
      </w:r>
    </w:p>
    <w:p w:rsidR="00FC1DAA" w:rsidRDefault="00581B89">
      <w:pPr>
        <w:numPr>
          <w:ilvl w:val="0"/>
          <w:numId w:val="3"/>
        </w:numPr>
        <w:adjustRightInd w:val="0"/>
        <w:snapToGrid w:val="0"/>
        <w:spacing w:line="460" w:lineRule="exact"/>
        <w:ind w:right="240" w:firstLine="480"/>
        <w:rPr>
          <w:bCs/>
          <w:sz w:val="24"/>
        </w:rPr>
      </w:pPr>
      <w:r>
        <w:rPr>
          <w:rFonts w:hint="eastAsia"/>
          <w:bCs/>
          <w:sz w:val="24"/>
        </w:rPr>
        <w:t>更换业绩比较基准要素：在基准指数的选取方面，债券部分的指数由中债综合财富指数调整为中债</w:t>
      </w:r>
      <w:r>
        <w:rPr>
          <w:rFonts w:hint="eastAsia"/>
          <w:bCs/>
          <w:sz w:val="24"/>
        </w:rPr>
        <w:t>-</w:t>
      </w:r>
      <w:r>
        <w:rPr>
          <w:rFonts w:hint="eastAsia"/>
          <w:bCs/>
          <w:sz w:val="24"/>
        </w:rPr>
        <w:t>国债总财富</w:t>
      </w:r>
      <w:r>
        <w:rPr>
          <w:rFonts w:hint="eastAsia"/>
          <w:bCs/>
          <w:sz w:val="24"/>
        </w:rPr>
        <w:t>（</w:t>
      </w:r>
      <w:r>
        <w:rPr>
          <w:rFonts w:hint="eastAsia"/>
          <w:bCs/>
          <w:sz w:val="24"/>
        </w:rPr>
        <w:t>1-3</w:t>
      </w:r>
      <w:r>
        <w:rPr>
          <w:rFonts w:hint="eastAsia"/>
          <w:bCs/>
          <w:sz w:val="24"/>
        </w:rPr>
        <w:t>年</w:t>
      </w:r>
      <w:r>
        <w:rPr>
          <w:rFonts w:hint="eastAsia"/>
          <w:bCs/>
          <w:sz w:val="24"/>
        </w:rPr>
        <w:t>）</w:t>
      </w:r>
      <w:r>
        <w:rPr>
          <w:rFonts w:hint="eastAsia"/>
          <w:bCs/>
          <w:sz w:val="24"/>
        </w:rPr>
        <w:t>指数。</w:t>
      </w:r>
    </w:p>
    <w:p w:rsidR="00FC1DAA" w:rsidRDefault="00581B89">
      <w:pPr>
        <w:adjustRightInd w:val="0"/>
        <w:snapToGrid w:val="0"/>
        <w:spacing w:line="460" w:lineRule="exact"/>
        <w:ind w:right="240" w:firstLine="480"/>
        <w:rPr>
          <w:bCs/>
          <w:sz w:val="24"/>
        </w:rPr>
      </w:pPr>
      <w:r>
        <w:rPr>
          <w:rFonts w:hint="eastAsia"/>
          <w:bCs/>
          <w:sz w:val="24"/>
        </w:rPr>
        <w:t>在债券指数的选取方面，</w:t>
      </w:r>
      <w:r>
        <w:rPr>
          <w:rFonts w:hint="eastAsia"/>
          <w:bCs/>
          <w:sz w:val="24"/>
          <w:lang/>
        </w:rPr>
        <w:t>根据过往债券配置情况，</w:t>
      </w:r>
      <w:r>
        <w:rPr>
          <w:rFonts w:hint="eastAsia"/>
          <w:bCs/>
          <w:sz w:val="24"/>
        </w:rPr>
        <w:t>富国沪港深价值精选灵活配置混合型证券投资基金整体组合久期以中短久期为主，与原指数相比，中债</w:t>
      </w:r>
      <w:r>
        <w:rPr>
          <w:rFonts w:hint="eastAsia"/>
          <w:bCs/>
          <w:sz w:val="24"/>
        </w:rPr>
        <w:t>-</w:t>
      </w:r>
      <w:r>
        <w:rPr>
          <w:rFonts w:hint="eastAsia"/>
          <w:bCs/>
          <w:sz w:val="24"/>
        </w:rPr>
        <w:t>国债总财富</w:t>
      </w:r>
      <w:r>
        <w:rPr>
          <w:rFonts w:hint="eastAsia"/>
          <w:bCs/>
          <w:sz w:val="24"/>
        </w:rPr>
        <w:t>（</w:t>
      </w:r>
      <w:r>
        <w:rPr>
          <w:rFonts w:hint="eastAsia"/>
          <w:bCs/>
          <w:sz w:val="24"/>
        </w:rPr>
        <w:t>1-3</w:t>
      </w:r>
      <w:r>
        <w:rPr>
          <w:rFonts w:hint="eastAsia"/>
          <w:bCs/>
          <w:sz w:val="24"/>
        </w:rPr>
        <w:t>年</w:t>
      </w:r>
      <w:r>
        <w:rPr>
          <w:rFonts w:hint="eastAsia"/>
          <w:bCs/>
          <w:sz w:val="24"/>
        </w:rPr>
        <w:t>）</w:t>
      </w:r>
      <w:r>
        <w:rPr>
          <w:rFonts w:hint="eastAsia"/>
          <w:bCs/>
          <w:sz w:val="24"/>
        </w:rPr>
        <w:t>指数与基金实际运作的久期更为贴合。</w:t>
      </w:r>
    </w:p>
    <w:p w:rsidR="00FC1DAA" w:rsidRDefault="00581B89">
      <w:pPr>
        <w:adjustRightInd w:val="0"/>
        <w:snapToGrid w:val="0"/>
        <w:spacing w:line="460" w:lineRule="exact"/>
        <w:ind w:right="240" w:firstLine="480"/>
        <w:rPr>
          <w:bCs/>
          <w:sz w:val="24"/>
        </w:rPr>
      </w:pPr>
      <w:r>
        <w:rPr>
          <w:rFonts w:hint="eastAsia"/>
          <w:bCs/>
          <w:sz w:val="24"/>
        </w:rPr>
        <w:t>基于以上情况，该产品的业绩比较基准的调整主要由于现有业绩比较基准与资产配置比例</w:t>
      </w:r>
      <w:r>
        <w:rPr>
          <w:rFonts w:hint="eastAsia"/>
          <w:bCs/>
          <w:sz w:val="24"/>
          <w:lang/>
        </w:rPr>
        <w:t>、债券投资情况</w:t>
      </w:r>
      <w:r>
        <w:rPr>
          <w:rFonts w:hint="eastAsia"/>
          <w:bCs/>
          <w:sz w:val="24"/>
        </w:rPr>
        <w:t>等不匹配，调整</w:t>
      </w:r>
      <w:r>
        <w:rPr>
          <w:rFonts w:hint="eastAsia"/>
          <w:bCs/>
          <w:sz w:val="24"/>
        </w:rPr>
        <w:t>后的</w:t>
      </w:r>
      <w:r>
        <w:rPr>
          <w:rFonts w:hint="eastAsia"/>
          <w:bCs/>
          <w:sz w:val="24"/>
        </w:rPr>
        <w:t>业绩比较基准与实际产品定位更为契合，不会对产品投资运作、持有人利益产生实质性不利影响。</w:t>
      </w:r>
    </w:p>
    <w:p w:rsidR="00FC1DAA" w:rsidRDefault="00581B89">
      <w:pPr>
        <w:numPr>
          <w:ilvl w:val="0"/>
          <w:numId w:val="1"/>
        </w:numPr>
        <w:adjustRightInd w:val="0"/>
        <w:snapToGrid w:val="0"/>
        <w:spacing w:line="460" w:lineRule="exact"/>
        <w:ind w:right="240" w:firstLine="480"/>
        <w:rPr>
          <w:b/>
          <w:sz w:val="24"/>
        </w:rPr>
      </w:pPr>
      <w:r>
        <w:rPr>
          <w:rFonts w:hint="eastAsia"/>
          <w:b/>
          <w:sz w:val="24"/>
          <w:lang/>
        </w:rPr>
        <w:t>富国致航量化选股股票型证券投资基金</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1</w:t>
      </w:r>
      <w:r>
        <w:rPr>
          <w:rFonts w:hint="eastAsia"/>
          <w:bCs/>
          <w:sz w:val="24"/>
          <w:lang/>
        </w:rPr>
        <w:t>）调整业绩比较基准的要素权重：</w:t>
      </w:r>
      <w:r>
        <w:rPr>
          <w:rFonts w:hint="eastAsia"/>
          <w:bCs/>
          <w:sz w:val="24"/>
        </w:rPr>
        <w:t>根据过往仓位情况，将基准中的股票资产的基准要素权重从</w:t>
      </w:r>
      <w:r>
        <w:rPr>
          <w:rFonts w:hint="eastAsia"/>
          <w:bCs/>
          <w:sz w:val="24"/>
        </w:rPr>
        <w:t>95%</w:t>
      </w:r>
      <w:r>
        <w:rPr>
          <w:rFonts w:hint="eastAsia"/>
          <w:bCs/>
          <w:sz w:val="24"/>
        </w:rPr>
        <w:t>降低到</w:t>
      </w:r>
      <w:r>
        <w:rPr>
          <w:rFonts w:hint="eastAsia"/>
          <w:bCs/>
          <w:sz w:val="24"/>
        </w:rPr>
        <w:t>90%</w:t>
      </w:r>
      <w:r>
        <w:rPr>
          <w:rFonts w:hint="eastAsia"/>
          <w:bCs/>
          <w:sz w:val="24"/>
        </w:rPr>
        <w:t>，将基准中的债券资产的基准要素权重从</w:t>
      </w:r>
      <w:r>
        <w:rPr>
          <w:rFonts w:hint="eastAsia"/>
          <w:bCs/>
          <w:sz w:val="24"/>
        </w:rPr>
        <w:t>0%</w:t>
      </w:r>
      <w:r>
        <w:rPr>
          <w:rFonts w:hint="eastAsia"/>
          <w:bCs/>
          <w:sz w:val="24"/>
        </w:rPr>
        <w:t>提高到</w:t>
      </w:r>
      <w:r>
        <w:rPr>
          <w:rFonts w:hint="eastAsia"/>
          <w:bCs/>
          <w:sz w:val="24"/>
        </w:rPr>
        <w:t>5%</w:t>
      </w:r>
      <w:r>
        <w:rPr>
          <w:rFonts w:hint="eastAsia"/>
          <w:bCs/>
          <w:sz w:val="24"/>
        </w:rPr>
        <w:t>。</w:t>
      </w:r>
    </w:p>
    <w:p w:rsidR="00FC1DAA" w:rsidRDefault="00581B89">
      <w:pPr>
        <w:adjustRightInd w:val="0"/>
        <w:snapToGrid w:val="0"/>
        <w:spacing w:line="460" w:lineRule="exact"/>
        <w:ind w:right="240" w:firstLine="480"/>
        <w:rPr>
          <w:bCs/>
          <w:sz w:val="24"/>
        </w:rPr>
      </w:pPr>
      <w:r>
        <w:rPr>
          <w:rFonts w:hint="eastAsia"/>
          <w:bCs/>
          <w:sz w:val="24"/>
          <w:lang/>
        </w:rPr>
        <w:t>（</w:t>
      </w:r>
      <w:r>
        <w:rPr>
          <w:rFonts w:hint="eastAsia"/>
          <w:bCs/>
          <w:sz w:val="24"/>
          <w:lang/>
        </w:rPr>
        <w:t>2</w:t>
      </w:r>
      <w:r>
        <w:rPr>
          <w:rFonts w:hint="eastAsia"/>
          <w:bCs/>
          <w:sz w:val="24"/>
          <w:lang/>
        </w:rPr>
        <w:t>）更换业绩比较基准要素：在基准指数的选取方面，</w:t>
      </w:r>
      <w:r>
        <w:rPr>
          <w:rFonts w:hint="eastAsia"/>
          <w:bCs/>
          <w:sz w:val="24"/>
          <w:lang/>
        </w:rPr>
        <w:t>A</w:t>
      </w:r>
      <w:r>
        <w:rPr>
          <w:rFonts w:hint="eastAsia"/>
          <w:bCs/>
          <w:sz w:val="24"/>
          <w:lang/>
        </w:rPr>
        <w:t>股股票部分的指数由中证</w:t>
      </w:r>
      <w:r>
        <w:rPr>
          <w:rFonts w:hint="eastAsia"/>
          <w:bCs/>
          <w:sz w:val="24"/>
          <w:lang/>
        </w:rPr>
        <w:t>500</w:t>
      </w:r>
      <w:r>
        <w:rPr>
          <w:rFonts w:hint="eastAsia"/>
          <w:bCs/>
          <w:sz w:val="24"/>
          <w:lang/>
        </w:rPr>
        <w:t>指数调整为中证全指指数，债券部分的指数选用中债</w:t>
      </w:r>
      <w:r>
        <w:rPr>
          <w:rFonts w:hint="eastAsia"/>
          <w:bCs/>
          <w:sz w:val="24"/>
          <w:lang/>
        </w:rPr>
        <w:t>-</w:t>
      </w:r>
      <w:r>
        <w:rPr>
          <w:rFonts w:hint="eastAsia"/>
          <w:bCs/>
          <w:sz w:val="24"/>
          <w:lang/>
        </w:rPr>
        <w:t>国债总全价</w:t>
      </w:r>
      <w:r>
        <w:rPr>
          <w:rFonts w:hint="eastAsia"/>
          <w:bCs/>
          <w:sz w:val="24"/>
          <w:lang/>
        </w:rPr>
        <w:t>（</w:t>
      </w:r>
      <w:r>
        <w:rPr>
          <w:rFonts w:hint="eastAsia"/>
          <w:bCs/>
          <w:sz w:val="24"/>
          <w:lang/>
        </w:rPr>
        <w:t>1-3</w:t>
      </w:r>
      <w:r>
        <w:rPr>
          <w:rFonts w:hint="eastAsia"/>
          <w:bCs/>
          <w:sz w:val="24"/>
          <w:lang/>
        </w:rPr>
        <w:t>年</w:t>
      </w:r>
      <w:r>
        <w:rPr>
          <w:rFonts w:hint="eastAsia"/>
          <w:bCs/>
          <w:sz w:val="24"/>
          <w:lang/>
        </w:rPr>
        <w:t>）</w:t>
      </w:r>
      <w:r>
        <w:rPr>
          <w:rFonts w:hint="eastAsia"/>
          <w:bCs/>
          <w:sz w:val="24"/>
          <w:lang/>
        </w:rPr>
        <w:t>指数。</w:t>
      </w:r>
    </w:p>
    <w:p w:rsidR="00FC1DAA" w:rsidRDefault="00581B89">
      <w:pPr>
        <w:adjustRightInd w:val="0"/>
        <w:snapToGrid w:val="0"/>
        <w:spacing w:line="460" w:lineRule="exact"/>
        <w:ind w:right="240" w:firstLine="480"/>
        <w:rPr>
          <w:bCs/>
          <w:sz w:val="24"/>
          <w:lang/>
        </w:rPr>
      </w:pPr>
      <w:r>
        <w:rPr>
          <w:rFonts w:hint="eastAsia"/>
          <w:bCs/>
          <w:sz w:val="24"/>
          <w:lang/>
        </w:rPr>
        <w:t>在股票指数的选取方面，富国致航量化选股股票型证券投资基金综合利用多种量化投资模型技术，对中国股票市场进行研究选股，因此选用中证全指指数作为业绩比较基准，中证全指指数由上海证券交易所、</w:t>
      </w:r>
      <w:r>
        <w:rPr>
          <w:rFonts w:hint="eastAsia"/>
          <w:bCs/>
          <w:sz w:val="24"/>
          <w:lang/>
        </w:rPr>
        <w:t>深圳证券交易所和北京证券交易所市场符合条件的股票和存托凭证组成样本，与产品定位更契合。</w:t>
      </w:r>
    </w:p>
    <w:p w:rsidR="00FC1DAA" w:rsidRDefault="00581B89">
      <w:pPr>
        <w:adjustRightInd w:val="0"/>
        <w:snapToGrid w:val="0"/>
        <w:spacing w:line="460" w:lineRule="exact"/>
        <w:ind w:right="240" w:firstLine="480"/>
        <w:rPr>
          <w:bCs/>
          <w:sz w:val="24"/>
          <w:lang/>
        </w:rPr>
      </w:pPr>
      <w:r>
        <w:rPr>
          <w:rFonts w:hint="eastAsia"/>
          <w:bCs/>
          <w:sz w:val="24"/>
          <w:lang/>
        </w:rPr>
        <w:t>在债券指数的选取方面，根据过往债券配置情况，富国致航量化选股股票型证券投资基金整体组</w:t>
      </w:r>
      <w:r>
        <w:rPr>
          <w:rFonts w:hint="eastAsia"/>
          <w:bCs/>
          <w:sz w:val="24"/>
          <w:lang/>
        </w:rPr>
        <w:t>合久期以中短久期为主，中债</w:t>
      </w:r>
      <w:r>
        <w:rPr>
          <w:rFonts w:hint="eastAsia"/>
          <w:bCs/>
          <w:sz w:val="24"/>
          <w:lang/>
        </w:rPr>
        <w:t>-</w:t>
      </w:r>
      <w:r>
        <w:rPr>
          <w:rFonts w:hint="eastAsia"/>
          <w:bCs/>
          <w:sz w:val="24"/>
          <w:lang/>
        </w:rPr>
        <w:t>国债总全价</w:t>
      </w:r>
      <w:r>
        <w:rPr>
          <w:rFonts w:hint="eastAsia"/>
          <w:bCs/>
          <w:sz w:val="24"/>
          <w:lang/>
        </w:rPr>
        <w:t>（</w:t>
      </w:r>
      <w:r>
        <w:rPr>
          <w:rFonts w:hint="eastAsia"/>
          <w:bCs/>
          <w:sz w:val="24"/>
          <w:lang/>
        </w:rPr>
        <w:t>1-3</w:t>
      </w:r>
      <w:r>
        <w:rPr>
          <w:rFonts w:hint="eastAsia"/>
          <w:bCs/>
          <w:sz w:val="24"/>
          <w:lang/>
        </w:rPr>
        <w:t>年</w:t>
      </w:r>
      <w:r>
        <w:rPr>
          <w:rFonts w:hint="eastAsia"/>
          <w:bCs/>
          <w:sz w:val="24"/>
          <w:lang/>
        </w:rPr>
        <w:t>）</w:t>
      </w:r>
      <w:r>
        <w:rPr>
          <w:rFonts w:hint="eastAsia"/>
          <w:bCs/>
          <w:sz w:val="24"/>
          <w:lang/>
        </w:rPr>
        <w:t>指数与基金实际运作的久期</w:t>
      </w:r>
      <w:r>
        <w:rPr>
          <w:rFonts w:hint="eastAsia"/>
          <w:bCs/>
          <w:sz w:val="24"/>
          <w:lang/>
        </w:rPr>
        <w:t>较为</w:t>
      </w:r>
      <w:r>
        <w:rPr>
          <w:rFonts w:hint="eastAsia"/>
          <w:bCs/>
          <w:sz w:val="24"/>
          <w:lang/>
        </w:rPr>
        <w:t>贴合。</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基于以上情况，该产品的业绩比较基准的调整主要由于现有业绩比较基准与实际投资风格、资产配置比例等不匹配，调整</w:t>
      </w:r>
      <w:r>
        <w:rPr>
          <w:rFonts w:hint="eastAsia"/>
          <w:bCs/>
          <w:sz w:val="24"/>
          <w:lang/>
        </w:rPr>
        <w:t>后的</w:t>
      </w:r>
      <w:r>
        <w:rPr>
          <w:rFonts w:hint="eastAsia"/>
          <w:bCs/>
          <w:sz w:val="24"/>
          <w:lang/>
        </w:rPr>
        <w:t>业绩比较基准与实际产品定位更为契合，不会对产品投资运作、持有人利益产生实质性不利影响。</w:t>
      </w:r>
    </w:p>
    <w:p w:rsidR="00FC1DAA" w:rsidRDefault="00581B89">
      <w:pPr>
        <w:numPr>
          <w:ilvl w:val="0"/>
          <w:numId w:val="1"/>
        </w:numPr>
        <w:adjustRightInd w:val="0"/>
        <w:snapToGrid w:val="0"/>
        <w:spacing w:line="460" w:lineRule="exact"/>
        <w:ind w:right="240" w:firstLine="480"/>
        <w:rPr>
          <w:b/>
          <w:sz w:val="24"/>
          <w:lang/>
        </w:rPr>
      </w:pPr>
      <w:r>
        <w:rPr>
          <w:rFonts w:hint="eastAsia"/>
          <w:b/>
          <w:sz w:val="24"/>
          <w:lang/>
        </w:rPr>
        <w:t>富国大盘价值量化精选混合型证券投资基金</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1</w:t>
      </w:r>
      <w:r>
        <w:rPr>
          <w:rFonts w:hint="eastAsia"/>
          <w:bCs/>
          <w:sz w:val="24"/>
          <w:lang/>
        </w:rPr>
        <w:t>）调整业绩比较基准的要素权重：根据过往仓位情况，将基准中</w:t>
      </w:r>
      <w:r>
        <w:rPr>
          <w:rFonts w:hint="eastAsia"/>
          <w:bCs/>
          <w:sz w:val="24"/>
        </w:rPr>
        <w:t>的债券资产的基准要素权重</w:t>
      </w:r>
      <w:r>
        <w:rPr>
          <w:rFonts w:hint="eastAsia"/>
          <w:bCs/>
          <w:sz w:val="24"/>
          <w:lang/>
        </w:rPr>
        <w:t>从</w:t>
      </w:r>
      <w:r>
        <w:rPr>
          <w:rFonts w:hint="eastAsia"/>
          <w:bCs/>
          <w:sz w:val="24"/>
          <w:lang/>
        </w:rPr>
        <w:t>0%</w:t>
      </w:r>
      <w:r>
        <w:rPr>
          <w:rFonts w:hint="eastAsia"/>
          <w:bCs/>
          <w:sz w:val="24"/>
          <w:lang/>
        </w:rPr>
        <w:t>提高到</w:t>
      </w:r>
      <w:r>
        <w:rPr>
          <w:rFonts w:hint="eastAsia"/>
          <w:bCs/>
          <w:sz w:val="24"/>
          <w:lang/>
        </w:rPr>
        <w:t>5%</w:t>
      </w:r>
      <w:r>
        <w:rPr>
          <w:rFonts w:hint="eastAsia"/>
          <w:bCs/>
          <w:sz w:val="24"/>
          <w:lang/>
        </w:rPr>
        <w:t>，</w:t>
      </w:r>
      <w:r>
        <w:rPr>
          <w:rFonts w:hint="eastAsia"/>
          <w:bCs/>
          <w:sz w:val="24"/>
          <w:lang/>
        </w:rPr>
        <w:t>现金资产的基准要素权重从</w:t>
      </w:r>
      <w:r>
        <w:rPr>
          <w:rFonts w:hint="eastAsia"/>
          <w:bCs/>
          <w:sz w:val="24"/>
          <w:lang/>
        </w:rPr>
        <w:t>10%</w:t>
      </w:r>
      <w:r>
        <w:rPr>
          <w:rFonts w:hint="eastAsia"/>
          <w:bCs/>
          <w:sz w:val="24"/>
          <w:lang/>
        </w:rPr>
        <w:t>降低到</w:t>
      </w:r>
      <w:r>
        <w:rPr>
          <w:rFonts w:hint="eastAsia"/>
          <w:bCs/>
          <w:sz w:val="24"/>
          <w:lang/>
        </w:rPr>
        <w:t>5%</w:t>
      </w:r>
      <w:r>
        <w:rPr>
          <w:rFonts w:hint="eastAsia"/>
          <w:bCs/>
          <w:sz w:val="24"/>
          <w:lang/>
        </w:rPr>
        <w:t>。</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2</w:t>
      </w:r>
      <w:r>
        <w:rPr>
          <w:rFonts w:hint="eastAsia"/>
          <w:bCs/>
          <w:sz w:val="24"/>
          <w:lang/>
        </w:rPr>
        <w:t>）更换业绩比较基准要素：在基准指数的选取方面，股票部分的指数由沪深</w:t>
      </w:r>
      <w:r>
        <w:rPr>
          <w:rFonts w:hint="eastAsia"/>
          <w:bCs/>
          <w:sz w:val="24"/>
          <w:lang/>
        </w:rPr>
        <w:t>300</w:t>
      </w:r>
      <w:r>
        <w:rPr>
          <w:rFonts w:hint="eastAsia"/>
          <w:bCs/>
          <w:sz w:val="24"/>
          <w:lang/>
        </w:rPr>
        <w:t>指数调整为中证</w:t>
      </w:r>
      <w:r>
        <w:rPr>
          <w:rFonts w:hint="eastAsia"/>
          <w:bCs/>
          <w:sz w:val="24"/>
          <w:lang/>
        </w:rPr>
        <w:t>800</w:t>
      </w:r>
      <w:r>
        <w:rPr>
          <w:rFonts w:hint="eastAsia"/>
          <w:bCs/>
          <w:sz w:val="24"/>
          <w:lang/>
        </w:rPr>
        <w:t>价值指数，并新增中债</w:t>
      </w:r>
      <w:r>
        <w:rPr>
          <w:rFonts w:hint="eastAsia"/>
          <w:bCs/>
          <w:sz w:val="24"/>
          <w:lang/>
        </w:rPr>
        <w:t>-</w:t>
      </w:r>
      <w:r>
        <w:rPr>
          <w:rFonts w:hint="eastAsia"/>
          <w:bCs/>
          <w:sz w:val="24"/>
          <w:lang/>
        </w:rPr>
        <w:t>国债总全价</w:t>
      </w:r>
      <w:r>
        <w:rPr>
          <w:rFonts w:hint="eastAsia"/>
          <w:bCs/>
          <w:sz w:val="24"/>
          <w:lang/>
        </w:rPr>
        <w:t>（</w:t>
      </w:r>
      <w:r>
        <w:rPr>
          <w:rFonts w:hint="eastAsia"/>
          <w:bCs/>
          <w:sz w:val="24"/>
          <w:lang/>
        </w:rPr>
        <w:t>1-3</w:t>
      </w:r>
      <w:r>
        <w:rPr>
          <w:rFonts w:hint="eastAsia"/>
          <w:bCs/>
          <w:sz w:val="24"/>
          <w:lang/>
        </w:rPr>
        <w:t>年</w:t>
      </w:r>
      <w:r>
        <w:rPr>
          <w:rFonts w:hint="eastAsia"/>
          <w:bCs/>
          <w:sz w:val="24"/>
          <w:lang/>
        </w:rPr>
        <w:t>）</w:t>
      </w:r>
      <w:r>
        <w:rPr>
          <w:rFonts w:hint="eastAsia"/>
          <w:bCs/>
          <w:sz w:val="24"/>
          <w:lang/>
        </w:rPr>
        <w:t>指数作为债券部分的业绩比较基准。</w:t>
      </w:r>
    </w:p>
    <w:p w:rsidR="00FC1DAA" w:rsidRDefault="00581B89">
      <w:pPr>
        <w:adjustRightInd w:val="0"/>
        <w:snapToGrid w:val="0"/>
        <w:spacing w:line="460" w:lineRule="exact"/>
        <w:ind w:right="240" w:firstLine="480"/>
        <w:rPr>
          <w:bCs/>
          <w:sz w:val="24"/>
          <w:lang/>
        </w:rPr>
      </w:pPr>
      <w:r>
        <w:rPr>
          <w:rFonts w:hint="eastAsia"/>
          <w:bCs/>
          <w:sz w:val="24"/>
          <w:lang/>
        </w:rPr>
        <w:t>在主题界定方面，根据富国大盘价值量化精选混合型证券投资基金的投资界定，本基金主要通过定量投资模型，选取并持有具备估值水平合理、成长能力较强、盈利质量较高等特征的价值型大盘股票构建投资组合，中证</w:t>
      </w:r>
      <w:r>
        <w:rPr>
          <w:rFonts w:hint="eastAsia"/>
          <w:bCs/>
          <w:sz w:val="24"/>
          <w:lang/>
        </w:rPr>
        <w:t>800</w:t>
      </w:r>
      <w:r>
        <w:rPr>
          <w:rFonts w:hint="eastAsia"/>
          <w:bCs/>
          <w:sz w:val="24"/>
          <w:lang/>
        </w:rPr>
        <w:t>价值指数聚焦中证</w:t>
      </w:r>
      <w:r>
        <w:rPr>
          <w:rFonts w:hint="eastAsia"/>
          <w:bCs/>
          <w:sz w:val="24"/>
          <w:lang/>
        </w:rPr>
        <w:t>800</w:t>
      </w:r>
      <w:r>
        <w:rPr>
          <w:rFonts w:hint="eastAsia"/>
          <w:bCs/>
          <w:sz w:val="24"/>
          <w:lang/>
        </w:rPr>
        <w:t>指数样本中具备典型价值特征的上市公司，整体反映价值板块的市场表现，与主题界定契合。</w:t>
      </w:r>
    </w:p>
    <w:p w:rsidR="00FC1DAA" w:rsidRDefault="00581B89">
      <w:pPr>
        <w:adjustRightInd w:val="0"/>
        <w:snapToGrid w:val="0"/>
        <w:spacing w:line="460" w:lineRule="exact"/>
        <w:ind w:right="240" w:firstLine="480"/>
        <w:rPr>
          <w:bCs/>
          <w:sz w:val="24"/>
          <w:lang/>
        </w:rPr>
      </w:pPr>
      <w:r>
        <w:rPr>
          <w:rFonts w:hint="eastAsia"/>
          <w:bCs/>
          <w:sz w:val="24"/>
          <w:lang/>
        </w:rPr>
        <w:t>在债券指数的选取方面，根据过往债券</w:t>
      </w:r>
      <w:r>
        <w:rPr>
          <w:rFonts w:hint="eastAsia"/>
          <w:bCs/>
          <w:sz w:val="24"/>
          <w:lang/>
        </w:rPr>
        <w:t>配置情况，富国大盘价值量化精选混合型证券投资基金整体组合久期以中短久期为主，中债</w:t>
      </w:r>
      <w:r>
        <w:rPr>
          <w:rFonts w:hint="eastAsia"/>
          <w:bCs/>
          <w:sz w:val="24"/>
          <w:lang/>
        </w:rPr>
        <w:t>-</w:t>
      </w:r>
      <w:r>
        <w:rPr>
          <w:rFonts w:hint="eastAsia"/>
          <w:bCs/>
          <w:sz w:val="24"/>
          <w:lang/>
        </w:rPr>
        <w:t>国债总全价</w:t>
      </w:r>
      <w:r>
        <w:rPr>
          <w:rFonts w:hint="eastAsia"/>
          <w:bCs/>
          <w:sz w:val="24"/>
          <w:lang/>
        </w:rPr>
        <w:t>（</w:t>
      </w:r>
      <w:r>
        <w:rPr>
          <w:rFonts w:hint="eastAsia"/>
          <w:bCs/>
          <w:sz w:val="24"/>
          <w:lang/>
        </w:rPr>
        <w:t>1-3</w:t>
      </w:r>
      <w:r>
        <w:rPr>
          <w:rFonts w:hint="eastAsia"/>
          <w:bCs/>
          <w:sz w:val="24"/>
          <w:lang/>
        </w:rPr>
        <w:t>年</w:t>
      </w:r>
      <w:r>
        <w:rPr>
          <w:rFonts w:hint="eastAsia"/>
          <w:bCs/>
          <w:sz w:val="24"/>
          <w:lang/>
        </w:rPr>
        <w:t>）</w:t>
      </w:r>
      <w:r>
        <w:rPr>
          <w:rFonts w:hint="eastAsia"/>
          <w:bCs/>
          <w:sz w:val="24"/>
          <w:lang/>
        </w:rPr>
        <w:t>指数与基金实际运作的久期</w:t>
      </w:r>
      <w:r>
        <w:rPr>
          <w:rFonts w:hint="eastAsia"/>
          <w:bCs/>
          <w:sz w:val="24"/>
          <w:lang/>
        </w:rPr>
        <w:t>较为</w:t>
      </w:r>
      <w:r>
        <w:rPr>
          <w:rFonts w:hint="eastAsia"/>
          <w:bCs/>
          <w:sz w:val="24"/>
          <w:lang/>
        </w:rPr>
        <w:t>贴合。</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基于以上情况，该产品的业绩比较基准的调整主要由于现有业绩比较基准与实际投资风格、资产配置比例等不匹配，调整</w:t>
      </w:r>
      <w:r>
        <w:rPr>
          <w:rFonts w:hint="eastAsia"/>
          <w:bCs/>
          <w:sz w:val="24"/>
          <w:lang/>
        </w:rPr>
        <w:t>后的</w:t>
      </w:r>
      <w:r>
        <w:rPr>
          <w:rFonts w:hint="eastAsia"/>
          <w:bCs/>
          <w:sz w:val="24"/>
          <w:lang/>
        </w:rPr>
        <w:t>业绩比较基准与实际产品定位更为契合，不会对产品投资运作、持有人利益产生实质性不利影响。</w:t>
      </w:r>
    </w:p>
    <w:p w:rsidR="00FC1DAA" w:rsidRDefault="00581B89">
      <w:pPr>
        <w:numPr>
          <w:ilvl w:val="0"/>
          <w:numId w:val="1"/>
        </w:numPr>
        <w:adjustRightInd w:val="0"/>
        <w:snapToGrid w:val="0"/>
        <w:spacing w:line="460" w:lineRule="exact"/>
        <w:ind w:right="240" w:firstLine="480"/>
        <w:rPr>
          <w:b/>
          <w:sz w:val="24"/>
          <w:lang/>
        </w:rPr>
      </w:pPr>
      <w:r>
        <w:rPr>
          <w:rFonts w:hint="eastAsia"/>
          <w:b/>
          <w:sz w:val="24"/>
          <w:lang/>
        </w:rPr>
        <w:t>富国新兴成长量化精选混合型证券投资基金（</w:t>
      </w:r>
      <w:r>
        <w:rPr>
          <w:rFonts w:hint="eastAsia"/>
          <w:b/>
          <w:sz w:val="24"/>
          <w:lang/>
        </w:rPr>
        <w:t>LOF</w:t>
      </w:r>
      <w:r>
        <w:rPr>
          <w:rFonts w:hint="eastAsia"/>
          <w:b/>
          <w:sz w:val="24"/>
          <w:lang/>
        </w:rPr>
        <w:t>）</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1</w:t>
      </w:r>
      <w:r>
        <w:rPr>
          <w:rFonts w:hint="eastAsia"/>
          <w:bCs/>
          <w:sz w:val="24"/>
          <w:lang/>
        </w:rPr>
        <w:t>）调整业绩比较基准的要素权重：</w:t>
      </w:r>
      <w:r>
        <w:rPr>
          <w:rFonts w:hint="eastAsia"/>
          <w:bCs/>
          <w:sz w:val="24"/>
        </w:rPr>
        <w:t>根据过往仓位情况，将基准中的股票资产的基准要素权重从</w:t>
      </w:r>
      <w:r>
        <w:rPr>
          <w:rFonts w:hint="eastAsia"/>
          <w:bCs/>
          <w:sz w:val="24"/>
        </w:rPr>
        <w:t>95%</w:t>
      </w:r>
      <w:r>
        <w:rPr>
          <w:rFonts w:hint="eastAsia"/>
          <w:bCs/>
          <w:sz w:val="24"/>
        </w:rPr>
        <w:t>降低到</w:t>
      </w:r>
      <w:r>
        <w:rPr>
          <w:rFonts w:hint="eastAsia"/>
          <w:bCs/>
          <w:sz w:val="24"/>
        </w:rPr>
        <w:t>90%</w:t>
      </w:r>
      <w:r>
        <w:rPr>
          <w:rFonts w:hint="eastAsia"/>
          <w:bCs/>
          <w:sz w:val="24"/>
        </w:rPr>
        <w:t>，将基准中的债券资产</w:t>
      </w:r>
      <w:r>
        <w:rPr>
          <w:rFonts w:hint="eastAsia"/>
          <w:bCs/>
          <w:sz w:val="24"/>
        </w:rPr>
        <w:t>的基准要素权重从</w:t>
      </w:r>
      <w:r>
        <w:rPr>
          <w:rFonts w:hint="eastAsia"/>
          <w:bCs/>
          <w:sz w:val="24"/>
        </w:rPr>
        <w:t>0%</w:t>
      </w:r>
      <w:r>
        <w:rPr>
          <w:rFonts w:hint="eastAsia"/>
          <w:bCs/>
          <w:sz w:val="24"/>
        </w:rPr>
        <w:t>提高到</w:t>
      </w:r>
      <w:r>
        <w:rPr>
          <w:rFonts w:hint="eastAsia"/>
          <w:bCs/>
          <w:sz w:val="24"/>
        </w:rPr>
        <w:t>5%</w:t>
      </w:r>
      <w:r>
        <w:rPr>
          <w:rFonts w:hint="eastAsia"/>
          <w:bCs/>
          <w:sz w:val="24"/>
        </w:rPr>
        <w:t>。</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2</w:t>
      </w:r>
      <w:r>
        <w:rPr>
          <w:rFonts w:hint="eastAsia"/>
          <w:bCs/>
          <w:sz w:val="24"/>
          <w:lang/>
        </w:rPr>
        <w:t>）更换业绩比较基准要素：在基准指数的选取方面，股票部分的指数由中证</w:t>
      </w:r>
      <w:r>
        <w:rPr>
          <w:rFonts w:hint="eastAsia"/>
          <w:bCs/>
          <w:sz w:val="24"/>
          <w:lang/>
        </w:rPr>
        <w:t>500</w:t>
      </w:r>
      <w:r>
        <w:rPr>
          <w:rFonts w:hint="eastAsia"/>
          <w:bCs/>
          <w:sz w:val="24"/>
          <w:lang/>
        </w:rPr>
        <w:t>指数</w:t>
      </w:r>
      <w:r>
        <w:rPr>
          <w:rFonts w:hint="eastAsia"/>
          <w:bCs/>
          <w:sz w:val="24"/>
          <w:lang/>
        </w:rPr>
        <w:t>、</w:t>
      </w:r>
      <w:r>
        <w:rPr>
          <w:rFonts w:hint="eastAsia"/>
          <w:bCs/>
          <w:sz w:val="24"/>
          <w:lang/>
        </w:rPr>
        <w:t>创业板指数</w:t>
      </w:r>
      <w:r>
        <w:rPr>
          <w:rFonts w:hint="eastAsia"/>
          <w:bCs/>
          <w:sz w:val="24"/>
          <w:lang/>
        </w:rPr>
        <w:t>调整为中国战略新兴产业综合指数，债券部分的指数选用中债</w:t>
      </w:r>
      <w:r>
        <w:rPr>
          <w:rFonts w:hint="eastAsia"/>
          <w:bCs/>
          <w:sz w:val="24"/>
          <w:lang/>
        </w:rPr>
        <w:t>-</w:t>
      </w:r>
      <w:r>
        <w:rPr>
          <w:rFonts w:hint="eastAsia"/>
          <w:bCs/>
          <w:sz w:val="24"/>
          <w:lang/>
        </w:rPr>
        <w:t>国债总全价（</w:t>
      </w:r>
      <w:r>
        <w:rPr>
          <w:rFonts w:hint="eastAsia"/>
          <w:bCs/>
          <w:sz w:val="24"/>
          <w:lang/>
        </w:rPr>
        <w:t>1-3</w:t>
      </w:r>
      <w:r>
        <w:rPr>
          <w:rFonts w:hint="eastAsia"/>
          <w:bCs/>
          <w:sz w:val="24"/>
          <w:lang/>
        </w:rPr>
        <w:t>年）指数。</w:t>
      </w:r>
    </w:p>
    <w:p w:rsidR="00FC1DAA" w:rsidRDefault="00581B89">
      <w:pPr>
        <w:adjustRightInd w:val="0"/>
        <w:snapToGrid w:val="0"/>
        <w:spacing w:line="460" w:lineRule="exact"/>
        <w:ind w:right="240" w:firstLine="480"/>
        <w:rPr>
          <w:bCs/>
          <w:sz w:val="24"/>
          <w:lang/>
        </w:rPr>
      </w:pPr>
      <w:r>
        <w:rPr>
          <w:rFonts w:hint="eastAsia"/>
          <w:bCs/>
          <w:sz w:val="24"/>
          <w:lang/>
        </w:rPr>
        <w:t>在主题界定方面，根据富国新兴成长量化精选混合型证券投资基金（</w:t>
      </w:r>
      <w:r>
        <w:rPr>
          <w:rFonts w:hint="eastAsia"/>
          <w:bCs/>
          <w:sz w:val="24"/>
          <w:lang/>
        </w:rPr>
        <w:t>LOF</w:t>
      </w:r>
      <w:r>
        <w:rPr>
          <w:rFonts w:hint="eastAsia"/>
          <w:bCs/>
          <w:sz w:val="24"/>
          <w:lang/>
        </w:rPr>
        <w:t>）的投资界定，“新兴成长股票”是指在中国经济转型升级和产业结构调整的大背景下，具备新技术、新工艺、新材料、新市场需求、新商业模式等新兴要素的成长性产业的股票。中国战略新兴产业综合指数选取新一代信息技术产业、高端装备制造产业、新材料产业</w:t>
      </w:r>
      <w:r>
        <w:rPr>
          <w:rFonts w:hint="eastAsia"/>
          <w:bCs/>
          <w:sz w:val="24"/>
          <w:lang/>
        </w:rPr>
        <w:t>、生物产业、新能源汽车产业、新能源产业、节能环保产业、数字创意产业、高技术服务业等领域的公司证券作为指数样本，以反映中国战略新兴产业公司证券的整体表现，与主题界定契合。</w:t>
      </w:r>
    </w:p>
    <w:p w:rsidR="00FC1DAA" w:rsidRDefault="00581B89">
      <w:pPr>
        <w:adjustRightInd w:val="0"/>
        <w:snapToGrid w:val="0"/>
        <w:spacing w:line="460" w:lineRule="exact"/>
        <w:ind w:right="240" w:firstLine="480"/>
        <w:rPr>
          <w:bCs/>
          <w:sz w:val="24"/>
          <w:lang/>
        </w:rPr>
      </w:pPr>
      <w:r>
        <w:rPr>
          <w:rFonts w:hint="eastAsia"/>
          <w:bCs/>
          <w:sz w:val="24"/>
          <w:lang/>
        </w:rPr>
        <w:t>在债券指数的选取方面，根据过往债券配置情况，富国新兴成长量化精选混合型证券投资基金（</w:t>
      </w:r>
      <w:r>
        <w:rPr>
          <w:rFonts w:hint="eastAsia"/>
          <w:bCs/>
          <w:sz w:val="24"/>
          <w:lang/>
        </w:rPr>
        <w:t>LOF</w:t>
      </w:r>
      <w:r>
        <w:rPr>
          <w:rFonts w:hint="eastAsia"/>
          <w:bCs/>
          <w:sz w:val="24"/>
          <w:lang/>
        </w:rPr>
        <w:t>）整体组合久期以中短久期为主，中债</w:t>
      </w:r>
      <w:r>
        <w:rPr>
          <w:rFonts w:hint="eastAsia"/>
          <w:bCs/>
          <w:sz w:val="24"/>
          <w:lang/>
        </w:rPr>
        <w:t>-</w:t>
      </w:r>
      <w:r>
        <w:rPr>
          <w:rFonts w:hint="eastAsia"/>
          <w:bCs/>
          <w:sz w:val="24"/>
          <w:lang/>
        </w:rPr>
        <w:t>国债总全价（</w:t>
      </w:r>
      <w:r>
        <w:rPr>
          <w:rFonts w:hint="eastAsia"/>
          <w:bCs/>
          <w:sz w:val="24"/>
          <w:lang/>
        </w:rPr>
        <w:t>1-3</w:t>
      </w:r>
      <w:r>
        <w:rPr>
          <w:rFonts w:hint="eastAsia"/>
          <w:bCs/>
          <w:sz w:val="24"/>
          <w:lang/>
        </w:rPr>
        <w:t>年）指数与基金实际运作的久期较为贴合。</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基于以上情况，该产品的业绩比较基准的调整主要由于现有业绩比较基准与实际投资风格、资产配置比例等不匹配，调整</w:t>
      </w:r>
      <w:r>
        <w:rPr>
          <w:rFonts w:hint="eastAsia"/>
          <w:bCs/>
          <w:sz w:val="24"/>
          <w:lang/>
        </w:rPr>
        <w:t>后的</w:t>
      </w:r>
      <w:r>
        <w:rPr>
          <w:rFonts w:hint="eastAsia"/>
          <w:bCs/>
          <w:sz w:val="24"/>
          <w:lang/>
        </w:rPr>
        <w:t>业绩比较基准与实际产品定位更为契合，不会对产品投</w:t>
      </w:r>
      <w:r>
        <w:rPr>
          <w:rFonts w:hint="eastAsia"/>
          <w:bCs/>
          <w:sz w:val="24"/>
          <w:lang/>
        </w:rPr>
        <w:t>资运作、持有人利益产生实质性不利影响。</w:t>
      </w:r>
    </w:p>
    <w:p w:rsidR="00FC1DAA" w:rsidRDefault="00581B89">
      <w:pPr>
        <w:numPr>
          <w:ilvl w:val="0"/>
          <w:numId w:val="1"/>
        </w:numPr>
        <w:adjustRightInd w:val="0"/>
        <w:snapToGrid w:val="0"/>
        <w:spacing w:line="460" w:lineRule="exact"/>
        <w:ind w:right="240" w:firstLine="480"/>
        <w:rPr>
          <w:b/>
          <w:sz w:val="24"/>
          <w:lang/>
        </w:rPr>
      </w:pPr>
      <w:r>
        <w:rPr>
          <w:rFonts w:hint="eastAsia"/>
          <w:b/>
          <w:sz w:val="24"/>
          <w:lang/>
        </w:rPr>
        <w:t>富国医药成长</w:t>
      </w:r>
      <w:r>
        <w:rPr>
          <w:rFonts w:hint="eastAsia"/>
          <w:b/>
          <w:sz w:val="24"/>
          <w:lang/>
        </w:rPr>
        <w:t>30</w:t>
      </w:r>
      <w:r>
        <w:rPr>
          <w:rFonts w:hint="eastAsia"/>
          <w:b/>
          <w:sz w:val="24"/>
          <w:lang/>
        </w:rPr>
        <w:t>股票型证券投资基金</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1</w:t>
      </w:r>
      <w:r>
        <w:rPr>
          <w:rFonts w:hint="eastAsia"/>
          <w:bCs/>
          <w:sz w:val="24"/>
          <w:lang/>
        </w:rPr>
        <w:t>）调整业绩比较基准的要素权重：</w:t>
      </w:r>
      <w:r>
        <w:rPr>
          <w:rFonts w:hint="eastAsia"/>
          <w:bCs/>
          <w:sz w:val="24"/>
        </w:rPr>
        <w:t>根据过往仓位情况，将基准中的股票资产的基准要素权重从</w:t>
      </w:r>
      <w:r>
        <w:rPr>
          <w:rFonts w:hint="eastAsia"/>
          <w:bCs/>
          <w:sz w:val="24"/>
        </w:rPr>
        <w:t>80%</w:t>
      </w:r>
      <w:r>
        <w:rPr>
          <w:rFonts w:hint="eastAsia"/>
          <w:bCs/>
          <w:sz w:val="24"/>
        </w:rPr>
        <w:t>提高到</w:t>
      </w:r>
      <w:r>
        <w:rPr>
          <w:rFonts w:hint="eastAsia"/>
          <w:bCs/>
          <w:sz w:val="24"/>
        </w:rPr>
        <w:t>90</w:t>
      </w:r>
      <w:r>
        <w:rPr>
          <w:rFonts w:hint="eastAsia"/>
          <w:bCs/>
          <w:sz w:val="24"/>
        </w:rPr>
        <w:t>%</w:t>
      </w:r>
      <w:r>
        <w:rPr>
          <w:rFonts w:hint="eastAsia"/>
          <w:bCs/>
          <w:sz w:val="24"/>
        </w:rPr>
        <w:t>，将基准中的债券资产的基准要素权重从</w:t>
      </w:r>
      <w:r>
        <w:rPr>
          <w:rFonts w:hint="eastAsia"/>
          <w:bCs/>
          <w:sz w:val="24"/>
        </w:rPr>
        <w:t>20%</w:t>
      </w:r>
      <w:r>
        <w:rPr>
          <w:rFonts w:hint="eastAsia"/>
          <w:bCs/>
          <w:sz w:val="24"/>
        </w:rPr>
        <w:t>降低到</w:t>
      </w:r>
      <w:r>
        <w:rPr>
          <w:rFonts w:hint="eastAsia"/>
          <w:bCs/>
          <w:sz w:val="24"/>
        </w:rPr>
        <w:t>10%</w:t>
      </w:r>
      <w:r>
        <w:rPr>
          <w:rFonts w:hint="eastAsia"/>
          <w:bCs/>
          <w:sz w:val="24"/>
        </w:rPr>
        <w:t>。其中，将股票资产中的</w:t>
      </w:r>
      <w:r>
        <w:rPr>
          <w:rFonts w:hint="eastAsia"/>
          <w:bCs/>
          <w:sz w:val="24"/>
        </w:rPr>
        <w:t>A</w:t>
      </w:r>
      <w:r>
        <w:rPr>
          <w:rFonts w:hint="eastAsia"/>
          <w:bCs/>
          <w:sz w:val="24"/>
        </w:rPr>
        <w:t>股股票的基准要素权重从</w:t>
      </w:r>
      <w:r>
        <w:rPr>
          <w:rFonts w:hint="eastAsia"/>
          <w:bCs/>
          <w:sz w:val="24"/>
        </w:rPr>
        <w:t>75%</w:t>
      </w:r>
      <w:r>
        <w:rPr>
          <w:rFonts w:hint="eastAsia"/>
          <w:bCs/>
          <w:sz w:val="24"/>
        </w:rPr>
        <w:t>提高到</w:t>
      </w:r>
      <w:r>
        <w:rPr>
          <w:rFonts w:hint="eastAsia"/>
          <w:bCs/>
          <w:sz w:val="24"/>
        </w:rPr>
        <w:t>85%</w:t>
      </w:r>
      <w:r>
        <w:rPr>
          <w:rFonts w:hint="eastAsia"/>
          <w:bCs/>
          <w:sz w:val="24"/>
        </w:rPr>
        <w:t>。</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2</w:t>
      </w:r>
      <w:r>
        <w:rPr>
          <w:rFonts w:hint="eastAsia"/>
          <w:bCs/>
          <w:sz w:val="24"/>
          <w:lang/>
        </w:rPr>
        <w:t>）更换业绩比较基准要素：在基准指数的选取方面，港股标的股票部分的指数由恒生指数调整为恒生医疗保健指数，债券部分的指数由中债综合指数调整为中债</w:t>
      </w:r>
      <w:r>
        <w:rPr>
          <w:rFonts w:hint="eastAsia"/>
          <w:bCs/>
          <w:sz w:val="24"/>
          <w:lang/>
        </w:rPr>
        <w:t>-</w:t>
      </w:r>
      <w:r>
        <w:rPr>
          <w:rFonts w:hint="eastAsia"/>
          <w:bCs/>
          <w:sz w:val="24"/>
          <w:lang/>
        </w:rPr>
        <w:t>国债总财富</w:t>
      </w:r>
      <w:r>
        <w:rPr>
          <w:rFonts w:hint="eastAsia"/>
          <w:bCs/>
          <w:sz w:val="24"/>
          <w:lang/>
        </w:rPr>
        <w:t>（</w:t>
      </w:r>
      <w:r>
        <w:rPr>
          <w:rFonts w:hint="eastAsia"/>
          <w:bCs/>
          <w:sz w:val="24"/>
          <w:lang/>
        </w:rPr>
        <w:t>1-3</w:t>
      </w:r>
      <w:r>
        <w:rPr>
          <w:rFonts w:hint="eastAsia"/>
          <w:bCs/>
          <w:sz w:val="24"/>
          <w:lang/>
        </w:rPr>
        <w:t>年</w:t>
      </w:r>
      <w:r>
        <w:rPr>
          <w:rFonts w:hint="eastAsia"/>
          <w:bCs/>
          <w:sz w:val="24"/>
          <w:lang/>
        </w:rPr>
        <w:t>）</w:t>
      </w:r>
      <w:r>
        <w:rPr>
          <w:rFonts w:hint="eastAsia"/>
          <w:bCs/>
          <w:sz w:val="24"/>
          <w:lang/>
        </w:rPr>
        <w:t>指数。</w:t>
      </w:r>
    </w:p>
    <w:p w:rsidR="00FC1DAA" w:rsidRDefault="00581B89">
      <w:pPr>
        <w:adjustRightInd w:val="0"/>
        <w:snapToGrid w:val="0"/>
        <w:spacing w:line="460" w:lineRule="exact"/>
        <w:ind w:right="240" w:firstLine="480"/>
        <w:rPr>
          <w:bCs/>
          <w:sz w:val="24"/>
          <w:lang/>
        </w:rPr>
      </w:pPr>
      <w:r>
        <w:rPr>
          <w:rFonts w:hint="eastAsia"/>
          <w:bCs/>
          <w:sz w:val="24"/>
          <w:lang/>
        </w:rPr>
        <w:t>在主题界定方面，根据富国医药成长</w:t>
      </w:r>
      <w:r>
        <w:rPr>
          <w:rFonts w:hint="eastAsia"/>
          <w:bCs/>
          <w:sz w:val="24"/>
          <w:lang/>
        </w:rPr>
        <w:t>3</w:t>
      </w:r>
      <w:r>
        <w:rPr>
          <w:rFonts w:hint="eastAsia"/>
          <w:bCs/>
          <w:sz w:val="24"/>
          <w:lang/>
        </w:rPr>
        <w:t>0</w:t>
      </w:r>
      <w:r>
        <w:rPr>
          <w:rFonts w:hint="eastAsia"/>
          <w:bCs/>
          <w:sz w:val="24"/>
          <w:lang/>
        </w:rPr>
        <w:t>股票型证券投资基金的投资界定，本基金的股票资产主要投向医药行业上市公司，并在医药行业上市公司的范畴中，挑选出成长性良好的上市公司股票，即医药行业成长性公司</w:t>
      </w:r>
      <w:r>
        <w:rPr>
          <w:rFonts w:hint="eastAsia"/>
          <w:bCs/>
          <w:sz w:val="24"/>
          <w:lang/>
        </w:rPr>
        <w:t>。</w:t>
      </w:r>
      <w:r>
        <w:rPr>
          <w:rFonts w:hint="eastAsia"/>
          <w:bCs/>
          <w:sz w:val="24"/>
          <w:lang/>
        </w:rPr>
        <w:t>恒生指数主要包括金融、可选消费等多个领域，而恒生医疗保健指数反映恒生综合指数里主要经营医疗保健业务成份股公司的表现，与主题界定更契合。</w:t>
      </w:r>
    </w:p>
    <w:p w:rsidR="00FC1DAA" w:rsidRDefault="00581B89">
      <w:pPr>
        <w:adjustRightInd w:val="0"/>
        <w:snapToGrid w:val="0"/>
        <w:spacing w:line="460" w:lineRule="exact"/>
        <w:ind w:right="240" w:firstLine="480"/>
        <w:rPr>
          <w:bCs/>
          <w:sz w:val="24"/>
          <w:lang/>
        </w:rPr>
      </w:pPr>
      <w:r>
        <w:rPr>
          <w:rFonts w:hint="eastAsia"/>
          <w:bCs/>
          <w:sz w:val="24"/>
          <w:lang/>
        </w:rPr>
        <w:t>在债券指数的选取方面，根据过往债券配置情况，富国医药成长</w:t>
      </w:r>
      <w:r>
        <w:rPr>
          <w:rFonts w:hint="eastAsia"/>
          <w:bCs/>
          <w:sz w:val="24"/>
          <w:lang/>
        </w:rPr>
        <w:t>30</w:t>
      </w:r>
      <w:r>
        <w:rPr>
          <w:rFonts w:hint="eastAsia"/>
          <w:bCs/>
          <w:sz w:val="24"/>
          <w:lang/>
        </w:rPr>
        <w:t>股票型证券投资基金整体组合久期以中短久期为主，与原指数相比，中债</w:t>
      </w:r>
      <w:r>
        <w:rPr>
          <w:rFonts w:hint="eastAsia"/>
          <w:bCs/>
          <w:sz w:val="24"/>
          <w:lang/>
        </w:rPr>
        <w:t>-</w:t>
      </w:r>
      <w:r>
        <w:rPr>
          <w:rFonts w:hint="eastAsia"/>
          <w:bCs/>
          <w:sz w:val="24"/>
          <w:lang/>
        </w:rPr>
        <w:t>国债总</w:t>
      </w:r>
      <w:r>
        <w:rPr>
          <w:rFonts w:hint="eastAsia"/>
          <w:bCs/>
          <w:sz w:val="24"/>
          <w:lang/>
        </w:rPr>
        <w:t>财富</w:t>
      </w:r>
      <w:r>
        <w:rPr>
          <w:rFonts w:hint="eastAsia"/>
          <w:bCs/>
          <w:sz w:val="24"/>
          <w:lang/>
        </w:rPr>
        <w:t>（</w:t>
      </w:r>
      <w:r>
        <w:rPr>
          <w:rFonts w:hint="eastAsia"/>
          <w:bCs/>
          <w:sz w:val="24"/>
          <w:lang/>
        </w:rPr>
        <w:t>1-3</w:t>
      </w:r>
      <w:r>
        <w:rPr>
          <w:rFonts w:hint="eastAsia"/>
          <w:bCs/>
          <w:sz w:val="24"/>
          <w:lang/>
        </w:rPr>
        <w:t>年</w:t>
      </w:r>
      <w:r>
        <w:rPr>
          <w:rFonts w:hint="eastAsia"/>
          <w:bCs/>
          <w:sz w:val="24"/>
          <w:lang/>
        </w:rPr>
        <w:t>）</w:t>
      </w:r>
      <w:r>
        <w:rPr>
          <w:rFonts w:hint="eastAsia"/>
          <w:bCs/>
          <w:sz w:val="24"/>
          <w:lang/>
        </w:rPr>
        <w:t>指数与基金实际运作的久期更为贴合。</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w:t>
      </w:r>
      <w:r>
        <w:rPr>
          <w:rFonts w:hint="eastAsia"/>
          <w:bCs/>
          <w:sz w:val="24"/>
          <w:lang/>
        </w:rPr>
        <w:t>的调整主要由于现有业绩比较基准与实际投资风格、资产配置比例等不匹配，调整</w:t>
      </w:r>
      <w:r>
        <w:rPr>
          <w:rFonts w:hint="eastAsia"/>
          <w:bCs/>
          <w:sz w:val="24"/>
          <w:lang/>
        </w:rPr>
        <w:t>后的</w:t>
      </w:r>
      <w:r>
        <w:rPr>
          <w:rFonts w:hint="eastAsia"/>
          <w:bCs/>
          <w:sz w:val="24"/>
          <w:lang/>
        </w:rPr>
        <w:t>业绩比较基准与实际产品定位更为契合，不会对产品投资运作、持有人利益产生实质性不利影响。</w:t>
      </w:r>
    </w:p>
    <w:p w:rsidR="00FC1DAA" w:rsidRDefault="00581B89">
      <w:pPr>
        <w:numPr>
          <w:ilvl w:val="0"/>
          <w:numId w:val="1"/>
        </w:numPr>
        <w:adjustRightInd w:val="0"/>
        <w:snapToGrid w:val="0"/>
        <w:spacing w:line="460" w:lineRule="exact"/>
        <w:ind w:right="240" w:firstLine="480"/>
        <w:rPr>
          <w:b/>
          <w:sz w:val="24"/>
          <w:lang/>
        </w:rPr>
      </w:pPr>
      <w:r>
        <w:rPr>
          <w:rFonts w:hint="eastAsia"/>
          <w:b/>
          <w:sz w:val="24"/>
          <w:lang/>
        </w:rPr>
        <w:t>富国价值成长混合型证券投资基金</w:t>
      </w:r>
    </w:p>
    <w:p w:rsidR="00FC1DAA" w:rsidRDefault="00581B89">
      <w:pPr>
        <w:adjustRightInd w:val="0"/>
        <w:snapToGrid w:val="0"/>
        <w:spacing w:line="460" w:lineRule="exact"/>
        <w:ind w:right="240" w:firstLine="480"/>
        <w:rPr>
          <w:bCs/>
          <w:sz w:val="24"/>
        </w:rPr>
      </w:pPr>
      <w:r>
        <w:rPr>
          <w:rFonts w:hint="eastAsia"/>
          <w:bCs/>
          <w:sz w:val="24"/>
          <w:lang/>
        </w:rPr>
        <w:t>（</w:t>
      </w:r>
      <w:r>
        <w:rPr>
          <w:rFonts w:hint="eastAsia"/>
          <w:bCs/>
          <w:sz w:val="24"/>
          <w:lang/>
        </w:rPr>
        <w:t>1</w:t>
      </w:r>
      <w:r>
        <w:rPr>
          <w:rFonts w:hint="eastAsia"/>
          <w:bCs/>
          <w:sz w:val="24"/>
          <w:lang/>
        </w:rPr>
        <w:t>）调整业绩比较基准的要素权重：</w:t>
      </w:r>
      <w:r>
        <w:rPr>
          <w:rFonts w:hint="eastAsia"/>
          <w:bCs/>
          <w:sz w:val="24"/>
        </w:rPr>
        <w:t>根据过往仓位情况，将股票资产中的</w:t>
      </w:r>
      <w:r>
        <w:rPr>
          <w:rFonts w:hint="eastAsia"/>
          <w:bCs/>
          <w:sz w:val="24"/>
        </w:rPr>
        <w:t>A</w:t>
      </w:r>
      <w:r>
        <w:rPr>
          <w:rFonts w:hint="eastAsia"/>
          <w:bCs/>
          <w:sz w:val="24"/>
        </w:rPr>
        <w:t>股股票的基准要素权重从</w:t>
      </w:r>
      <w:r>
        <w:rPr>
          <w:rFonts w:hint="eastAsia"/>
          <w:bCs/>
          <w:sz w:val="24"/>
        </w:rPr>
        <w:t>60%</w:t>
      </w:r>
      <w:r>
        <w:rPr>
          <w:rFonts w:hint="eastAsia"/>
          <w:bCs/>
          <w:sz w:val="24"/>
        </w:rPr>
        <w:t>提高到</w:t>
      </w:r>
      <w:r>
        <w:rPr>
          <w:rFonts w:hint="eastAsia"/>
          <w:bCs/>
          <w:sz w:val="24"/>
        </w:rPr>
        <w:t>70%</w:t>
      </w:r>
      <w:r>
        <w:rPr>
          <w:rFonts w:hint="eastAsia"/>
          <w:bCs/>
          <w:sz w:val="24"/>
        </w:rPr>
        <w:t>，港股通标的股票的基准要素权重从</w:t>
      </w:r>
      <w:r>
        <w:rPr>
          <w:rFonts w:hint="eastAsia"/>
          <w:bCs/>
          <w:sz w:val="24"/>
        </w:rPr>
        <w:t>20%</w:t>
      </w:r>
      <w:r>
        <w:rPr>
          <w:rFonts w:hint="eastAsia"/>
          <w:bCs/>
          <w:sz w:val="24"/>
        </w:rPr>
        <w:t>降低到</w:t>
      </w:r>
      <w:r>
        <w:rPr>
          <w:rFonts w:hint="eastAsia"/>
          <w:bCs/>
          <w:sz w:val="24"/>
        </w:rPr>
        <w:t>10%</w:t>
      </w:r>
      <w:r>
        <w:rPr>
          <w:rFonts w:hint="eastAsia"/>
          <w:bCs/>
          <w:sz w:val="24"/>
        </w:rPr>
        <w:t>。</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2</w:t>
      </w:r>
      <w:r>
        <w:rPr>
          <w:rFonts w:hint="eastAsia"/>
          <w:bCs/>
          <w:sz w:val="24"/>
          <w:lang/>
        </w:rPr>
        <w:t>）更换业绩比较基准要素：在基准指数的选取方面，</w:t>
      </w:r>
      <w:r>
        <w:rPr>
          <w:rFonts w:hint="eastAsia"/>
          <w:bCs/>
          <w:sz w:val="24"/>
          <w:lang/>
        </w:rPr>
        <w:t>A</w:t>
      </w:r>
      <w:r>
        <w:rPr>
          <w:rFonts w:hint="eastAsia"/>
          <w:bCs/>
          <w:sz w:val="24"/>
          <w:lang/>
        </w:rPr>
        <w:t>股股票部分的指数由沪深</w:t>
      </w:r>
      <w:r>
        <w:rPr>
          <w:rFonts w:hint="eastAsia"/>
          <w:bCs/>
          <w:sz w:val="24"/>
          <w:lang/>
        </w:rPr>
        <w:t>300</w:t>
      </w:r>
      <w:r>
        <w:rPr>
          <w:rFonts w:hint="eastAsia"/>
          <w:bCs/>
          <w:sz w:val="24"/>
          <w:lang/>
        </w:rPr>
        <w:t>指数调整为中证</w:t>
      </w:r>
      <w:r>
        <w:rPr>
          <w:rFonts w:hint="eastAsia"/>
          <w:bCs/>
          <w:sz w:val="24"/>
          <w:lang/>
        </w:rPr>
        <w:t>800</w:t>
      </w:r>
      <w:r>
        <w:rPr>
          <w:rFonts w:hint="eastAsia"/>
          <w:bCs/>
          <w:sz w:val="24"/>
          <w:lang/>
        </w:rPr>
        <w:t>指数，债券部分的指数由中债综合全价指数调整为中债</w:t>
      </w:r>
      <w:r>
        <w:rPr>
          <w:rFonts w:hint="eastAsia"/>
          <w:bCs/>
          <w:sz w:val="24"/>
          <w:lang/>
        </w:rPr>
        <w:t>-</w:t>
      </w:r>
      <w:r>
        <w:rPr>
          <w:rFonts w:hint="eastAsia"/>
          <w:bCs/>
          <w:sz w:val="24"/>
          <w:lang/>
        </w:rPr>
        <w:t>国债总全价</w:t>
      </w:r>
      <w:r>
        <w:rPr>
          <w:rFonts w:hint="eastAsia"/>
          <w:bCs/>
          <w:sz w:val="24"/>
          <w:lang/>
        </w:rPr>
        <w:t>（</w:t>
      </w:r>
      <w:r>
        <w:rPr>
          <w:rFonts w:hint="eastAsia"/>
          <w:bCs/>
          <w:sz w:val="24"/>
          <w:lang/>
        </w:rPr>
        <w:t>1-3</w:t>
      </w:r>
      <w:r>
        <w:rPr>
          <w:rFonts w:hint="eastAsia"/>
          <w:bCs/>
          <w:sz w:val="24"/>
          <w:lang/>
        </w:rPr>
        <w:t>年</w:t>
      </w:r>
      <w:r>
        <w:rPr>
          <w:rFonts w:hint="eastAsia"/>
          <w:bCs/>
          <w:sz w:val="24"/>
          <w:lang/>
        </w:rPr>
        <w:t>）</w:t>
      </w:r>
      <w:r>
        <w:rPr>
          <w:rFonts w:hint="eastAsia"/>
          <w:bCs/>
          <w:sz w:val="24"/>
          <w:lang/>
        </w:rPr>
        <w:t>指数。</w:t>
      </w:r>
    </w:p>
    <w:p w:rsidR="00FC1DAA" w:rsidRDefault="00581B89">
      <w:pPr>
        <w:adjustRightInd w:val="0"/>
        <w:snapToGrid w:val="0"/>
        <w:spacing w:line="460" w:lineRule="exact"/>
        <w:ind w:right="240" w:firstLine="480"/>
        <w:rPr>
          <w:bCs/>
          <w:sz w:val="24"/>
          <w:lang/>
        </w:rPr>
      </w:pPr>
      <w:r>
        <w:rPr>
          <w:rFonts w:hint="eastAsia"/>
          <w:bCs/>
          <w:sz w:val="24"/>
          <w:lang/>
        </w:rPr>
        <w:t>沪深</w:t>
      </w:r>
      <w:r>
        <w:rPr>
          <w:rFonts w:hint="eastAsia"/>
          <w:bCs/>
          <w:sz w:val="24"/>
          <w:lang/>
        </w:rPr>
        <w:t>300</w:t>
      </w:r>
      <w:r>
        <w:rPr>
          <w:rFonts w:hint="eastAsia"/>
          <w:bCs/>
          <w:sz w:val="24"/>
          <w:lang/>
        </w:rPr>
        <w:t>指数由沪深市场中规模大、流动性好的最具代表性的</w:t>
      </w:r>
      <w:r>
        <w:rPr>
          <w:rFonts w:hint="eastAsia"/>
          <w:bCs/>
          <w:sz w:val="24"/>
          <w:lang/>
        </w:rPr>
        <w:t>300</w:t>
      </w:r>
      <w:r>
        <w:rPr>
          <w:rFonts w:hint="eastAsia"/>
          <w:bCs/>
          <w:sz w:val="24"/>
          <w:lang/>
        </w:rPr>
        <w:t>只证券组成，以反映沪深市场上市公司证券的整体表现；调整后的新业绩比较基准中，中证</w:t>
      </w:r>
      <w:r>
        <w:rPr>
          <w:rFonts w:hint="eastAsia"/>
          <w:bCs/>
          <w:sz w:val="24"/>
          <w:lang/>
        </w:rPr>
        <w:t>800</w:t>
      </w:r>
      <w:r>
        <w:rPr>
          <w:rFonts w:hint="eastAsia"/>
          <w:bCs/>
          <w:sz w:val="24"/>
          <w:lang/>
        </w:rPr>
        <w:t>指数由沪深市场市值较大、流动性较好的</w:t>
      </w:r>
      <w:r>
        <w:rPr>
          <w:rFonts w:hint="eastAsia"/>
          <w:bCs/>
          <w:sz w:val="24"/>
          <w:lang/>
        </w:rPr>
        <w:t>800</w:t>
      </w:r>
      <w:r>
        <w:rPr>
          <w:rFonts w:hint="eastAsia"/>
          <w:bCs/>
          <w:sz w:val="24"/>
          <w:lang/>
        </w:rPr>
        <w:t>只股票构成，反映沪深市场大中盘上市公司证券的整体表现。根据过往持仓情况，调整后的中证</w:t>
      </w:r>
      <w:r>
        <w:rPr>
          <w:rFonts w:hint="eastAsia"/>
          <w:bCs/>
          <w:sz w:val="24"/>
          <w:lang/>
        </w:rPr>
        <w:t>800</w:t>
      </w:r>
      <w:r>
        <w:rPr>
          <w:rFonts w:hint="eastAsia"/>
          <w:bCs/>
          <w:sz w:val="24"/>
          <w:lang/>
        </w:rPr>
        <w:t>指数与基金实际持股风格更为匹配。</w:t>
      </w:r>
    </w:p>
    <w:p w:rsidR="00FC1DAA" w:rsidRDefault="00581B89">
      <w:pPr>
        <w:adjustRightInd w:val="0"/>
        <w:snapToGrid w:val="0"/>
        <w:spacing w:line="460" w:lineRule="exact"/>
        <w:ind w:right="240" w:firstLine="480"/>
        <w:rPr>
          <w:bCs/>
          <w:sz w:val="24"/>
          <w:lang/>
        </w:rPr>
      </w:pPr>
      <w:r>
        <w:rPr>
          <w:rFonts w:hint="eastAsia"/>
          <w:bCs/>
          <w:sz w:val="24"/>
          <w:lang/>
        </w:rPr>
        <w:t>在债券指数的选取方</w:t>
      </w:r>
      <w:r>
        <w:rPr>
          <w:rFonts w:hint="eastAsia"/>
          <w:bCs/>
          <w:sz w:val="24"/>
          <w:lang/>
        </w:rPr>
        <w:t>面，根据过往债券配置情况，富国价值成长混合型证券投资基金整体组合久期以中短久期为主，与原指数相比，中债</w:t>
      </w:r>
      <w:r>
        <w:rPr>
          <w:rFonts w:hint="eastAsia"/>
          <w:bCs/>
          <w:sz w:val="24"/>
          <w:lang/>
        </w:rPr>
        <w:t>-</w:t>
      </w:r>
      <w:r>
        <w:rPr>
          <w:rFonts w:hint="eastAsia"/>
          <w:bCs/>
          <w:sz w:val="24"/>
          <w:lang/>
        </w:rPr>
        <w:t>国债总全价</w:t>
      </w:r>
      <w:r>
        <w:rPr>
          <w:rFonts w:hint="eastAsia"/>
          <w:bCs/>
          <w:sz w:val="24"/>
          <w:lang/>
        </w:rPr>
        <w:t>（</w:t>
      </w:r>
      <w:r>
        <w:rPr>
          <w:rFonts w:hint="eastAsia"/>
          <w:bCs/>
          <w:sz w:val="24"/>
          <w:lang/>
        </w:rPr>
        <w:t>1-3</w:t>
      </w:r>
      <w:r>
        <w:rPr>
          <w:rFonts w:hint="eastAsia"/>
          <w:bCs/>
          <w:sz w:val="24"/>
          <w:lang/>
        </w:rPr>
        <w:t>年</w:t>
      </w:r>
      <w:r>
        <w:rPr>
          <w:rFonts w:hint="eastAsia"/>
          <w:bCs/>
          <w:sz w:val="24"/>
          <w:lang/>
        </w:rPr>
        <w:t>）</w:t>
      </w:r>
      <w:r>
        <w:rPr>
          <w:rFonts w:hint="eastAsia"/>
          <w:bCs/>
          <w:sz w:val="24"/>
          <w:lang/>
        </w:rPr>
        <w:t>指数与基金实际运作的久期更为贴合。</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基于以上情况，该产品的业绩比较基准的调整主要由于现有业绩比较基准与实际投资风格、资产配置比例等不匹配，调整</w:t>
      </w:r>
      <w:r>
        <w:rPr>
          <w:rFonts w:hint="eastAsia"/>
          <w:bCs/>
          <w:sz w:val="24"/>
          <w:lang/>
        </w:rPr>
        <w:t>后的</w:t>
      </w:r>
      <w:r>
        <w:rPr>
          <w:rFonts w:hint="eastAsia"/>
          <w:bCs/>
          <w:sz w:val="24"/>
          <w:lang/>
        </w:rPr>
        <w:t>业绩比较基准与实际产品定位更为契合，不会对产品投资运作、持有人利益产生实质性不利影响。</w:t>
      </w:r>
    </w:p>
    <w:p w:rsidR="00FC1DAA" w:rsidRDefault="00581B89">
      <w:pPr>
        <w:numPr>
          <w:ilvl w:val="0"/>
          <w:numId w:val="1"/>
        </w:numPr>
        <w:adjustRightInd w:val="0"/>
        <w:snapToGrid w:val="0"/>
        <w:spacing w:line="460" w:lineRule="exact"/>
        <w:ind w:right="240" w:firstLine="480"/>
        <w:rPr>
          <w:b/>
          <w:sz w:val="24"/>
          <w:lang/>
        </w:rPr>
      </w:pPr>
      <w:r>
        <w:rPr>
          <w:rFonts w:hint="eastAsia"/>
          <w:b/>
          <w:sz w:val="24"/>
          <w:lang/>
        </w:rPr>
        <w:t>富国恒享回报</w:t>
      </w:r>
      <w:r>
        <w:rPr>
          <w:rFonts w:hint="eastAsia"/>
          <w:b/>
          <w:sz w:val="24"/>
          <w:lang/>
        </w:rPr>
        <w:t>12</w:t>
      </w:r>
      <w:r>
        <w:rPr>
          <w:rFonts w:hint="eastAsia"/>
          <w:b/>
          <w:sz w:val="24"/>
          <w:lang/>
        </w:rPr>
        <w:t>个月持有期混合型证券投资基金</w:t>
      </w:r>
    </w:p>
    <w:p w:rsidR="00FC1DAA" w:rsidRDefault="00581B89">
      <w:pPr>
        <w:adjustRightInd w:val="0"/>
        <w:snapToGrid w:val="0"/>
        <w:spacing w:line="460" w:lineRule="exact"/>
        <w:ind w:right="240" w:firstLine="480"/>
        <w:rPr>
          <w:bCs/>
          <w:sz w:val="24"/>
        </w:rPr>
      </w:pPr>
      <w:r>
        <w:rPr>
          <w:rFonts w:hint="eastAsia"/>
          <w:bCs/>
          <w:sz w:val="24"/>
          <w:lang/>
        </w:rPr>
        <w:t>调整业绩比较基准的要素权重：</w:t>
      </w:r>
      <w:r>
        <w:rPr>
          <w:rFonts w:hint="eastAsia"/>
          <w:bCs/>
          <w:sz w:val="24"/>
        </w:rPr>
        <w:t>根据过往仓位情况，将基准中的股票资产的基准要素权重从</w:t>
      </w:r>
      <w:r>
        <w:rPr>
          <w:rFonts w:hint="eastAsia"/>
          <w:bCs/>
          <w:sz w:val="24"/>
        </w:rPr>
        <w:t>15%</w:t>
      </w:r>
      <w:r>
        <w:rPr>
          <w:rFonts w:hint="eastAsia"/>
          <w:bCs/>
          <w:sz w:val="24"/>
        </w:rPr>
        <w:t>提高到</w:t>
      </w:r>
      <w:r>
        <w:rPr>
          <w:rFonts w:hint="eastAsia"/>
          <w:bCs/>
          <w:sz w:val="24"/>
        </w:rPr>
        <w:t>20%</w:t>
      </w:r>
      <w:r>
        <w:rPr>
          <w:rFonts w:hint="eastAsia"/>
          <w:bCs/>
          <w:sz w:val="24"/>
        </w:rPr>
        <w:t>，将基准</w:t>
      </w:r>
      <w:r>
        <w:rPr>
          <w:rFonts w:hint="eastAsia"/>
          <w:bCs/>
          <w:sz w:val="24"/>
        </w:rPr>
        <w:t>中的债券资产的基准要素权重从</w:t>
      </w:r>
      <w:r>
        <w:rPr>
          <w:rFonts w:hint="eastAsia"/>
          <w:bCs/>
          <w:sz w:val="24"/>
        </w:rPr>
        <w:t>85%</w:t>
      </w:r>
      <w:r>
        <w:rPr>
          <w:rFonts w:hint="eastAsia"/>
          <w:bCs/>
          <w:sz w:val="24"/>
        </w:rPr>
        <w:t>降低到</w:t>
      </w:r>
      <w:r>
        <w:rPr>
          <w:rFonts w:hint="eastAsia"/>
          <w:bCs/>
          <w:sz w:val="24"/>
        </w:rPr>
        <w:t>80%</w:t>
      </w:r>
      <w:r>
        <w:rPr>
          <w:rFonts w:hint="eastAsia"/>
          <w:bCs/>
          <w:sz w:val="24"/>
        </w:rPr>
        <w:t>。其中，将股票资产中的</w:t>
      </w:r>
      <w:r>
        <w:rPr>
          <w:rFonts w:hint="eastAsia"/>
          <w:bCs/>
          <w:sz w:val="24"/>
        </w:rPr>
        <w:t>A</w:t>
      </w:r>
      <w:r>
        <w:rPr>
          <w:rFonts w:hint="eastAsia"/>
          <w:bCs/>
          <w:sz w:val="24"/>
        </w:rPr>
        <w:t>股股票的基准要素权重从</w:t>
      </w:r>
      <w:r>
        <w:rPr>
          <w:rFonts w:hint="eastAsia"/>
          <w:bCs/>
          <w:sz w:val="24"/>
        </w:rPr>
        <w:t>10%</w:t>
      </w:r>
      <w:r>
        <w:rPr>
          <w:rFonts w:hint="eastAsia"/>
          <w:bCs/>
          <w:sz w:val="24"/>
        </w:rPr>
        <w:t>提高到</w:t>
      </w:r>
      <w:r>
        <w:rPr>
          <w:rFonts w:hint="eastAsia"/>
          <w:bCs/>
          <w:sz w:val="24"/>
        </w:rPr>
        <w:t>15%</w:t>
      </w:r>
      <w:r>
        <w:rPr>
          <w:rFonts w:hint="eastAsia"/>
          <w:bCs/>
          <w:sz w:val="24"/>
        </w:rPr>
        <w:t>。</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基于以上情况，该产品的业绩比较基准的调整主要由于现有业绩比较基准与资产配置比例等不匹配，调整</w:t>
      </w:r>
      <w:r>
        <w:rPr>
          <w:rFonts w:hint="eastAsia"/>
          <w:bCs/>
          <w:sz w:val="24"/>
          <w:lang/>
        </w:rPr>
        <w:t>后的</w:t>
      </w:r>
      <w:r>
        <w:rPr>
          <w:rFonts w:hint="eastAsia"/>
          <w:bCs/>
          <w:sz w:val="24"/>
          <w:lang/>
        </w:rPr>
        <w:t>业绩比较基准与实际产品定位更为契合，不会对产品投资运作、持有人利益产生实质性不利影响。</w:t>
      </w:r>
    </w:p>
    <w:p w:rsidR="00FC1DAA" w:rsidRDefault="00581B89">
      <w:pPr>
        <w:widowControl/>
        <w:numPr>
          <w:ilvl w:val="0"/>
          <w:numId w:val="1"/>
        </w:numPr>
        <w:adjustRightInd w:val="0"/>
        <w:snapToGrid w:val="0"/>
        <w:spacing w:line="460" w:lineRule="exact"/>
        <w:ind w:right="240" w:firstLine="480"/>
        <w:jc w:val="left"/>
        <w:rPr>
          <w:b/>
          <w:sz w:val="24"/>
          <w:lang/>
        </w:rPr>
      </w:pPr>
      <w:r>
        <w:rPr>
          <w:rFonts w:hint="eastAsia"/>
          <w:b/>
          <w:sz w:val="24"/>
          <w:lang/>
        </w:rPr>
        <w:t>富国利享回报</w:t>
      </w:r>
      <w:r>
        <w:rPr>
          <w:rFonts w:hint="eastAsia"/>
          <w:b/>
          <w:sz w:val="24"/>
          <w:lang/>
        </w:rPr>
        <w:t>12</w:t>
      </w:r>
      <w:r>
        <w:rPr>
          <w:rFonts w:hint="eastAsia"/>
          <w:b/>
          <w:sz w:val="24"/>
          <w:lang/>
        </w:rPr>
        <w:t>个月持有期混合型证券投资基金</w:t>
      </w:r>
    </w:p>
    <w:p w:rsidR="00FC1DAA" w:rsidRDefault="00581B89">
      <w:pPr>
        <w:adjustRightInd w:val="0"/>
        <w:snapToGrid w:val="0"/>
        <w:spacing w:line="460" w:lineRule="exact"/>
        <w:ind w:right="240" w:firstLine="480"/>
        <w:rPr>
          <w:bCs/>
          <w:sz w:val="24"/>
        </w:rPr>
      </w:pPr>
      <w:r>
        <w:rPr>
          <w:rFonts w:hint="eastAsia"/>
          <w:bCs/>
          <w:sz w:val="24"/>
          <w:lang/>
        </w:rPr>
        <w:t>调整业绩比较基准的要素权重：</w:t>
      </w:r>
      <w:r>
        <w:rPr>
          <w:rFonts w:hint="eastAsia"/>
          <w:bCs/>
          <w:sz w:val="24"/>
        </w:rPr>
        <w:t>根据过往仓位情况，将基准中的股票资产的基准要素权重从</w:t>
      </w:r>
      <w:r>
        <w:rPr>
          <w:rFonts w:hint="eastAsia"/>
          <w:bCs/>
          <w:sz w:val="24"/>
        </w:rPr>
        <w:t>15%</w:t>
      </w:r>
      <w:r>
        <w:rPr>
          <w:rFonts w:hint="eastAsia"/>
          <w:bCs/>
          <w:sz w:val="24"/>
        </w:rPr>
        <w:t>提高到</w:t>
      </w:r>
      <w:r>
        <w:rPr>
          <w:rFonts w:hint="eastAsia"/>
          <w:bCs/>
          <w:sz w:val="24"/>
        </w:rPr>
        <w:t>20%</w:t>
      </w:r>
      <w:r>
        <w:rPr>
          <w:rFonts w:hint="eastAsia"/>
          <w:bCs/>
          <w:sz w:val="24"/>
        </w:rPr>
        <w:t>，将基准中的债券资产的基准要素权重从</w:t>
      </w:r>
      <w:r>
        <w:rPr>
          <w:rFonts w:hint="eastAsia"/>
          <w:bCs/>
          <w:sz w:val="24"/>
        </w:rPr>
        <w:t>85%</w:t>
      </w:r>
      <w:r>
        <w:rPr>
          <w:rFonts w:hint="eastAsia"/>
          <w:bCs/>
          <w:sz w:val="24"/>
        </w:rPr>
        <w:t>降低到</w:t>
      </w:r>
      <w:r>
        <w:rPr>
          <w:rFonts w:hint="eastAsia"/>
          <w:bCs/>
          <w:sz w:val="24"/>
        </w:rPr>
        <w:t>80%</w:t>
      </w:r>
      <w:r>
        <w:rPr>
          <w:rFonts w:hint="eastAsia"/>
          <w:bCs/>
          <w:sz w:val="24"/>
        </w:rPr>
        <w:t>。其中，将股票资</w:t>
      </w:r>
      <w:r>
        <w:rPr>
          <w:rFonts w:hint="eastAsia"/>
          <w:bCs/>
          <w:sz w:val="24"/>
        </w:rPr>
        <w:t>产中的</w:t>
      </w:r>
      <w:r>
        <w:rPr>
          <w:rFonts w:hint="eastAsia"/>
          <w:bCs/>
          <w:sz w:val="24"/>
        </w:rPr>
        <w:t>A</w:t>
      </w:r>
      <w:r>
        <w:rPr>
          <w:rFonts w:hint="eastAsia"/>
          <w:bCs/>
          <w:sz w:val="24"/>
        </w:rPr>
        <w:t>股股票的基准要素权重从</w:t>
      </w:r>
      <w:r>
        <w:rPr>
          <w:rFonts w:hint="eastAsia"/>
          <w:bCs/>
          <w:sz w:val="24"/>
        </w:rPr>
        <w:t>10%</w:t>
      </w:r>
      <w:r>
        <w:rPr>
          <w:rFonts w:hint="eastAsia"/>
          <w:bCs/>
          <w:sz w:val="24"/>
        </w:rPr>
        <w:t>提高到</w:t>
      </w:r>
      <w:r>
        <w:rPr>
          <w:rFonts w:hint="eastAsia"/>
          <w:bCs/>
          <w:sz w:val="24"/>
        </w:rPr>
        <w:t>15%</w:t>
      </w:r>
      <w:r>
        <w:rPr>
          <w:rFonts w:hint="eastAsia"/>
          <w:bCs/>
          <w:sz w:val="24"/>
        </w:rPr>
        <w:t>。</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基于以上情况，该产品的业绩比较基准的调整主要由于现有业绩比较基准与资产配置比例等不匹配，调整</w:t>
      </w:r>
      <w:r>
        <w:rPr>
          <w:rFonts w:hint="eastAsia"/>
          <w:bCs/>
          <w:sz w:val="24"/>
          <w:lang/>
        </w:rPr>
        <w:t>后的</w:t>
      </w:r>
      <w:r>
        <w:rPr>
          <w:rFonts w:hint="eastAsia"/>
          <w:bCs/>
          <w:sz w:val="24"/>
          <w:lang/>
        </w:rPr>
        <w:t>业绩比较基准与实际产品定位更为契合，不会对产品投资运作、持有人利益产生实质性不利影响。</w:t>
      </w:r>
    </w:p>
    <w:p w:rsidR="00FC1DAA" w:rsidRDefault="00581B89">
      <w:pPr>
        <w:widowControl/>
        <w:numPr>
          <w:ilvl w:val="0"/>
          <w:numId w:val="1"/>
        </w:numPr>
        <w:adjustRightInd w:val="0"/>
        <w:snapToGrid w:val="0"/>
        <w:spacing w:line="460" w:lineRule="exact"/>
        <w:ind w:right="240" w:firstLine="480"/>
        <w:jc w:val="left"/>
        <w:rPr>
          <w:b/>
          <w:sz w:val="24"/>
          <w:lang/>
        </w:rPr>
      </w:pPr>
      <w:r>
        <w:rPr>
          <w:rFonts w:hint="eastAsia"/>
          <w:b/>
          <w:sz w:val="24"/>
          <w:lang/>
        </w:rPr>
        <w:t>富国产业升级混合型证券投资基金</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1</w:t>
      </w:r>
      <w:r>
        <w:rPr>
          <w:rFonts w:hint="eastAsia"/>
          <w:bCs/>
          <w:sz w:val="24"/>
          <w:lang/>
        </w:rPr>
        <w:t>）调整业绩比较基准的要素权重：</w:t>
      </w:r>
      <w:r>
        <w:rPr>
          <w:rFonts w:hint="eastAsia"/>
          <w:bCs/>
          <w:sz w:val="24"/>
        </w:rPr>
        <w:t>根据过往仓位情况，将基准中的股票资产的基准要素权重从</w:t>
      </w:r>
      <w:r>
        <w:rPr>
          <w:rFonts w:hint="eastAsia"/>
          <w:bCs/>
          <w:sz w:val="24"/>
        </w:rPr>
        <w:t>80%</w:t>
      </w:r>
      <w:r>
        <w:rPr>
          <w:rFonts w:hint="eastAsia"/>
          <w:bCs/>
          <w:sz w:val="24"/>
        </w:rPr>
        <w:t>提高到</w:t>
      </w:r>
      <w:r>
        <w:rPr>
          <w:rFonts w:hint="eastAsia"/>
          <w:bCs/>
          <w:sz w:val="24"/>
        </w:rPr>
        <w:t>90%</w:t>
      </w:r>
      <w:r>
        <w:rPr>
          <w:rFonts w:hint="eastAsia"/>
          <w:bCs/>
          <w:sz w:val="24"/>
        </w:rPr>
        <w:t>，将基准中的债券资产的基准要素权重从</w:t>
      </w:r>
      <w:r>
        <w:rPr>
          <w:rFonts w:hint="eastAsia"/>
          <w:bCs/>
          <w:sz w:val="24"/>
        </w:rPr>
        <w:t>20%</w:t>
      </w:r>
      <w:r>
        <w:rPr>
          <w:rFonts w:hint="eastAsia"/>
          <w:bCs/>
          <w:sz w:val="24"/>
        </w:rPr>
        <w:t>降低到</w:t>
      </w:r>
      <w:r>
        <w:rPr>
          <w:rFonts w:hint="eastAsia"/>
          <w:bCs/>
          <w:sz w:val="24"/>
        </w:rPr>
        <w:t>10%</w:t>
      </w:r>
      <w:r>
        <w:rPr>
          <w:rFonts w:hint="eastAsia"/>
          <w:bCs/>
          <w:sz w:val="24"/>
        </w:rPr>
        <w:t>。</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2</w:t>
      </w:r>
      <w:r>
        <w:rPr>
          <w:rFonts w:hint="eastAsia"/>
          <w:bCs/>
          <w:sz w:val="24"/>
          <w:lang/>
        </w:rPr>
        <w:t>）更换业绩比较基准要素：在基准指数的选取方面，债券部分的指数由中债综合全价指数</w:t>
      </w:r>
      <w:r>
        <w:rPr>
          <w:rFonts w:hint="eastAsia"/>
          <w:bCs/>
          <w:sz w:val="24"/>
          <w:lang/>
        </w:rPr>
        <w:t>调整为中债</w:t>
      </w:r>
      <w:r>
        <w:rPr>
          <w:rFonts w:hint="eastAsia"/>
          <w:bCs/>
          <w:sz w:val="24"/>
          <w:lang/>
        </w:rPr>
        <w:t>-</w:t>
      </w:r>
      <w:r>
        <w:rPr>
          <w:rFonts w:hint="eastAsia"/>
          <w:bCs/>
          <w:sz w:val="24"/>
          <w:lang/>
        </w:rPr>
        <w:t>国债总全价（</w:t>
      </w:r>
      <w:r>
        <w:rPr>
          <w:rFonts w:hint="eastAsia"/>
          <w:bCs/>
          <w:sz w:val="24"/>
          <w:lang/>
        </w:rPr>
        <w:t>1-3</w:t>
      </w:r>
      <w:r>
        <w:rPr>
          <w:rFonts w:hint="eastAsia"/>
          <w:bCs/>
          <w:sz w:val="24"/>
          <w:lang/>
        </w:rPr>
        <w:t>年）指数。</w:t>
      </w:r>
    </w:p>
    <w:p w:rsidR="00FC1DAA" w:rsidRDefault="00581B89">
      <w:pPr>
        <w:adjustRightInd w:val="0"/>
        <w:snapToGrid w:val="0"/>
        <w:spacing w:line="460" w:lineRule="exact"/>
        <w:ind w:right="240" w:firstLine="480"/>
        <w:rPr>
          <w:bCs/>
          <w:sz w:val="24"/>
          <w:lang/>
        </w:rPr>
      </w:pPr>
      <w:r>
        <w:rPr>
          <w:rFonts w:hint="eastAsia"/>
          <w:bCs/>
          <w:sz w:val="24"/>
          <w:lang/>
        </w:rPr>
        <w:t>在债券指数的选取方面，根据过往债券配置情况，富国产业升级混合型证券投资基金整体组合久期以中短久期为主，与原指数相比，中债</w:t>
      </w:r>
      <w:r>
        <w:rPr>
          <w:rFonts w:hint="eastAsia"/>
          <w:bCs/>
          <w:sz w:val="24"/>
          <w:lang/>
        </w:rPr>
        <w:t>-</w:t>
      </w:r>
      <w:r>
        <w:rPr>
          <w:rFonts w:hint="eastAsia"/>
          <w:bCs/>
          <w:sz w:val="24"/>
          <w:lang/>
        </w:rPr>
        <w:t>国债总全价（</w:t>
      </w:r>
      <w:r>
        <w:rPr>
          <w:rFonts w:hint="eastAsia"/>
          <w:bCs/>
          <w:sz w:val="24"/>
          <w:lang/>
        </w:rPr>
        <w:t>1-3</w:t>
      </w:r>
      <w:r>
        <w:rPr>
          <w:rFonts w:hint="eastAsia"/>
          <w:bCs/>
          <w:sz w:val="24"/>
          <w:lang/>
        </w:rPr>
        <w:t>年）指数与基金实际运作的久期更为贴合。</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基于以上情况，该产品的业绩比较基准的调整主要由于现有业绩比较基准与资产配置比例、债券投资情况等不匹配，调整</w:t>
      </w:r>
      <w:r>
        <w:rPr>
          <w:rFonts w:hint="eastAsia"/>
          <w:bCs/>
          <w:sz w:val="24"/>
          <w:lang/>
        </w:rPr>
        <w:t>后的</w:t>
      </w:r>
      <w:r>
        <w:rPr>
          <w:rFonts w:hint="eastAsia"/>
          <w:bCs/>
          <w:sz w:val="24"/>
          <w:lang/>
        </w:rPr>
        <w:t>业绩比较基准与实际产品定位更为契合，不会对产品投资运作、持有人利益产生实质性不利影响。</w:t>
      </w:r>
    </w:p>
    <w:p w:rsidR="00FC1DAA" w:rsidRDefault="00581B89">
      <w:pPr>
        <w:widowControl/>
        <w:numPr>
          <w:ilvl w:val="0"/>
          <w:numId w:val="1"/>
        </w:numPr>
        <w:adjustRightInd w:val="0"/>
        <w:snapToGrid w:val="0"/>
        <w:spacing w:line="460" w:lineRule="exact"/>
        <w:ind w:right="240" w:firstLine="480"/>
        <w:jc w:val="left"/>
        <w:rPr>
          <w:b/>
          <w:sz w:val="24"/>
          <w:lang/>
        </w:rPr>
      </w:pPr>
      <w:r>
        <w:rPr>
          <w:rFonts w:hint="eastAsia"/>
          <w:b/>
          <w:sz w:val="24"/>
          <w:lang/>
        </w:rPr>
        <w:t>富国核心趋势混合型证券投资基金</w:t>
      </w:r>
    </w:p>
    <w:p w:rsidR="00FC1DAA" w:rsidRDefault="00581B89">
      <w:pPr>
        <w:adjustRightInd w:val="0"/>
        <w:snapToGrid w:val="0"/>
        <w:spacing w:line="460" w:lineRule="exact"/>
        <w:ind w:right="240" w:firstLine="480"/>
        <w:rPr>
          <w:bCs/>
          <w:sz w:val="24"/>
        </w:rPr>
      </w:pPr>
      <w:r>
        <w:rPr>
          <w:rFonts w:hint="eastAsia"/>
          <w:bCs/>
          <w:sz w:val="24"/>
          <w:lang/>
        </w:rPr>
        <w:t>（</w:t>
      </w:r>
      <w:r>
        <w:rPr>
          <w:rFonts w:hint="eastAsia"/>
          <w:bCs/>
          <w:sz w:val="24"/>
          <w:lang/>
        </w:rPr>
        <w:t>1</w:t>
      </w:r>
      <w:r>
        <w:rPr>
          <w:rFonts w:hint="eastAsia"/>
          <w:bCs/>
          <w:sz w:val="24"/>
          <w:lang/>
        </w:rPr>
        <w:t>）调整业绩比较基准的要素权重：</w:t>
      </w:r>
      <w:r>
        <w:rPr>
          <w:rFonts w:hint="eastAsia"/>
          <w:bCs/>
          <w:sz w:val="24"/>
        </w:rPr>
        <w:t>根据过往仓位情况，将基准中</w:t>
      </w:r>
      <w:r>
        <w:rPr>
          <w:rFonts w:hint="eastAsia"/>
          <w:bCs/>
          <w:sz w:val="24"/>
        </w:rPr>
        <w:t>的股票资产的基准要素权重从</w:t>
      </w:r>
      <w:r>
        <w:rPr>
          <w:rFonts w:hint="eastAsia"/>
          <w:bCs/>
          <w:sz w:val="24"/>
        </w:rPr>
        <w:t>80%</w:t>
      </w:r>
      <w:r>
        <w:rPr>
          <w:rFonts w:hint="eastAsia"/>
          <w:bCs/>
          <w:sz w:val="24"/>
        </w:rPr>
        <w:t>提高到</w:t>
      </w:r>
      <w:r>
        <w:rPr>
          <w:rFonts w:hint="eastAsia"/>
          <w:bCs/>
          <w:sz w:val="24"/>
        </w:rPr>
        <w:t>90%</w:t>
      </w:r>
      <w:r>
        <w:rPr>
          <w:rFonts w:hint="eastAsia"/>
          <w:bCs/>
          <w:sz w:val="24"/>
        </w:rPr>
        <w:t>，将基准中的债券资产的基准要素权重从</w:t>
      </w:r>
      <w:r>
        <w:rPr>
          <w:rFonts w:hint="eastAsia"/>
          <w:bCs/>
          <w:sz w:val="24"/>
        </w:rPr>
        <w:t>20%</w:t>
      </w:r>
      <w:r>
        <w:rPr>
          <w:rFonts w:hint="eastAsia"/>
          <w:bCs/>
          <w:sz w:val="24"/>
        </w:rPr>
        <w:t>降低到</w:t>
      </w:r>
      <w:r>
        <w:rPr>
          <w:rFonts w:hint="eastAsia"/>
          <w:bCs/>
          <w:sz w:val="24"/>
        </w:rPr>
        <w:t>10%</w:t>
      </w:r>
      <w:r>
        <w:rPr>
          <w:rFonts w:hint="eastAsia"/>
          <w:bCs/>
          <w:sz w:val="24"/>
        </w:rPr>
        <w:t>。其中，将股票资产中的</w:t>
      </w:r>
      <w:r>
        <w:rPr>
          <w:rFonts w:hint="eastAsia"/>
          <w:bCs/>
          <w:sz w:val="24"/>
        </w:rPr>
        <w:t>A</w:t>
      </w:r>
      <w:r>
        <w:rPr>
          <w:rFonts w:hint="eastAsia"/>
          <w:bCs/>
          <w:sz w:val="24"/>
        </w:rPr>
        <w:t>股股票的基准要素权重从</w:t>
      </w:r>
      <w:r>
        <w:rPr>
          <w:rFonts w:hint="eastAsia"/>
          <w:bCs/>
          <w:sz w:val="24"/>
        </w:rPr>
        <w:t>60%</w:t>
      </w:r>
      <w:r>
        <w:rPr>
          <w:rFonts w:hint="eastAsia"/>
          <w:bCs/>
          <w:sz w:val="24"/>
        </w:rPr>
        <w:t>提高到</w:t>
      </w:r>
      <w:r>
        <w:rPr>
          <w:rFonts w:hint="eastAsia"/>
          <w:bCs/>
          <w:sz w:val="24"/>
        </w:rPr>
        <w:t>70%</w:t>
      </w:r>
      <w:r>
        <w:rPr>
          <w:rFonts w:hint="eastAsia"/>
          <w:bCs/>
          <w:sz w:val="24"/>
        </w:rPr>
        <w:t>。</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2</w:t>
      </w:r>
      <w:r>
        <w:rPr>
          <w:rFonts w:hint="eastAsia"/>
          <w:bCs/>
          <w:sz w:val="24"/>
          <w:lang/>
        </w:rPr>
        <w:t>）更换业绩比较基准要素：在基准指数的选取方面，</w:t>
      </w:r>
      <w:r>
        <w:rPr>
          <w:rFonts w:hint="eastAsia"/>
          <w:bCs/>
          <w:sz w:val="24"/>
          <w:lang/>
        </w:rPr>
        <w:t>A</w:t>
      </w:r>
      <w:r>
        <w:rPr>
          <w:rFonts w:hint="eastAsia"/>
          <w:bCs/>
          <w:sz w:val="24"/>
          <w:lang/>
        </w:rPr>
        <w:t>股股票部分的指数由沪深</w:t>
      </w:r>
      <w:r>
        <w:rPr>
          <w:rFonts w:hint="eastAsia"/>
          <w:bCs/>
          <w:sz w:val="24"/>
          <w:lang/>
        </w:rPr>
        <w:t>300</w:t>
      </w:r>
      <w:r>
        <w:rPr>
          <w:rFonts w:hint="eastAsia"/>
          <w:bCs/>
          <w:sz w:val="24"/>
          <w:lang/>
        </w:rPr>
        <w:t>指数调整为中证</w:t>
      </w:r>
      <w:r>
        <w:rPr>
          <w:rFonts w:hint="eastAsia"/>
          <w:bCs/>
          <w:sz w:val="24"/>
          <w:lang/>
        </w:rPr>
        <w:t>A500</w:t>
      </w:r>
      <w:r>
        <w:rPr>
          <w:rFonts w:hint="eastAsia"/>
          <w:bCs/>
          <w:sz w:val="24"/>
          <w:lang/>
        </w:rPr>
        <w:t>指数，债券部分的指数由中债综合全价指数调整为中债</w:t>
      </w:r>
      <w:r>
        <w:rPr>
          <w:rFonts w:hint="eastAsia"/>
          <w:bCs/>
          <w:sz w:val="24"/>
          <w:lang/>
        </w:rPr>
        <w:t>-</w:t>
      </w:r>
      <w:r>
        <w:rPr>
          <w:rFonts w:hint="eastAsia"/>
          <w:bCs/>
          <w:sz w:val="24"/>
          <w:lang/>
        </w:rPr>
        <w:t>国债总全价（</w:t>
      </w:r>
      <w:r>
        <w:rPr>
          <w:rFonts w:hint="eastAsia"/>
          <w:bCs/>
          <w:sz w:val="24"/>
          <w:lang/>
        </w:rPr>
        <w:t>1-3</w:t>
      </w:r>
      <w:r>
        <w:rPr>
          <w:rFonts w:hint="eastAsia"/>
          <w:bCs/>
          <w:sz w:val="24"/>
          <w:lang/>
        </w:rPr>
        <w:t>年）指数。</w:t>
      </w:r>
    </w:p>
    <w:p w:rsidR="00FC1DAA" w:rsidRDefault="00581B89">
      <w:pPr>
        <w:adjustRightInd w:val="0"/>
        <w:snapToGrid w:val="0"/>
        <w:spacing w:line="460" w:lineRule="exact"/>
        <w:ind w:right="240" w:firstLine="480"/>
        <w:rPr>
          <w:bCs/>
          <w:sz w:val="24"/>
          <w:lang/>
        </w:rPr>
      </w:pPr>
      <w:bookmarkStart w:id="5" w:name="OLE_LINK12"/>
      <w:r>
        <w:rPr>
          <w:rFonts w:hint="eastAsia"/>
          <w:bCs/>
          <w:sz w:val="24"/>
          <w:lang/>
        </w:rPr>
        <w:t>沪深</w:t>
      </w:r>
      <w:r>
        <w:rPr>
          <w:rFonts w:hint="eastAsia"/>
          <w:bCs/>
          <w:sz w:val="24"/>
          <w:lang/>
        </w:rPr>
        <w:t>300</w:t>
      </w:r>
      <w:r>
        <w:rPr>
          <w:rFonts w:hint="eastAsia"/>
          <w:bCs/>
          <w:sz w:val="24"/>
          <w:lang/>
        </w:rPr>
        <w:t>指数由沪深市场中规模大、流动性好的最具代表性的</w:t>
      </w:r>
      <w:r>
        <w:rPr>
          <w:rFonts w:hint="eastAsia"/>
          <w:bCs/>
          <w:sz w:val="24"/>
          <w:lang/>
        </w:rPr>
        <w:t>300</w:t>
      </w:r>
      <w:r>
        <w:rPr>
          <w:rFonts w:hint="eastAsia"/>
          <w:bCs/>
          <w:sz w:val="24"/>
          <w:lang/>
        </w:rPr>
        <w:t>只证券组成，以反映沪深市场上市公司证券的整体表现；调整后的新业绩比较基准中，中证</w:t>
      </w:r>
      <w:r>
        <w:rPr>
          <w:rFonts w:hint="eastAsia"/>
          <w:bCs/>
          <w:sz w:val="24"/>
          <w:lang/>
        </w:rPr>
        <w:t>A500</w:t>
      </w:r>
      <w:r>
        <w:rPr>
          <w:rFonts w:hint="eastAsia"/>
          <w:bCs/>
          <w:sz w:val="24"/>
          <w:lang/>
        </w:rPr>
        <w:t>指数从各行业选</w:t>
      </w:r>
      <w:r>
        <w:rPr>
          <w:rFonts w:hint="eastAsia"/>
          <w:bCs/>
          <w:sz w:val="24"/>
          <w:lang/>
        </w:rPr>
        <w:t>取市值较大、流动性较好的</w:t>
      </w:r>
      <w:r>
        <w:rPr>
          <w:rFonts w:hint="eastAsia"/>
          <w:bCs/>
          <w:sz w:val="24"/>
          <w:lang/>
        </w:rPr>
        <w:t>500</w:t>
      </w:r>
      <w:r>
        <w:rPr>
          <w:rFonts w:hint="eastAsia"/>
          <w:bCs/>
          <w:sz w:val="24"/>
          <w:lang/>
        </w:rPr>
        <w:t>只证券作为指数样本，以反映各行业最具代表性上市公司证券的整体表现，根据过往持仓情况，调整后的中证</w:t>
      </w:r>
      <w:r>
        <w:rPr>
          <w:rFonts w:hint="eastAsia"/>
          <w:bCs/>
          <w:sz w:val="24"/>
          <w:lang/>
        </w:rPr>
        <w:t>A500</w:t>
      </w:r>
      <w:r>
        <w:rPr>
          <w:rFonts w:hint="eastAsia"/>
          <w:bCs/>
          <w:sz w:val="24"/>
          <w:lang/>
        </w:rPr>
        <w:t>指数与基金实际持股风格更为匹配。</w:t>
      </w:r>
    </w:p>
    <w:bookmarkEnd w:id="5"/>
    <w:p w:rsidR="00FC1DAA" w:rsidRDefault="00581B89">
      <w:pPr>
        <w:adjustRightInd w:val="0"/>
        <w:snapToGrid w:val="0"/>
        <w:spacing w:line="460" w:lineRule="exact"/>
        <w:ind w:right="240" w:firstLine="480"/>
        <w:rPr>
          <w:bCs/>
          <w:sz w:val="24"/>
          <w:lang/>
        </w:rPr>
      </w:pPr>
      <w:r>
        <w:rPr>
          <w:rFonts w:hint="eastAsia"/>
          <w:bCs/>
          <w:sz w:val="24"/>
          <w:lang/>
        </w:rPr>
        <w:t>在债券指数的选取方面，根据过往债券配置情况，富国核心趋势混合型证券投资基金整体组合久期以中短久期为主，与原指数相比，中债</w:t>
      </w:r>
      <w:r>
        <w:rPr>
          <w:rFonts w:hint="eastAsia"/>
          <w:bCs/>
          <w:sz w:val="24"/>
          <w:lang/>
        </w:rPr>
        <w:t>-</w:t>
      </w:r>
      <w:r>
        <w:rPr>
          <w:rFonts w:hint="eastAsia"/>
          <w:bCs/>
          <w:sz w:val="24"/>
          <w:lang/>
        </w:rPr>
        <w:t>国债总全价（</w:t>
      </w:r>
      <w:r>
        <w:rPr>
          <w:rFonts w:hint="eastAsia"/>
          <w:bCs/>
          <w:sz w:val="24"/>
          <w:lang/>
        </w:rPr>
        <w:t>1-3</w:t>
      </w:r>
      <w:r>
        <w:rPr>
          <w:rFonts w:hint="eastAsia"/>
          <w:bCs/>
          <w:sz w:val="24"/>
          <w:lang/>
        </w:rPr>
        <w:t>年）指数与基金实际运作的久期更为贴合。</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基于以上情况，该产品的业绩比较基准的调整主要由于现有业绩比较基准与实际投资风格、资产配置比例等不匹配，调整</w:t>
      </w:r>
      <w:r>
        <w:rPr>
          <w:rFonts w:hint="eastAsia"/>
          <w:bCs/>
          <w:sz w:val="24"/>
          <w:lang/>
        </w:rPr>
        <w:t>后的</w:t>
      </w:r>
      <w:r>
        <w:rPr>
          <w:rFonts w:hint="eastAsia"/>
          <w:bCs/>
          <w:sz w:val="24"/>
          <w:lang/>
        </w:rPr>
        <w:t>业绩比较基准与实际产品定位更为契合，不会对产品投资运作</w:t>
      </w:r>
      <w:r>
        <w:rPr>
          <w:rFonts w:hint="eastAsia"/>
          <w:bCs/>
          <w:sz w:val="24"/>
          <w:lang/>
        </w:rPr>
        <w:t>、持有人利益产生实质性不利影响。</w:t>
      </w:r>
    </w:p>
    <w:p w:rsidR="00FC1DAA" w:rsidRDefault="00581B89">
      <w:pPr>
        <w:widowControl/>
        <w:numPr>
          <w:ilvl w:val="0"/>
          <w:numId w:val="1"/>
        </w:numPr>
        <w:adjustRightInd w:val="0"/>
        <w:snapToGrid w:val="0"/>
        <w:spacing w:line="460" w:lineRule="exact"/>
        <w:ind w:right="240" w:firstLine="480"/>
        <w:jc w:val="left"/>
        <w:rPr>
          <w:b/>
          <w:sz w:val="24"/>
          <w:lang/>
        </w:rPr>
      </w:pPr>
      <w:r>
        <w:rPr>
          <w:rFonts w:hint="eastAsia"/>
          <w:b/>
          <w:sz w:val="24"/>
          <w:lang/>
        </w:rPr>
        <w:t>富国天源沪港深平衡混合型证券投资基金</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1</w:t>
      </w:r>
      <w:r>
        <w:rPr>
          <w:rFonts w:hint="eastAsia"/>
          <w:bCs/>
          <w:sz w:val="24"/>
          <w:lang/>
        </w:rPr>
        <w:t>）调整业绩比较基准的要素权重：根据过往仓位情况以及投资范围中包含港股通标的股票，将</w:t>
      </w:r>
      <w:r>
        <w:rPr>
          <w:rFonts w:hint="eastAsia"/>
          <w:bCs/>
          <w:sz w:val="24"/>
        </w:rPr>
        <w:t>基准中的股票资产的基准要素权重</w:t>
      </w:r>
      <w:r>
        <w:rPr>
          <w:rFonts w:hint="eastAsia"/>
          <w:bCs/>
          <w:sz w:val="24"/>
          <w:lang/>
        </w:rPr>
        <w:t>从</w:t>
      </w:r>
      <w:r>
        <w:rPr>
          <w:rFonts w:hint="eastAsia"/>
          <w:bCs/>
          <w:sz w:val="24"/>
          <w:lang/>
        </w:rPr>
        <w:t>65%</w:t>
      </w:r>
      <w:r>
        <w:rPr>
          <w:rFonts w:hint="eastAsia"/>
          <w:bCs/>
          <w:sz w:val="24"/>
          <w:lang/>
        </w:rPr>
        <w:t>提高到</w:t>
      </w:r>
      <w:r>
        <w:rPr>
          <w:rFonts w:hint="eastAsia"/>
          <w:bCs/>
          <w:sz w:val="24"/>
          <w:lang/>
        </w:rPr>
        <w:t>70%</w:t>
      </w:r>
      <w:r>
        <w:rPr>
          <w:rFonts w:hint="eastAsia"/>
          <w:bCs/>
          <w:sz w:val="24"/>
          <w:lang/>
        </w:rPr>
        <w:t>，其中新增港股通标的股票的基准要素权重</w:t>
      </w:r>
      <w:r>
        <w:rPr>
          <w:rFonts w:hint="eastAsia"/>
          <w:bCs/>
          <w:sz w:val="24"/>
          <w:lang/>
        </w:rPr>
        <w:t>5%</w:t>
      </w:r>
      <w:r>
        <w:rPr>
          <w:rFonts w:hint="eastAsia"/>
          <w:bCs/>
          <w:sz w:val="24"/>
          <w:lang/>
        </w:rPr>
        <w:t>，债券资产的基准要素权重从</w:t>
      </w:r>
      <w:r>
        <w:rPr>
          <w:rFonts w:hint="eastAsia"/>
          <w:bCs/>
          <w:sz w:val="24"/>
          <w:lang/>
        </w:rPr>
        <w:t>30%</w:t>
      </w:r>
      <w:r>
        <w:rPr>
          <w:rFonts w:hint="eastAsia"/>
          <w:bCs/>
          <w:sz w:val="24"/>
          <w:lang/>
        </w:rPr>
        <w:t>降低到</w:t>
      </w:r>
      <w:r>
        <w:rPr>
          <w:rFonts w:hint="eastAsia"/>
          <w:bCs/>
          <w:sz w:val="24"/>
          <w:lang/>
        </w:rPr>
        <w:t>25%</w:t>
      </w:r>
      <w:r>
        <w:rPr>
          <w:rFonts w:hint="eastAsia"/>
          <w:bCs/>
          <w:sz w:val="24"/>
          <w:lang/>
        </w:rPr>
        <w:t>。</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2</w:t>
      </w:r>
      <w:r>
        <w:rPr>
          <w:rFonts w:hint="eastAsia"/>
          <w:bCs/>
          <w:sz w:val="24"/>
          <w:lang/>
        </w:rPr>
        <w:t>）更换业绩比较基准要素：在基准指数的选取方面，根据基金合同约定，本基金投资于港股通标的股票的比例占基金资产的</w:t>
      </w:r>
      <w:r>
        <w:rPr>
          <w:rFonts w:hint="eastAsia"/>
          <w:bCs/>
          <w:sz w:val="24"/>
          <w:lang/>
        </w:rPr>
        <w:t>0-75%</w:t>
      </w:r>
      <w:r>
        <w:rPr>
          <w:rFonts w:hint="eastAsia"/>
          <w:bCs/>
          <w:sz w:val="24"/>
          <w:lang/>
        </w:rPr>
        <w:t>，因此在业绩比较基准中新增恒生指数作为港股通标的股票部分的指数</w:t>
      </w:r>
      <w:r>
        <w:rPr>
          <w:rFonts w:hint="eastAsia"/>
          <w:bCs/>
          <w:sz w:val="24"/>
          <w:lang/>
        </w:rPr>
        <w:t>，债券部分的指数由中债综合全价指数调整为中债</w:t>
      </w:r>
      <w:r>
        <w:rPr>
          <w:rFonts w:hint="eastAsia"/>
          <w:bCs/>
          <w:sz w:val="24"/>
          <w:lang/>
        </w:rPr>
        <w:t>-</w:t>
      </w:r>
      <w:r>
        <w:rPr>
          <w:rFonts w:hint="eastAsia"/>
          <w:bCs/>
          <w:sz w:val="24"/>
          <w:lang/>
        </w:rPr>
        <w:t>国债总全价（</w:t>
      </w:r>
      <w:r>
        <w:rPr>
          <w:rFonts w:hint="eastAsia"/>
          <w:bCs/>
          <w:sz w:val="24"/>
          <w:lang/>
        </w:rPr>
        <w:t>1-3</w:t>
      </w:r>
      <w:r>
        <w:rPr>
          <w:rFonts w:hint="eastAsia"/>
          <w:bCs/>
          <w:sz w:val="24"/>
          <w:lang/>
        </w:rPr>
        <w:t>年）指数。</w:t>
      </w:r>
    </w:p>
    <w:p w:rsidR="00FC1DAA" w:rsidRDefault="00581B89">
      <w:pPr>
        <w:adjustRightInd w:val="0"/>
        <w:snapToGrid w:val="0"/>
        <w:spacing w:line="460" w:lineRule="exact"/>
        <w:ind w:right="240" w:firstLine="480"/>
        <w:rPr>
          <w:bCs/>
          <w:sz w:val="24"/>
          <w:lang/>
        </w:rPr>
      </w:pPr>
      <w:r>
        <w:rPr>
          <w:rFonts w:hint="eastAsia"/>
          <w:bCs/>
          <w:sz w:val="24"/>
          <w:lang/>
        </w:rPr>
        <w:t>在债券指数的选取方面，根据过往债券配置情况，富国天源沪港深平衡混合型证券投资基金整体组合久期以中短久期为主，与原指数相比，中债</w:t>
      </w:r>
      <w:r>
        <w:rPr>
          <w:rFonts w:hint="eastAsia"/>
          <w:bCs/>
          <w:sz w:val="24"/>
          <w:lang/>
        </w:rPr>
        <w:t>-</w:t>
      </w:r>
      <w:r>
        <w:rPr>
          <w:rFonts w:hint="eastAsia"/>
          <w:bCs/>
          <w:sz w:val="24"/>
          <w:lang/>
        </w:rPr>
        <w:t>国债总全价（</w:t>
      </w:r>
      <w:r>
        <w:rPr>
          <w:rFonts w:hint="eastAsia"/>
          <w:bCs/>
          <w:sz w:val="24"/>
          <w:lang/>
        </w:rPr>
        <w:t>1-3</w:t>
      </w:r>
      <w:r>
        <w:rPr>
          <w:rFonts w:hint="eastAsia"/>
          <w:bCs/>
          <w:sz w:val="24"/>
          <w:lang/>
        </w:rPr>
        <w:t>年）指数与基金实际运作的久期更为贴合。</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基于以上情况，该产品的业绩比较基准的调整主要由于现有业绩比较基准与实际投资风格、资产配置比例等不匹配，调整</w:t>
      </w:r>
      <w:r>
        <w:rPr>
          <w:rFonts w:hint="eastAsia"/>
          <w:bCs/>
          <w:sz w:val="24"/>
          <w:lang/>
        </w:rPr>
        <w:t>后的</w:t>
      </w:r>
      <w:r>
        <w:rPr>
          <w:rFonts w:hint="eastAsia"/>
          <w:bCs/>
          <w:sz w:val="24"/>
          <w:lang/>
        </w:rPr>
        <w:t>业绩比较基准与实际产品定位更为契合，不会对产品投资运作、持有人利益产生实质性不利影响。</w:t>
      </w:r>
    </w:p>
    <w:p w:rsidR="00FC1DAA" w:rsidRDefault="00581B89">
      <w:pPr>
        <w:widowControl/>
        <w:numPr>
          <w:ilvl w:val="0"/>
          <w:numId w:val="1"/>
        </w:numPr>
        <w:adjustRightInd w:val="0"/>
        <w:snapToGrid w:val="0"/>
        <w:spacing w:line="460" w:lineRule="exact"/>
        <w:ind w:right="240" w:firstLine="480"/>
        <w:jc w:val="left"/>
        <w:rPr>
          <w:b/>
          <w:sz w:val="24"/>
          <w:lang/>
        </w:rPr>
      </w:pPr>
      <w:r>
        <w:rPr>
          <w:rFonts w:hint="eastAsia"/>
          <w:b/>
          <w:sz w:val="24"/>
          <w:lang/>
        </w:rPr>
        <w:t>富国碳中和混合型证券投资基金</w:t>
      </w:r>
    </w:p>
    <w:p w:rsidR="00FC1DAA" w:rsidRDefault="00581B89">
      <w:pPr>
        <w:adjustRightInd w:val="0"/>
        <w:snapToGrid w:val="0"/>
        <w:spacing w:line="460" w:lineRule="exact"/>
        <w:ind w:right="240" w:firstLine="480"/>
        <w:rPr>
          <w:bCs/>
          <w:sz w:val="24"/>
        </w:rPr>
      </w:pPr>
      <w:r>
        <w:rPr>
          <w:rFonts w:hint="eastAsia"/>
          <w:bCs/>
          <w:sz w:val="24"/>
          <w:lang/>
        </w:rPr>
        <w:t>（</w:t>
      </w:r>
      <w:r>
        <w:rPr>
          <w:rFonts w:hint="eastAsia"/>
          <w:bCs/>
          <w:sz w:val="24"/>
          <w:lang/>
        </w:rPr>
        <w:t>1</w:t>
      </w:r>
      <w:r>
        <w:rPr>
          <w:rFonts w:hint="eastAsia"/>
          <w:bCs/>
          <w:sz w:val="24"/>
          <w:lang/>
        </w:rPr>
        <w:t>）调整业绩比较基准</w:t>
      </w:r>
      <w:r>
        <w:rPr>
          <w:rFonts w:hint="eastAsia"/>
          <w:bCs/>
          <w:sz w:val="24"/>
          <w:lang/>
        </w:rPr>
        <w:t>的要素权重：</w:t>
      </w:r>
      <w:r>
        <w:rPr>
          <w:rFonts w:hint="eastAsia"/>
          <w:bCs/>
          <w:sz w:val="24"/>
        </w:rPr>
        <w:t>根据过往仓位情况，将基准中的股票资产的基准要素权重从</w:t>
      </w:r>
      <w:r>
        <w:rPr>
          <w:rFonts w:hint="eastAsia"/>
          <w:bCs/>
          <w:sz w:val="24"/>
        </w:rPr>
        <w:t>80%</w:t>
      </w:r>
      <w:r>
        <w:rPr>
          <w:rFonts w:hint="eastAsia"/>
          <w:bCs/>
          <w:sz w:val="24"/>
        </w:rPr>
        <w:t>提高到</w:t>
      </w:r>
      <w:r>
        <w:rPr>
          <w:rFonts w:hint="eastAsia"/>
          <w:bCs/>
          <w:sz w:val="24"/>
        </w:rPr>
        <w:t>90%</w:t>
      </w:r>
      <w:r>
        <w:rPr>
          <w:rFonts w:hint="eastAsia"/>
          <w:bCs/>
          <w:sz w:val="24"/>
        </w:rPr>
        <w:t>，将基准中的债券资产的基准要素权重从</w:t>
      </w:r>
      <w:r>
        <w:rPr>
          <w:rFonts w:hint="eastAsia"/>
          <w:bCs/>
          <w:sz w:val="24"/>
        </w:rPr>
        <w:t>20%</w:t>
      </w:r>
      <w:r>
        <w:rPr>
          <w:rFonts w:hint="eastAsia"/>
          <w:bCs/>
          <w:sz w:val="24"/>
        </w:rPr>
        <w:t>降低到</w:t>
      </w:r>
      <w:r>
        <w:rPr>
          <w:rFonts w:hint="eastAsia"/>
          <w:bCs/>
          <w:sz w:val="24"/>
        </w:rPr>
        <w:t>10%</w:t>
      </w:r>
      <w:r>
        <w:rPr>
          <w:rFonts w:hint="eastAsia"/>
          <w:bCs/>
          <w:sz w:val="24"/>
        </w:rPr>
        <w:t>。其中，将股票资产中的</w:t>
      </w:r>
      <w:r>
        <w:rPr>
          <w:rFonts w:hint="eastAsia"/>
          <w:bCs/>
          <w:sz w:val="24"/>
        </w:rPr>
        <w:t>A</w:t>
      </w:r>
      <w:r>
        <w:rPr>
          <w:rFonts w:hint="eastAsia"/>
          <w:bCs/>
          <w:sz w:val="24"/>
        </w:rPr>
        <w:t>股股票的基准要素权重从</w:t>
      </w:r>
      <w:r>
        <w:rPr>
          <w:rFonts w:hint="eastAsia"/>
          <w:bCs/>
          <w:sz w:val="24"/>
        </w:rPr>
        <w:t>60%</w:t>
      </w:r>
      <w:r>
        <w:rPr>
          <w:rFonts w:hint="eastAsia"/>
          <w:bCs/>
          <w:sz w:val="24"/>
        </w:rPr>
        <w:t>提高到</w:t>
      </w:r>
      <w:r>
        <w:rPr>
          <w:rFonts w:hint="eastAsia"/>
          <w:bCs/>
          <w:sz w:val="24"/>
        </w:rPr>
        <w:t>80%</w:t>
      </w:r>
      <w:r>
        <w:rPr>
          <w:rFonts w:hint="eastAsia"/>
          <w:bCs/>
          <w:sz w:val="24"/>
        </w:rPr>
        <w:t>，港股通标的股票的基准要素权重从</w:t>
      </w:r>
      <w:r>
        <w:rPr>
          <w:rFonts w:hint="eastAsia"/>
          <w:bCs/>
          <w:sz w:val="24"/>
        </w:rPr>
        <w:t>20%</w:t>
      </w:r>
      <w:r>
        <w:rPr>
          <w:rFonts w:hint="eastAsia"/>
          <w:bCs/>
          <w:sz w:val="24"/>
        </w:rPr>
        <w:t>降低到</w:t>
      </w:r>
      <w:r>
        <w:rPr>
          <w:rFonts w:hint="eastAsia"/>
          <w:bCs/>
          <w:sz w:val="24"/>
        </w:rPr>
        <w:t>10%</w:t>
      </w:r>
      <w:r>
        <w:rPr>
          <w:rFonts w:hint="eastAsia"/>
          <w:bCs/>
          <w:sz w:val="24"/>
        </w:rPr>
        <w:t>。</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2</w:t>
      </w:r>
      <w:r>
        <w:rPr>
          <w:rFonts w:hint="eastAsia"/>
          <w:bCs/>
          <w:sz w:val="24"/>
          <w:lang/>
        </w:rPr>
        <w:t>）更换业绩比较基准要素：在基准指数的选取方面，</w:t>
      </w:r>
      <w:r>
        <w:rPr>
          <w:rFonts w:hint="eastAsia"/>
          <w:bCs/>
          <w:sz w:val="24"/>
          <w:lang/>
        </w:rPr>
        <w:t>A</w:t>
      </w:r>
      <w:r>
        <w:rPr>
          <w:rFonts w:hint="eastAsia"/>
          <w:bCs/>
          <w:sz w:val="24"/>
          <w:lang/>
        </w:rPr>
        <w:t>股股票部分的指数由中证环保产业指数调整为中证新能源指数，港股通标的股票部分的指数由恒生指数调整为国证港股通新能源指数，债券部分的指数由中债综合全价指数调整为中债</w:t>
      </w:r>
      <w:r>
        <w:rPr>
          <w:rFonts w:hint="eastAsia"/>
          <w:bCs/>
          <w:sz w:val="24"/>
          <w:lang/>
        </w:rPr>
        <w:t>-</w:t>
      </w:r>
      <w:r>
        <w:rPr>
          <w:rFonts w:hint="eastAsia"/>
          <w:bCs/>
          <w:sz w:val="24"/>
          <w:lang/>
        </w:rPr>
        <w:t>国债总全价（</w:t>
      </w:r>
      <w:r>
        <w:rPr>
          <w:rFonts w:hint="eastAsia"/>
          <w:bCs/>
          <w:sz w:val="24"/>
          <w:lang/>
        </w:rPr>
        <w:t>1-3</w:t>
      </w:r>
      <w:r>
        <w:rPr>
          <w:rFonts w:hint="eastAsia"/>
          <w:bCs/>
          <w:sz w:val="24"/>
          <w:lang/>
        </w:rPr>
        <w:t>年）指数。</w:t>
      </w:r>
    </w:p>
    <w:p w:rsidR="00FC1DAA" w:rsidRDefault="00581B89">
      <w:pPr>
        <w:adjustRightInd w:val="0"/>
        <w:snapToGrid w:val="0"/>
        <w:spacing w:line="460" w:lineRule="exact"/>
        <w:ind w:right="240" w:firstLine="480"/>
        <w:rPr>
          <w:bCs/>
          <w:sz w:val="24"/>
          <w:lang/>
        </w:rPr>
      </w:pPr>
      <w:r>
        <w:rPr>
          <w:rFonts w:hint="eastAsia"/>
          <w:bCs/>
          <w:sz w:val="24"/>
          <w:lang/>
        </w:rPr>
        <w:t>在主题界定方面</w:t>
      </w:r>
      <w:r>
        <w:rPr>
          <w:rFonts w:hint="eastAsia"/>
          <w:bCs/>
          <w:sz w:val="24"/>
          <w:lang/>
        </w:rPr>
        <w:t>，根据富国碳中和混合型证券投资基金的投资界定，本基金投资标的将围绕碳中和目标下减碳路径所涉及的相关产业链和行业，主要包括新能源产业链、节能减排产业链等。中证环保产业指数选取</w:t>
      </w:r>
      <w:r>
        <w:rPr>
          <w:rFonts w:hint="eastAsia"/>
          <w:bCs/>
          <w:sz w:val="24"/>
          <w:lang/>
        </w:rPr>
        <w:t>100</w:t>
      </w:r>
      <w:r>
        <w:rPr>
          <w:rFonts w:hint="eastAsia"/>
          <w:bCs/>
          <w:sz w:val="24"/>
          <w:lang/>
        </w:rPr>
        <w:t>只业务涉及资源管理、清洁技术和产品、污染管理等领域的上市公司证券作为指数样本，以反映环保产业上市公司证券的整体表现，与碳中和的主题界定关联较小</w:t>
      </w:r>
      <w:r>
        <w:rPr>
          <w:rFonts w:hint="eastAsia"/>
          <w:bCs/>
          <w:sz w:val="24"/>
          <w:lang/>
        </w:rPr>
        <w:t>；</w:t>
      </w:r>
      <w:r>
        <w:rPr>
          <w:rFonts w:hint="eastAsia"/>
          <w:bCs/>
          <w:sz w:val="24"/>
          <w:lang/>
        </w:rPr>
        <w:t>中证新能源指数选取涉及可再生能源生产、新能源应用、新能源存储以及新能源交互设备等业务的上市公司证券作为指数样本，以反映新能源产业相关上市公司证券的整体表现；国证港股通新能源指数主要选取在香港</w:t>
      </w:r>
      <w:r>
        <w:rPr>
          <w:rFonts w:hint="eastAsia"/>
          <w:bCs/>
          <w:sz w:val="24"/>
          <w:lang/>
        </w:rPr>
        <w:t>交易所上市且公司业务涉及新能源、新能源整车相关领域的股票</w:t>
      </w:r>
      <w:r>
        <w:rPr>
          <w:rFonts w:hint="eastAsia"/>
          <w:bCs/>
          <w:sz w:val="24"/>
          <w:lang/>
        </w:rPr>
        <w:t>；</w:t>
      </w:r>
      <w:r>
        <w:rPr>
          <w:rFonts w:hint="eastAsia"/>
          <w:bCs/>
          <w:sz w:val="24"/>
          <w:lang/>
        </w:rPr>
        <w:t>中证新能源指数</w:t>
      </w:r>
      <w:r>
        <w:rPr>
          <w:rFonts w:hint="eastAsia"/>
          <w:bCs/>
          <w:sz w:val="24"/>
          <w:lang/>
        </w:rPr>
        <w:t>、</w:t>
      </w:r>
      <w:r>
        <w:rPr>
          <w:rFonts w:hint="eastAsia"/>
          <w:bCs/>
          <w:sz w:val="24"/>
          <w:lang/>
        </w:rPr>
        <w:t>国证港股通新能源指数</w:t>
      </w:r>
      <w:r>
        <w:rPr>
          <w:rFonts w:hint="eastAsia"/>
          <w:bCs/>
          <w:sz w:val="24"/>
          <w:lang/>
        </w:rPr>
        <w:t>均</w:t>
      </w:r>
      <w:r>
        <w:rPr>
          <w:rFonts w:hint="eastAsia"/>
          <w:bCs/>
          <w:sz w:val="24"/>
          <w:lang/>
        </w:rPr>
        <w:t>与主题界定更契合。</w:t>
      </w:r>
    </w:p>
    <w:p w:rsidR="00FC1DAA" w:rsidRDefault="00581B89">
      <w:pPr>
        <w:adjustRightInd w:val="0"/>
        <w:snapToGrid w:val="0"/>
        <w:spacing w:line="460" w:lineRule="exact"/>
        <w:ind w:right="240" w:firstLine="480"/>
        <w:rPr>
          <w:bCs/>
          <w:sz w:val="24"/>
          <w:lang/>
        </w:rPr>
      </w:pPr>
      <w:r>
        <w:rPr>
          <w:rFonts w:hint="eastAsia"/>
          <w:bCs/>
          <w:sz w:val="24"/>
          <w:lang/>
        </w:rPr>
        <w:t>在债券指数的选取方面，根据过往债券配置情况，富国碳中和混合型证券投资基金整体组合久期以中短久期为主，与原指数相比，中债</w:t>
      </w:r>
      <w:r>
        <w:rPr>
          <w:rFonts w:hint="eastAsia"/>
          <w:bCs/>
          <w:sz w:val="24"/>
          <w:lang/>
        </w:rPr>
        <w:t>-</w:t>
      </w:r>
      <w:r>
        <w:rPr>
          <w:rFonts w:hint="eastAsia"/>
          <w:bCs/>
          <w:sz w:val="24"/>
          <w:lang/>
        </w:rPr>
        <w:t>国债总全价（</w:t>
      </w:r>
      <w:r>
        <w:rPr>
          <w:rFonts w:hint="eastAsia"/>
          <w:bCs/>
          <w:sz w:val="24"/>
          <w:lang/>
        </w:rPr>
        <w:t>1-3</w:t>
      </w:r>
      <w:r>
        <w:rPr>
          <w:rFonts w:hint="eastAsia"/>
          <w:bCs/>
          <w:sz w:val="24"/>
          <w:lang/>
        </w:rPr>
        <w:t>年）指数与基金实际运作的久期更为贴合。</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基于以上情况，该产品的业绩比较基准的调整主要由于现有业绩比较基准与实际投资风格、资产配置比例等不匹配，调整</w:t>
      </w:r>
      <w:r>
        <w:rPr>
          <w:rFonts w:hint="eastAsia"/>
          <w:bCs/>
          <w:sz w:val="24"/>
          <w:lang/>
        </w:rPr>
        <w:t>后的</w:t>
      </w:r>
      <w:r>
        <w:rPr>
          <w:rFonts w:hint="eastAsia"/>
          <w:bCs/>
          <w:sz w:val="24"/>
          <w:lang/>
        </w:rPr>
        <w:t>业绩比较基准与实际产品定位更为契合，不会对产品投资运作、持有人利益产生实质性不利影响。</w:t>
      </w:r>
    </w:p>
    <w:p w:rsidR="00FC1DAA" w:rsidRDefault="00581B89">
      <w:pPr>
        <w:widowControl/>
        <w:numPr>
          <w:ilvl w:val="0"/>
          <w:numId w:val="1"/>
        </w:numPr>
        <w:adjustRightInd w:val="0"/>
        <w:snapToGrid w:val="0"/>
        <w:spacing w:line="460" w:lineRule="exact"/>
        <w:ind w:right="240" w:firstLine="480"/>
        <w:jc w:val="left"/>
        <w:rPr>
          <w:b/>
          <w:sz w:val="24"/>
          <w:lang/>
        </w:rPr>
      </w:pPr>
      <w:r>
        <w:rPr>
          <w:rFonts w:hint="eastAsia"/>
          <w:b/>
          <w:sz w:val="24"/>
          <w:lang/>
        </w:rPr>
        <w:t>富国改革动力混合型证</w:t>
      </w:r>
      <w:r>
        <w:rPr>
          <w:rFonts w:hint="eastAsia"/>
          <w:b/>
          <w:sz w:val="24"/>
          <w:lang/>
        </w:rPr>
        <w:t>券投资基金</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1</w:t>
      </w:r>
      <w:r>
        <w:rPr>
          <w:rFonts w:hint="eastAsia"/>
          <w:bCs/>
          <w:sz w:val="24"/>
          <w:lang/>
        </w:rPr>
        <w:t>）调整业绩比较基准的要素权重：</w:t>
      </w:r>
      <w:r>
        <w:rPr>
          <w:rFonts w:hint="eastAsia"/>
          <w:bCs/>
          <w:sz w:val="24"/>
        </w:rPr>
        <w:t>根据过往仓位情况，将基准中的股票资产的基准要素权重从</w:t>
      </w:r>
      <w:r>
        <w:rPr>
          <w:rFonts w:hint="eastAsia"/>
          <w:bCs/>
          <w:sz w:val="24"/>
        </w:rPr>
        <w:t>60%</w:t>
      </w:r>
      <w:r>
        <w:rPr>
          <w:rFonts w:hint="eastAsia"/>
          <w:bCs/>
          <w:sz w:val="24"/>
        </w:rPr>
        <w:t>提高到</w:t>
      </w:r>
      <w:r>
        <w:rPr>
          <w:rFonts w:hint="eastAsia"/>
          <w:bCs/>
          <w:sz w:val="24"/>
        </w:rPr>
        <w:t>90%</w:t>
      </w:r>
      <w:r>
        <w:rPr>
          <w:rFonts w:hint="eastAsia"/>
          <w:bCs/>
          <w:sz w:val="24"/>
        </w:rPr>
        <w:t>，将基准中的债券资产的基准要素权重从</w:t>
      </w:r>
      <w:r>
        <w:rPr>
          <w:rFonts w:hint="eastAsia"/>
          <w:bCs/>
          <w:sz w:val="24"/>
        </w:rPr>
        <w:t>40%</w:t>
      </w:r>
      <w:r>
        <w:rPr>
          <w:rFonts w:hint="eastAsia"/>
          <w:bCs/>
          <w:sz w:val="24"/>
        </w:rPr>
        <w:t>降低到</w:t>
      </w:r>
      <w:r>
        <w:rPr>
          <w:rFonts w:hint="eastAsia"/>
          <w:bCs/>
          <w:sz w:val="24"/>
        </w:rPr>
        <w:t>10%</w:t>
      </w:r>
      <w:r>
        <w:rPr>
          <w:rFonts w:hint="eastAsia"/>
          <w:bCs/>
          <w:sz w:val="24"/>
        </w:rPr>
        <w:t>。</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2</w:t>
      </w:r>
      <w:r>
        <w:rPr>
          <w:rFonts w:hint="eastAsia"/>
          <w:bCs/>
          <w:sz w:val="24"/>
          <w:lang/>
        </w:rPr>
        <w:t>）更换业绩比较基准要素：在基准指数的选取方面，</w:t>
      </w:r>
      <w:r>
        <w:rPr>
          <w:rFonts w:hint="eastAsia"/>
          <w:bCs/>
          <w:sz w:val="24"/>
          <w:lang/>
        </w:rPr>
        <w:t>A</w:t>
      </w:r>
      <w:r>
        <w:rPr>
          <w:rFonts w:hint="eastAsia"/>
          <w:bCs/>
          <w:sz w:val="24"/>
          <w:lang/>
        </w:rPr>
        <w:t>股股票部分的指数由中证</w:t>
      </w:r>
      <w:r>
        <w:rPr>
          <w:rFonts w:hint="eastAsia"/>
          <w:bCs/>
          <w:sz w:val="24"/>
          <w:lang/>
        </w:rPr>
        <w:t>800</w:t>
      </w:r>
      <w:r>
        <w:rPr>
          <w:rFonts w:hint="eastAsia"/>
          <w:bCs/>
          <w:sz w:val="24"/>
          <w:lang/>
        </w:rPr>
        <w:t>指数调整为中证</w:t>
      </w:r>
      <w:r>
        <w:rPr>
          <w:rFonts w:hint="eastAsia"/>
          <w:bCs/>
          <w:sz w:val="24"/>
          <w:lang/>
        </w:rPr>
        <w:t>A500</w:t>
      </w:r>
      <w:r>
        <w:rPr>
          <w:rFonts w:hint="eastAsia"/>
          <w:bCs/>
          <w:sz w:val="24"/>
          <w:lang/>
        </w:rPr>
        <w:t>指数，债券部分的指数由中债综合指数调整为中债</w:t>
      </w:r>
      <w:r>
        <w:rPr>
          <w:rFonts w:hint="eastAsia"/>
          <w:bCs/>
          <w:sz w:val="24"/>
          <w:lang/>
        </w:rPr>
        <w:t>-</w:t>
      </w:r>
      <w:r>
        <w:rPr>
          <w:rFonts w:hint="eastAsia"/>
          <w:bCs/>
          <w:sz w:val="24"/>
          <w:lang/>
        </w:rPr>
        <w:t>国债总财富（</w:t>
      </w:r>
      <w:r>
        <w:rPr>
          <w:rFonts w:hint="eastAsia"/>
          <w:bCs/>
          <w:sz w:val="24"/>
          <w:lang/>
        </w:rPr>
        <w:t>1-3</w:t>
      </w:r>
      <w:r>
        <w:rPr>
          <w:rFonts w:hint="eastAsia"/>
          <w:bCs/>
          <w:sz w:val="24"/>
          <w:lang/>
        </w:rPr>
        <w:t>年）指数。</w:t>
      </w:r>
    </w:p>
    <w:p w:rsidR="00FC1DAA" w:rsidRDefault="00581B89">
      <w:pPr>
        <w:adjustRightInd w:val="0"/>
        <w:snapToGrid w:val="0"/>
        <w:spacing w:line="460" w:lineRule="exact"/>
        <w:ind w:right="240" w:firstLine="480"/>
        <w:rPr>
          <w:bCs/>
          <w:sz w:val="24"/>
          <w:lang/>
        </w:rPr>
      </w:pPr>
      <w:r>
        <w:rPr>
          <w:rFonts w:hint="eastAsia"/>
          <w:bCs/>
          <w:sz w:val="24"/>
          <w:lang/>
        </w:rPr>
        <w:t>中证</w:t>
      </w:r>
      <w:r>
        <w:rPr>
          <w:rFonts w:hint="eastAsia"/>
          <w:bCs/>
          <w:sz w:val="24"/>
          <w:lang/>
        </w:rPr>
        <w:t>800</w:t>
      </w:r>
      <w:r>
        <w:rPr>
          <w:rFonts w:hint="eastAsia"/>
          <w:bCs/>
          <w:sz w:val="24"/>
          <w:lang/>
        </w:rPr>
        <w:t>指数由沪深市场市值较大、流动性较好的</w:t>
      </w:r>
      <w:r>
        <w:rPr>
          <w:rFonts w:hint="eastAsia"/>
          <w:bCs/>
          <w:sz w:val="24"/>
          <w:lang/>
        </w:rPr>
        <w:t>800</w:t>
      </w:r>
      <w:r>
        <w:rPr>
          <w:rFonts w:hint="eastAsia"/>
          <w:bCs/>
          <w:sz w:val="24"/>
          <w:lang/>
        </w:rPr>
        <w:t>只股票构成，反映沪深市场大中盘上市公司证券的整体表现；调整后的新业绩比较基准中，中证</w:t>
      </w:r>
      <w:r>
        <w:rPr>
          <w:rFonts w:hint="eastAsia"/>
          <w:bCs/>
          <w:sz w:val="24"/>
          <w:lang/>
        </w:rPr>
        <w:t>A500</w:t>
      </w:r>
      <w:r>
        <w:rPr>
          <w:rFonts w:hint="eastAsia"/>
          <w:bCs/>
          <w:sz w:val="24"/>
          <w:lang/>
        </w:rPr>
        <w:t>指数从各行业选取</w:t>
      </w:r>
      <w:r>
        <w:rPr>
          <w:rFonts w:hint="eastAsia"/>
          <w:bCs/>
          <w:sz w:val="24"/>
          <w:lang/>
        </w:rPr>
        <w:t>市值较大、流动性较好的</w:t>
      </w:r>
      <w:r>
        <w:rPr>
          <w:rFonts w:hint="eastAsia"/>
          <w:bCs/>
          <w:sz w:val="24"/>
          <w:lang/>
        </w:rPr>
        <w:t>500</w:t>
      </w:r>
      <w:r>
        <w:rPr>
          <w:rFonts w:hint="eastAsia"/>
          <w:bCs/>
          <w:sz w:val="24"/>
          <w:lang/>
        </w:rPr>
        <w:t>只证券作为指数样本，以反映各行业最具代表性上市公司证券的整体表现，根据过往持仓情况，调整后的中证</w:t>
      </w:r>
      <w:r>
        <w:rPr>
          <w:bCs/>
          <w:sz w:val="24"/>
          <w:lang/>
        </w:rPr>
        <w:t>A</w:t>
      </w:r>
      <w:r>
        <w:rPr>
          <w:rFonts w:hint="eastAsia"/>
          <w:bCs/>
          <w:sz w:val="24"/>
          <w:lang/>
        </w:rPr>
        <w:t>500</w:t>
      </w:r>
      <w:r>
        <w:rPr>
          <w:rFonts w:hint="eastAsia"/>
          <w:bCs/>
          <w:sz w:val="24"/>
          <w:lang/>
        </w:rPr>
        <w:t>指数与基金实际持股风格更为匹配。</w:t>
      </w:r>
    </w:p>
    <w:p w:rsidR="00FC1DAA" w:rsidRDefault="00581B89">
      <w:pPr>
        <w:adjustRightInd w:val="0"/>
        <w:snapToGrid w:val="0"/>
        <w:spacing w:line="460" w:lineRule="exact"/>
        <w:ind w:right="240" w:firstLine="480"/>
        <w:rPr>
          <w:bCs/>
          <w:sz w:val="24"/>
          <w:lang/>
        </w:rPr>
      </w:pPr>
      <w:r>
        <w:rPr>
          <w:rFonts w:hint="eastAsia"/>
          <w:bCs/>
          <w:sz w:val="24"/>
          <w:lang/>
        </w:rPr>
        <w:t>在债券指数的选取方面，根据过往债券配置情况，富国改革动力混合型证券投资基金整体组合久期以中短久期为主，与原指数相比，中债</w:t>
      </w:r>
      <w:r>
        <w:rPr>
          <w:rFonts w:hint="eastAsia"/>
          <w:bCs/>
          <w:sz w:val="24"/>
          <w:lang/>
        </w:rPr>
        <w:t>-</w:t>
      </w:r>
      <w:r>
        <w:rPr>
          <w:rFonts w:hint="eastAsia"/>
          <w:bCs/>
          <w:sz w:val="24"/>
          <w:lang/>
        </w:rPr>
        <w:t>国债总财富（</w:t>
      </w:r>
      <w:r>
        <w:rPr>
          <w:rFonts w:hint="eastAsia"/>
          <w:bCs/>
          <w:sz w:val="24"/>
          <w:lang/>
        </w:rPr>
        <w:t>1-3</w:t>
      </w:r>
      <w:r>
        <w:rPr>
          <w:rFonts w:hint="eastAsia"/>
          <w:bCs/>
          <w:sz w:val="24"/>
          <w:lang/>
        </w:rPr>
        <w:t>年）指数与基金实际运作的久期更为贴合。</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基于以上情况，该产品的业绩比较基准的调整主要由于现有业绩比较基准与实际投资风格、资产配置比例等不匹配，调整</w:t>
      </w:r>
      <w:r>
        <w:rPr>
          <w:rFonts w:hint="eastAsia"/>
          <w:bCs/>
          <w:sz w:val="24"/>
          <w:lang/>
        </w:rPr>
        <w:t>后的</w:t>
      </w:r>
      <w:r>
        <w:rPr>
          <w:rFonts w:hint="eastAsia"/>
          <w:bCs/>
          <w:sz w:val="24"/>
          <w:lang/>
        </w:rPr>
        <w:t>业绩比较基准与实际产品定位更为契合，不会对产品投资运作、</w:t>
      </w:r>
      <w:r>
        <w:rPr>
          <w:rFonts w:hint="eastAsia"/>
          <w:bCs/>
          <w:sz w:val="24"/>
          <w:lang/>
        </w:rPr>
        <w:t>持有人利益产生实质性不利影响。</w:t>
      </w:r>
    </w:p>
    <w:p w:rsidR="00FC1DAA" w:rsidRDefault="00581B89">
      <w:pPr>
        <w:widowControl/>
        <w:numPr>
          <w:ilvl w:val="0"/>
          <w:numId w:val="1"/>
        </w:numPr>
        <w:adjustRightInd w:val="0"/>
        <w:snapToGrid w:val="0"/>
        <w:spacing w:line="460" w:lineRule="exact"/>
        <w:ind w:right="240" w:firstLine="480"/>
        <w:jc w:val="left"/>
        <w:rPr>
          <w:b/>
          <w:sz w:val="24"/>
          <w:lang/>
        </w:rPr>
      </w:pPr>
      <w:r>
        <w:rPr>
          <w:rFonts w:hint="eastAsia"/>
          <w:b/>
          <w:sz w:val="24"/>
          <w:lang/>
        </w:rPr>
        <w:t>富国致盛量化选股股票型证券投资基金</w:t>
      </w:r>
    </w:p>
    <w:p w:rsidR="00FC1DAA" w:rsidRDefault="00581B89">
      <w:pPr>
        <w:adjustRightInd w:val="0"/>
        <w:snapToGrid w:val="0"/>
        <w:spacing w:line="460" w:lineRule="exact"/>
        <w:ind w:right="240" w:firstLine="480"/>
        <w:rPr>
          <w:bCs/>
          <w:sz w:val="24"/>
        </w:rPr>
      </w:pPr>
      <w:r>
        <w:rPr>
          <w:rFonts w:hint="eastAsia"/>
          <w:bCs/>
          <w:sz w:val="24"/>
          <w:lang/>
        </w:rPr>
        <w:t>（</w:t>
      </w:r>
      <w:r>
        <w:rPr>
          <w:rFonts w:hint="eastAsia"/>
          <w:bCs/>
          <w:sz w:val="24"/>
          <w:lang/>
        </w:rPr>
        <w:t>1</w:t>
      </w:r>
      <w:r>
        <w:rPr>
          <w:rFonts w:hint="eastAsia"/>
          <w:bCs/>
          <w:sz w:val="24"/>
          <w:lang/>
        </w:rPr>
        <w:t>）调整业绩比较基准的要素权重：</w:t>
      </w:r>
      <w:r>
        <w:rPr>
          <w:rFonts w:hint="eastAsia"/>
          <w:bCs/>
          <w:sz w:val="24"/>
        </w:rPr>
        <w:t>根据过往仓位情况，将基准中的股票资产的基准要素权重从</w:t>
      </w:r>
      <w:r>
        <w:rPr>
          <w:rFonts w:hint="eastAsia"/>
          <w:bCs/>
          <w:sz w:val="24"/>
        </w:rPr>
        <w:t>80%</w:t>
      </w:r>
      <w:r>
        <w:rPr>
          <w:rFonts w:hint="eastAsia"/>
          <w:bCs/>
          <w:sz w:val="24"/>
        </w:rPr>
        <w:t>提高到</w:t>
      </w:r>
      <w:r>
        <w:rPr>
          <w:rFonts w:hint="eastAsia"/>
          <w:bCs/>
          <w:sz w:val="24"/>
        </w:rPr>
        <w:t>90%</w:t>
      </w:r>
      <w:r>
        <w:rPr>
          <w:rFonts w:hint="eastAsia"/>
          <w:bCs/>
          <w:sz w:val="24"/>
        </w:rPr>
        <w:t>，将基准中的债券资产的基准要素权重从</w:t>
      </w:r>
      <w:r>
        <w:rPr>
          <w:rFonts w:hint="eastAsia"/>
          <w:bCs/>
          <w:sz w:val="24"/>
        </w:rPr>
        <w:t>20%</w:t>
      </w:r>
      <w:r>
        <w:rPr>
          <w:rFonts w:hint="eastAsia"/>
          <w:bCs/>
          <w:sz w:val="24"/>
        </w:rPr>
        <w:t>降低到</w:t>
      </w:r>
      <w:r>
        <w:rPr>
          <w:rFonts w:hint="eastAsia"/>
          <w:bCs/>
          <w:sz w:val="24"/>
        </w:rPr>
        <w:t>10%</w:t>
      </w:r>
      <w:r>
        <w:rPr>
          <w:rFonts w:hint="eastAsia"/>
          <w:bCs/>
          <w:sz w:val="24"/>
        </w:rPr>
        <w:t>。</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2</w:t>
      </w:r>
      <w:r>
        <w:rPr>
          <w:rFonts w:hint="eastAsia"/>
          <w:bCs/>
          <w:sz w:val="24"/>
          <w:lang/>
        </w:rPr>
        <w:t>）更换业绩比较基准要素：在基准指数的选取方面，股票部分的指数由中证</w:t>
      </w:r>
      <w:r>
        <w:rPr>
          <w:rFonts w:hint="eastAsia"/>
          <w:bCs/>
          <w:sz w:val="24"/>
          <w:lang/>
        </w:rPr>
        <w:t>A500</w:t>
      </w:r>
      <w:r>
        <w:rPr>
          <w:rFonts w:hint="eastAsia"/>
          <w:bCs/>
          <w:sz w:val="24"/>
          <w:lang/>
        </w:rPr>
        <w:t>指数调整为中证</w:t>
      </w:r>
      <w:r>
        <w:rPr>
          <w:rFonts w:hint="eastAsia"/>
          <w:bCs/>
          <w:sz w:val="24"/>
          <w:lang/>
        </w:rPr>
        <w:t>800</w:t>
      </w:r>
      <w:r>
        <w:rPr>
          <w:rFonts w:hint="eastAsia"/>
          <w:bCs/>
          <w:sz w:val="24"/>
          <w:lang/>
        </w:rPr>
        <w:t>相对成长指数，债券部分的指数由中债综合全价指数调整为中债</w:t>
      </w:r>
      <w:r>
        <w:rPr>
          <w:rFonts w:hint="eastAsia"/>
          <w:bCs/>
          <w:sz w:val="24"/>
          <w:lang/>
        </w:rPr>
        <w:t>-</w:t>
      </w:r>
      <w:r>
        <w:rPr>
          <w:rFonts w:hint="eastAsia"/>
          <w:bCs/>
          <w:sz w:val="24"/>
          <w:lang/>
        </w:rPr>
        <w:t>国债总全价（</w:t>
      </w:r>
      <w:r>
        <w:rPr>
          <w:rFonts w:hint="eastAsia"/>
          <w:bCs/>
          <w:sz w:val="24"/>
          <w:lang/>
        </w:rPr>
        <w:t>1-3</w:t>
      </w:r>
      <w:r>
        <w:rPr>
          <w:rFonts w:hint="eastAsia"/>
          <w:bCs/>
          <w:sz w:val="24"/>
          <w:lang/>
        </w:rPr>
        <w:t>年）指数。</w:t>
      </w:r>
    </w:p>
    <w:p w:rsidR="00FC1DAA" w:rsidRDefault="00581B89">
      <w:pPr>
        <w:adjustRightInd w:val="0"/>
        <w:snapToGrid w:val="0"/>
        <w:spacing w:line="460" w:lineRule="exact"/>
        <w:ind w:right="240" w:firstLine="480"/>
        <w:rPr>
          <w:bCs/>
          <w:sz w:val="24"/>
          <w:lang/>
        </w:rPr>
      </w:pPr>
      <w:r>
        <w:rPr>
          <w:rFonts w:hint="eastAsia"/>
          <w:bCs/>
          <w:sz w:val="24"/>
          <w:lang/>
        </w:rPr>
        <w:t>在股票指数的选取方面，根据过往持仓风格，富国致盛量化选股股票型证券投资基金选用中证</w:t>
      </w:r>
      <w:r>
        <w:rPr>
          <w:rFonts w:hint="eastAsia"/>
          <w:bCs/>
          <w:sz w:val="24"/>
          <w:lang/>
        </w:rPr>
        <w:t>800</w:t>
      </w:r>
      <w:r>
        <w:rPr>
          <w:rFonts w:hint="eastAsia"/>
          <w:bCs/>
          <w:sz w:val="24"/>
          <w:lang/>
        </w:rPr>
        <w:t>相对成长</w:t>
      </w:r>
      <w:r>
        <w:rPr>
          <w:rFonts w:hint="eastAsia"/>
          <w:bCs/>
          <w:sz w:val="24"/>
          <w:lang/>
        </w:rPr>
        <w:t>指数作为业绩比较基准，中证</w:t>
      </w:r>
      <w:r>
        <w:rPr>
          <w:rFonts w:hint="eastAsia"/>
          <w:bCs/>
          <w:sz w:val="24"/>
          <w:lang/>
        </w:rPr>
        <w:t>800</w:t>
      </w:r>
      <w:r>
        <w:rPr>
          <w:rFonts w:hint="eastAsia"/>
          <w:bCs/>
          <w:sz w:val="24"/>
          <w:lang/>
        </w:rPr>
        <w:t>相对成长指数综合考察中证</w:t>
      </w:r>
      <w:r>
        <w:rPr>
          <w:rFonts w:hint="eastAsia"/>
          <w:bCs/>
          <w:sz w:val="24"/>
          <w:lang/>
        </w:rPr>
        <w:t>800</w:t>
      </w:r>
      <w:r>
        <w:rPr>
          <w:rFonts w:hint="eastAsia"/>
          <w:bCs/>
          <w:sz w:val="24"/>
          <w:lang/>
        </w:rPr>
        <w:t>指数样本的价值和成长特征，选取成长风格较为突出的证券为样本，并采用经综合成长概率调整后的自由流通市值加权，以反映中证</w:t>
      </w:r>
      <w:r>
        <w:rPr>
          <w:rFonts w:hint="eastAsia"/>
          <w:bCs/>
          <w:sz w:val="24"/>
          <w:lang/>
        </w:rPr>
        <w:t>800</w:t>
      </w:r>
      <w:r>
        <w:rPr>
          <w:rFonts w:hint="eastAsia"/>
          <w:bCs/>
          <w:sz w:val="24"/>
          <w:lang/>
        </w:rPr>
        <w:t>指数中具有成长风格特征证券的整体表现，成长属性相比中证</w:t>
      </w:r>
      <w:r>
        <w:rPr>
          <w:rFonts w:hint="eastAsia"/>
          <w:bCs/>
          <w:sz w:val="24"/>
          <w:lang/>
        </w:rPr>
        <w:t>A500</w:t>
      </w:r>
      <w:r>
        <w:rPr>
          <w:rFonts w:hint="eastAsia"/>
          <w:bCs/>
          <w:sz w:val="24"/>
          <w:lang/>
        </w:rPr>
        <w:t>指数更加明显，与产品定位更契合。</w:t>
      </w:r>
    </w:p>
    <w:p w:rsidR="00FC1DAA" w:rsidRDefault="00581B89">
      <w:pPr>
        <w:adjustRightInd w:val="0"/>
        <w:snapToGrid w:val="0"/>
        <w:spacing w:line="460" w:lineRule="exact"/>
        <w:ind w:right="240" w:firstLine="480"/>
        <w:rPr>
          <w:bCs/>
          <w:sz w:val="24"/>
          <w:lang/>
        </w:rPr>
      </w:pPr>
      <w:r>
        <w:rPr>
          <w:rFonts w:hint="eastAsia"/>
          <w:bCs/>
          <w:sz w:val="24"/>
          <w:lang/>
        </w:rPr>
        <w:t>在债券指数的选取方面，富国致盛量化选股股票型证券投资基金整体组合久期以中短久期为主，与原指数相比，中债</w:t>
      </w:r>
      <w:r>
        <w:rPr>
          <w:rFonts w:hint="eastAsia"/>
          <w:bCs/>
          <w:sz w:val="24"/>
          <w:lang/>
        </w:rPr>
        <w:t>-</w:t>
      </w:r>
      <w:r>
        <w:rPr>
          <w:rFonts w:hint="eastAsia"/>
          <w:bCs/>
          <w:sz w:val="24"/>
          <w:lang/>
        </w:rPr>
        <w:t>国债总全价（</w:t>
      </w:r>
      <w:r>
        <w:rPr>
          <w:rFonts w:hint="eastAsia"/>
          <w:bCs/>
          <w:sz w:val="24"/>
          <w:lang/>
        </w:rPr>
        <w:t>1-3</w:t>
      </w:r>
      <w:r>
        <w:rPr>
          <w:rFonts w:hint="eastAsia"/>
          <w:bCs/>
          <w:sz w:val="24"/>
          <w:lang/>
        </w:rPr>
        <w:t>年）指数与基金实际运作的久期更为贴合。</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基于以上情况，该产品的业绩比较基准的调整主要由于现有业绩比较基准与实际</w:t>
      </w:r>
      <w:r>
        <w:rPr>
          <w:rFonts w:hint="eastAsia"/>
          <w:bCs/>
          <w:sz w:val="24"/>
          <w:lang/>
        </w:rPr>
        <w:t>投资风格、资产配置比例等不匹配，调整</w:t>
      </w:r>
      <w:r>
        <w:rPr>
          <w:rFonts w:hint="eastAsia"/>
          <w:bCs/>
          <w:sz w:val="24"/>
          <w:lang/>
        </w:rPr>
        <w:t>后的</w:t>
      </w:r>
      <w:r>
        <w:rPr>
          <w:rFonts w:hint="eastAsia"/>
          <w:bCs/>
          <w:sz w:val="24"/>
          <w:lang/>
        </w:rPr>
        <w:t>业绩比较基准与实际产品定位更为契合，不会对产品投资运作、持有人利益产生实质性不利影响。</w:t>
      </w:r>
    </w:p>
    <w:p w:rsidR="00FC1DAA" w:rsidRDefault="00581B89">
      <w:pPr>
        <w:widowControl/>
        <w:numPr>
          <w:ilvl w:val="0"/>
          <w:numId w:val="1"/>
        </w:numPr>
        <w:adjustRightInd w:val="0"/>
        <w:snapToGrid w:val="0"/>
        <w:spacing w:line="460" w:lineRule="exact"/>
        <w:ind w:right="240" w:firstLine="480"/>
        <w:jc w:val="left"/>
        <w:rPr>
          <w:b/>
          <w:sz w:val="24"/>
          <w:lang/>
        </w:rPr>
      </w:pPr>
      <w:r>
        <w:rPr>
          <w:rFonts w:hint="eastAsia"/>
          <w:b/>
          <w:sz w:val="24"/>
          <w:lang/>
        </w:rPr>
        <w:t>富国天丰强化收益债券型证券投资基金</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1</w:t>
      </w:r>
      <w:r>
        <w:rPr>
          <w:rFonts w:hint="eastAsia"/>
          <w:bCs/>
          <w:sz w:val="24"/>
          <w:lang/>
        </w:rPr>
        <w:t>）增加可转债的基准要素：根据过往仓位情况，在调整后的业绩比较基准中增加中证可转换债券指数，并设置权重为</w:t>
      </w:r>
      <w:r>
        <w:rPr>
          <w:rFonts w:hint="eastAsia"/>
          <w:bCs/>
          <w:sz w:val="24"/>
          <w:lang/>
        </w:rPr>
        <w:t>30%</w:t>
      </w:r>
      <w:r>
        <w:rPr>
          <w:rFonts w:hint="eastAsia"/>
          <w:bCs/>
          <w:sz w:val="24"/>
          <w:lang/>
        </w:rPr>
        <w:t>。</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2</w:t>
      </w:r>
      <w:r>
        <w:rPr>
          <w:rFonts w:hint="eastAsia"/>
          <w:bCs/>
          <w:sz w:val="24"/>
          <w:lang/>
        </w:rPr>
        <w:t>）调整</w:t>
      </w:r>
      <w:r>
        <w:rPr>
          <w:rFonts w:hint="eastAsia"/>
          <w:bCs/>
          <w:sz w:val="24"/>
          <w:lang/>
        </w:rPr>
        <w:t>纯债</w:t>
      </w:r>
      <w:r>
        <w:rPr>
          <w:rFonts w:hint="eastAsia"/>
          <w:bCs/>
          <w:sz w:val="24"/>
          <w:lang/>
        </w:rPr>
        <w:t>部分的基准要素：根据过往债券配置情况，综合考虑基准指数与产品定位和投资风格的匹配度，同时兼顾考虑基准指数的表征性、认可度，以及基准指数券种、久期、信用等级分布特征等，选取中债</w:t>
      </w:r>
      <w:r>
        <w:rPr>
          <w:rFonts w:hint="eastAsia"/>
          <w:bCs/>
          <w:sz w:val="24"/>
          <w:lang/>
        </w:rPr>
        <w:t>-0-10</w:t>
      </w:r>
      <w:r>
        <w:rPr>
          <w:rFonts w:hint="eastAsia"/>
          <w:bCs/>
          <w:sz w:val="24"/>
          <w:lang/>
        </w:rPr>
        <w:t>年国债及政策性金融债财富（总值）指数作为纯债部分的业绩比较基准要素，并设置</w:t>
      </w:r>
      <w:r>
        <w:rPr>
          <w:rFonts w:hint="eastAsia"/>
          <w:bCs/>
          <w:sz w:val="24"/>
          <w:lang/>
        </w:rPr>
        <w:t>70%</w:t>
      </w:r>
      <w:r>
        <w:rPr>
          <w:rFonts w:hint="eastAsia"/>
          <w:bCs/>
          <w:sz w:val="24"/>
          <w:lang/>
        </w:rPr>
        <w:t>的权重。</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基于以上情况，该产品的业绩比较基准的调整主要由于现有业绩比较基准与实际投资风格、资产配置比例等不匹配，调整</w:t>
      </w:r>
      <w:r>
        <w:rPr>
          <w:rFonts w:hint="eastAsia"/>
          <w:bCs/>
          <w:sz w:val="24"/>
          <w:lang/>
        </w:rPr>
        <w:t>后的</w:t>
      </w:r>
      <w:r>
        <w:rPr>
          <w:rFonts w:hint="eastAsia"/>
          <w:bCs/>
          <w:sz w:val="24"/>
          <w:lang/>
        </w:rPr>
        <w:t>业绩比较基准与实际产品定位更为契合，不会对产品投资运作、持有人利益产生实质性不利影响。</w:t>
      </w:r>
    </w:p>
    <w:p w:rsidR="00FC1DAA" w:rsidRDefault="00581B89">
      <w:pPr>
        <w:widowControl/>
        <w:numPr>
          <w:ilvl w:val="0"/>
          <w:numId w:val="1"/>
        </w:numPr>
        <w:adjustRightInd w:val="0"/>
        <w:snapToGrid w:val="0"/>
        <w:spacing w:line="460" w:lineRule="exact"/>
        <w:ind w:right="240" w:firstLine="480"/>
        <w:jc w:val="left"/>
        <w:rPr>
          <w:b/>
          <w:sz w:val="24"/>
          <w:lang/>
        </w:rPr>
      </w:pPr>
      <w:r>
        <w:rPr>
          <w:rFonts w:hint="eastAsia"/>
          <w:b/>
          <w:sz w:val="24"/>
          <w:lang/>
        </w:rPr>
        <w:t>富国新天锋债券型证券投资基金</w:t>
      </w:r>
      <w:r>
        <w:rPr>
          <w:rFonts w:hint="eastAsia"/>
          <w:b/>
          <w:sz w:val="24"/>
          <w:lang/>
        </w:rPr>
        <w:t>（</w:t>
      </w:r>
      <w:r>
        <w:rPr>
          <w:rFonts w:hint="eastAsia"/>
          <w:b/>
          <w:sz w:val="24"/>
          <w:lang/>
        </w:rPr>
        <w:t>LOF</w:t>
      </w:r>
      <w:r>
        <w:rPr>
          <w:rFonts w:hint="eastAsia"/>
          <w:b/>
          <w:sz w:val="24"/>
          <w:lang/>
        </w:rPr>
        <w:t>）</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1</w:t>
      </w:r>
      <w:r>
        <w:rPr>
          <w:rFonts w:hint="eastAsia"/>
          <w:bCs/>
          <w:sz w:val="24"/>
          <w:lang/>
        </w:rPr>
        <w:t>）增加可转债的基准要素：根据本产品过往持有可转换债券的仓位情况，调整后的业绩比较基准中增加中证可转换债券指数，并设置权重为</w:t>
      </w:r>
      <w:r>
        <w:rPr>
          <w:rFonts w:hint="eastAsia"/>
          <w:bCs/>
          <w:sz w:val="24"/>
          <w:lang/>
        </w:rPr>
        <w:t>15%</w:t>
      </w:r>
      <w:r>
        <w:rPr>
          <w:rFonts w:hint="eastAsia"/>
          <w:bCs/>
          <w:sz w:val="24"/>
          <w:lang/>
        </w:rPr>
        <w:t>。</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2</w:t>
      </w:r>
      <w:r>
        <w:rPr>
          <w:rFonts w:hint="eastAsia"/>
          <w:bCs/>
          <w:sz w:val="24"/>
          <w:lang/>
        </w:rPr>
        <w:t>）调整</w:t>
      </w:r>
      <w:r>
        <w:rPr>
          <w:rFonts w:hint="eastAsia"/>
          <w:bCs/>
          <w:sz w:val="24"/>
          <w:lang/>
        </w:rPr>
        <w:t>纯债</w:t>
      </w:r>
      <w:r>
        <w:rPr>
          <w:rFonts w:hint="eastAsia"/>
          <w:bCs/>
          <w:sz w:val="24"/>
          <w:lang/>
        </w:rPr>
        <w:t>部分的基准要素：富国新天锋债券型证券投资基金</w:t>
      </w:r>
      <w:r>
        <w:rPr>
          <w:rFonts w:hint="eastAsia"/>
          <w:bCs/>
          <w:sz w:val="24"/>
          <w:lang/>
        </w:rPr>
        <w:t>（</w:t>
      </w:r>
      <w:r>
        <w:rPr>
          <w:rFonts w:hint="eastAsia"/>
          <w:bCs/>
          <w:sz w:val="24"/>
          <w:lang/>
        </w:rPr>
        <w:t>LOF</w:t>
      </w:r>
      <w:r>
        <w:rPr>
          <w:rFonts w:hint="eastAsia"/>
          <w:bCs/>
          <w:sz w:val="24"/>
          <w:lang/>
        </w:rPr>
        <w:t>）</w:t>
      </w:r>
      <w:r>
        <w:rPr>
          <w:rFonts w:hint="eastAsia"/>
          <w:bCs/>
          <w:sz w:val="24"/>
          <w:lang/>
        </w:rPr>
        <w:t>的债券资产采用全市场策略，主要通过久期控制、期限结构配置、信用风险控制、跨市场套利和相对价值判断进行投资管理，预期组合久期整体偏向于中久期。综合考虑基准指数与产品定位和投资风格的匹配度，兼顾考虑基准指数的表征性、认可度，以及基准指数券种、久期、信用等级分布特征等，选取中债</w:t>
      </w:r>
      <w:r>
        <w:rPr>
          <w:rFonts w:hint="eastAsia"/>
          <w:bCs/>
          <w:sz w:val="24"/>
          <w:lang/>
        </w:rPr>
        <w:t>-</w:t>
      </w:r>
      <w:r>
        <w:rPr>
          <w:rFonts w:hint="eastAsia"/>
          <w:bCs/>
          <w:sz w:val="24"/>
          <w:lang/>
        </w:rPr>
        <w:t>高等级信用债财富（</w:t>
      </w:r>
      <w:r>
        <w:rPr>
          <w:rFonts w:hint="eastAsia"/>
          <w:bCs/>
          <w:sz w:val="24"/>
          <w:lang/>
        </w:rPr>
        <w:t>0-5</w:t>
      </w:r>
      <w:r>
        <w:rPr>
          <w:rFonts w:hint="eastAsia"/>
          <w:bCs/>
          <w:sz w:val="24"/>
          <w:lang/>
        </w:rPr>
        <w:t>年）指数和</w:t>
      </w:r>
      <w:r>
        <w:rPr>
          <w:rFonts w:hint="eastAsia"/>
          <w:bCs/>
          <w:sz w:val="24"/>
          <w:lang/>
        </w:rPr>
        <w:t>中债</w:t>
      </w:r>
      <w:r>
        <w:rPr>
          <w:rFonts w:hint="eastAsia"/>
          <w:bCs/>
          <w:sz w:val="24"/>
          <w:lang/>
        </w:rPr>
        <w:t>-</w:t>
      </w:r>
      <w:r>
        <w:rPr>
          <w:rFonts w:hint="eastAsia"/>
          <w:bCs/>
          <w:sz w:val="24"/>
          <w:lang/>
        </w:rPr>
        <w:t>国债及政策性银行债财富（总值）指数作为纯债部分的业绩比较基准要素，并分别设置</w:t>
      </w:r>
      <w:r>
        <w:rPr>
          <w:rFonts w:hint="eastAsia"/>
          <w:bCs/>
          <w:sz w:val="24"/>
          <w:lang/>
        </w:rPr>
        <w:t>60%</w:t>
      </w:r>
      <w:r>
        <w:rPr>
          <w:rFonts w:hint="eastAsia"/>
          <w:bCs/>
          <w:sz w:val="24"/>
          <w:lang/>
        </w:rPr>
        <w:t>和</w:t>
      </w:r>
      <w:r>
        <w:rPr>
          <w:rFonts w:hint="eastAsia"/>
          <w:bCs/>
          <w:sz w:val="24"/>
          <w:lang/>
        </w:rPr>
        <w:t>25%</w:t>
      </w:r>
      <w:r>
        <w:rPr>
          <w:rFonts w:hint="eastAsia"/>
          <w:bCs/>
          <w:sz w:val="24"/>
          <w:lang/>
        </w:rPr>
        <w:t>的权重。</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基于以上情况，该产品的业绩比较基准的调整主要由于现有业绩比较基准与实际投资风格、资产配置比例等不匹配，调整</w:t>
      </w:r>
      <w:r>
        <w:rPr>
          <w:rFonts w:hint="eastAsia"/>
          <w:bCs/>
          <w:sz w:val="24"/>
          <w:lang/>
        </w:rPr>
        <w:t>后的</w:t>
      </w:r>
      <w:r>
        <w:rPr>
          <w:rFonts w:hint="eastAsia"/>
          <w:bCs/>
          <w:sz w:val="24"/>
          <w:lang/>
        </w:rPr>
        <w:t>业绩比较基准与实际产品定位更为契合，不会对产品投资运作、持有人利益产生实质性不利影响。</w:t>
      </w:r>
    </w:p>
    <w:p w:rsidR="00FC1DAA" w:rsidRDefault="00581B89">
      <w:pPr>
        <w:widowControl/>
        <w:numPr>
          <w:ilvl w:val="0"/>
          <w:numId w:val="1"/>
        </w:numPr>
        <w:adjustRightInd w:val="0"/>
        <w:snapToGrid w:val="0"/>
        <w:spacing w:line="460" w:lineRule="exact"/>
        <w:ind w:right="240" w:firstLine="480"/>
        <w:jc w:val="left"/>
        <w:rPr>
          <w:b/>
          <w:sz w:val="24"/>
          <w:lang/>
        </w:rPr>
      </w:pPr>
      <w:r>
        <w:rPr>
          <w:rFonts w:hint="eastAsia"/>
          <w:b/>
          <w:sz w:val="24"/>
          <w:lang/>
        </w:rPr>
        <w:t>富国汇利回报两年定期开放债券型证券投资基金</w:t>
      </w:r>
    </w:p>
    <w:p w:rsidR="00FC1DAA" w:rsidRDefault="00581B89">
      <w:pPr>
        <w:numPr>
          <w:ilvl w:val="0"/>
          <w:numId w:val="4"/>
        </w:numPr>
        <w:adjustRightInd w:val="0"/>
        <w:snapToGrid w:val="0"/>
        <w:spacing w:line="460" w:lineRule="exact"/>
        <w:ind w:right="240" w:firstLine="480"/>
        <w:rPr>
          <w:bCs/>
          <w:sz w:val="24"/>
          <w:lang/>
        </w:rPr>
      </w:pPr>
      <w:r>
        <w:rPr>
          <w:rFonts w:hint="eastAsia"/>
          <w:bCs/>
          <w:sz w:val="24"/>
          <w:lang/>
        </w:rPr>
        <w:t>增加可转债的基准要素：根据本产品过往持有可转换债券的仓位情况，增加中证可转换债券指数作为基准要素，设置</w:t>
      </w:r>
      <w:r>
        <w:rPr>
          <w:rFonts w:hint="eastAsia"/>
          <w:bCs/>
          <w:sz w:val="24"/>
          <w:lang/>
        </w:rPr>
        <w:t>15%</w:t>
      </w:r>
      <w:r>
        <w:rPr>
          <w:rFonts w:hint="eastAsia"/>
          <w:bCs/>
          <w:sz w:val="24"/>
          <w:lang/>
        </w:rPr>
        <w:t>的权重。</w:t>
      </w:r>
    </w:p>
    <w:p w:rsidR="00FC1DAA" w:rsidRDefault="00581B89">
      <w:pPr>
        <w:numPr>
          <w:ilvl w:val="0"/>
          <w:numId w:val="4"/>
        </w:numPr>
        <w:adjustRightInd w:val="0"/>
        <w:snapToGrid w:val="0"/>
        <w:spacing w:line="460" w:lineRule="exact"/>
        <w:ind w:right="240" w:firstLine="480"/>
        <w:rPr>
          <w:bCs/>
          <w:sz w:val="24"/>
          <w:lang/>
        </w:rPr>
      </w:pPr>
      <w:r>
        <w:rPr>
          <w:rFonts w:hint="eastAsia"/>
          <w:bCs/>
          <w:sz w:val="24"/>
          <w:lang/>
        </w:rPr>
        <w:t>调整</w:t>
      </w:r>
      <w:r>
        <w:rPr>
          <w:rFonts w:hint="eastAsia"/>
          <w:bCs/>
          <w:sz w:val="24"/>
          <w:lang/>
        </w:rPr>
        <w:t>纯债</w:t>
      </w:r>
      <w:r>
        <w:rPr>
          <w:rFonts w:hint="eastAsia"/>
          <w:bCs/>
          <w:sz w:val="24"/>
          <w:lang/>
        </w:rPr>
        <w:t>部分的基准要素：富国汇利回报两年定期开</w:t>
      </w:r>
      <w:r>
        <w:rPr>
          <w:rFonts w:hint="eastAsia"/>
          <w:bCs/>
          <w:sz w:val="24"/>
          <w:lang/>
        </w:rPr>
        <w:t>放债券型证券投资基金的债券资产采用全市场策略，主要通过久期控制、期限结构配置、信用风险控制、跨市场套利和相对价值判断进行投资管理，预期组合久期整体偏向于中久期。综合考虑基准指数与产品定位和投资风格的匹配度，兼顾考虑基准指数的表征性、认可度，以及基准指数券种、久期、信用等级分布特征等，选取中债</w:t>
      </w:r>
      <w:r>
        <w:rPr>
          <w:rFonts w:hint="eastAsia"/>
          <w:bCs/>
          <w:sz w:val="24"/>
          <w:lang/>
        </w:rPr>
        <w:t>-</w:t>
      </w:r>
      <w:r>
        <w:rPr>
          <w:rFonts w:hint="eastAsia"/>
          <w:bCs/>
          <w:sz w:val="24"/>
          <w:lang/>
        </w:rPr>
        <w:t>高等级信用债财富（</w:t>
      </w:r>
      <w:r>
        <w:rPr>
          <w:rFonts w:hint="eastAsia"/>
          <w:bCs/>
          <w:sz w:val="24"/>
          <w:lang/>
        </w:rPr>
        <w:t>0-5</w:t>
      </w:r>
      <w:r>
        <w:rPr>
          <w:rFonts w:hint="eastAsia"/>
          <w:bCs/>
          <w:sz w:val="24"/>
          <w:lang/>
        </w:rPr>
        <w:t>年）指数和中债</w:t>
      </w:r>
      <w:r>
        <w:rPr>
          <w:rFonts w:hint="eastAsia"/>
          <w:bCs/>
          <w:sz w:val="24"/>
          <w:lang/>
        </w:rPr>
        <w:t>-0-7</w:t>
      </w:r>
      <w:r>
        <w:rPr>
          <w:rFonts w:hint="eastAsia"/>
          <w:bCs/>
          <w:sz w:val="24"/>
          <w:lang/>
        </w:rPr>
        <w:t>年国债及政策性金融债财富（总值）指数作为</w:t>
      </w:r>
      <w:r>
        <w:rPr>
          <w:rFonts w:hint="eastAsia"/>
          <w:bCs/>
          <w:sz w:val="24"/>
          <w:lang/>
        </w:rPr>
        <w:t>纯债</w:t>
      </w:r>
      <w:r>
        <w:rPr>
          <w:rFonts w:hint="eastAsia"/>
          <w:bCs/>
          <w:sz w:val="24"/>
          <w:lang/>
        </w:rPr>
        <w:t>部分的业绩比较基准要素，并分别设置</w:t>
      </w:r>
      <w:r>
        <w:rPr>
          <w:rFonts w:hint="eastAsia"/>
          <w:bCs/>
          <w:sz w:val="24"/>
          <w:lang/>
        </w:rPr>
        <w:t>45%</w:t>
      </w:r>
      <w:r>
        <w:rPr>
          <w:rFonts w:hint="eastAsia"/>
          <w:bCs/>
          <w:sz w:val="24"/>
          <w:lang/>
        </w:rPr>
        <w:t>和</w:t>
      </w:r>
      <w:r>
        <w:rPr>
          <w:rFonts w:hint="eastAsia"/>
          <w:bCs/>
          <w:sz w:val="24"/>
          <w:lang/>
        </w:rPr>
        <w:t>40%</w:t>
      </w:r>
      <w:r>
        <w:rPr>
          <w:rFonts w:hint="eastAsia"/>
          <w:bCs/>
          <w:sz w:val="24"/>
          <w:lang/>
        </w:rPr>
        <w:t>的权重。</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基于以上情况，该产品的业绩比较基准的调整主要由于现有业绩比较基准与实际</w:t>
      </w:r>
      <w:r>
        <w:rPr>
          <w:rFonts w:hint="eastAsia"/>
          <w:bCs/>
          <w:sz w:val="24"/>
          <w:lang/>
        </w:rPr>
        <w:t>投资风格、资产配置比例等不匹配，调整</w:t>
      </w:r>
      <w:r>
        <w:rPr>
          <w:rFonts w:hint="eastAsia"/>
          <w:bCs/>
          <w:sz w:val="24"/>
          <w:lang/>
        </w:rPr>
        <w:t>后的</w:t>
      </w:r>
      <w:r>
        <w:rPr>
          <w:rFonts w:hint="eastAsia"/>
          <w:bCs/>
          <w:sz w:val="24"/>
          <w:lang/>
        </w:rPr>
        <w:t>业绩比较基准与实际产品定位更为契合，不会对产品投资运作、持有人利益产生实质性不利影响。</w:t>
      </w:r>
    </w:p>
    <w:p w:rsidR="00FC1DAA" w:rsidRDefault="00581B89">
      <w:pPr>
        <w:widowControl/>
        <w:numPr>
          <w:ilvl w:val="0"/>
          <w:numId w:val="1"/>
        </w:numPr>
        <w:adjustRightInd w:val="0"/>
        <w:snapToGrid w:val="0"/>
        <w:spacing w:line="460" w:lineRule="exact"/>
        <w:ind w:right="240" w:firstLine="480"/>
        <w:jc w:val="left"/>
        <w:rPr>
          <w:b/>
          <w:sz w:val="24"/>
          <w:lang/>
        </w:rPr>
      </w:pPr>
      <w:r>
        <w:rPr>
          <w:rFonts w:hint="eastAsia"/>
          <w:b/>
          <w:sz w:val="24"/>
          <w:lang/>
        </w:rPr>
        <w:t>富国可转换债券证券投资基金</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1</w:t>
      </w:r>
      <w:r>
        <w:rPr>
          <w:rFonts w:hint="eastAsia"/>
          <w:bCs/>
          <w:sz w:val="24"/>
          <w:lang/>
        </w:rPr>
        <w:t>）调整业绩比较基准的要素权重：根据过往仓位情况，本产品主要投资于可转债品种，因此将基准中可转换债券的基准要素权重从</w:t>
      </w:r>
      <w:r>
        <w:rPr>
          <w:rFonts w:hint="eastAsia"/>
          <w:bCs/>
          <w:sz w:val="24"/>
          <w:lang/>
        </w:rPr>
        <w:t>60%</w:t>
      </w:r>
      <w:r>
        <w:rPr>
          <w:rFonts w:hint="eastAsia"/>
          <w:bCs/>
          <w:sz w:val="24"/>
          <w:lang/>
        </w:rPr>
        <w:t>提高到</w:t>
      </w:r>
      <w:r>
        <w:rPr>
          <w:rFonts w:hint="eastAsia"/>
          <w:bCs/>
          <w:sz w:val="24"/>
          <w:lang/>
        </w:rPr>
        <w:t>100%</w:t>
      </w:r>
      <w:r>
        <w:rPr>
          <w:rFonts w:hint="eastAsia"/>
          <w:bCs/>
          <w:sz w:val="24"/>
          <w:lang/>
        </w:rPr>
        <w:t>。</w:t>
      </w:r>
    </w:p>
    <w:p w:rsidR="00FC1DAA" w:rsidRDefault="00581B89">
      <w:pPr>
        <w:adjustRightInd w:val="0"/>
        <w:snapToGrid w:val="0"/>
        <w:spacing w:line="460" w:lineRule="exact"/>
        <w:ind w:right="240" w:firstLine="480"/>
        <w:rPr>
          <w:bCs/>
          <w:sz w:val="24"/>
          <w:lang/>
        </w:rPr>
      </w:pPr>
      <w:r>
        <w:rPr>
          <w:rFonts w:hint="eastAsia"/>
          <w:bCs/>
          <w:sz w:val="24"/>
          <w:lang/>
        </w:rPr>
        <w:t>（</w:t>
      </w:r>
      <w:r>
        <w:rPr>
          <w:rFonts w:hint="eastAsia"/>
          <w:bCs/>
          <w:sz w:val="24"/>
          <w:lang/>
        </w:rPr>
        <w:t>2</w:t>
      </w:r>
      <w:r>
        <w:rPr>
          <w:rFonts w:hint="eastAsia"/>
          <w:bCs/>
          <w:sz w:val="24"/>
          <w:lang/>
        </w:rPr>
        <w:t>）更换业绩比较基准要素：在基准指数的选取方面，可转换债券的指数由天相转债指数调整为中证可转换债券指数，中证可转换债券指数更具市场表征性。</w:t>
      </w:r>
    </w:p>
    <w:p w:rsidR="00FC1DAA" w:rsidRDefault="00581B89">
      <w:pPr>
        <w:adjustRightInd w:val="0"/>
        <w:snapToGrid w:val="0"/>
        <w:spacing w:line="460" w:lineRule="exact"/>
        <w:ind w:right="240" w:firstLine="480"/>
        <w:rPr>
          <w:bCs/>
          <w:sz w:val="24"/>
          <w:lang/>
        </w:rPr>
      </w:pPr>
      <w:r>
        <w:rPr>
          <w:rFonts w:hint="eastAsia"/>
          <w:bCs/>
          <w:sz w:val="24"/>
          <w:lang/>
        </w:rPr>
        <w:t>基于以上情况，该产品的业绩比较基准的调整主要由于现有业绩比较基准与实际投</w:t>
      </w:r>
      <w:r>
        <w:rPr>
          <w:rFonts w:hint="eastAsia"/>
          <w:bCs/>
          <w:sz w:val="24"/>
          <w:lang/>
        </w:rPr>
        <w:t>资风格、资产配置比例等不匹配，调整</w:t>
      </w:r>
      <w:r>
        <w:rPr>
          <w:rFonts w:hint="eastAsia"/>
          <w:bCs/>
          <w:sz w:val="24"/>
          <w:lang/>
        </w:rPr>
        <w:t>后的</w:t>
      </w:r>
      <w:r>
        <w:rPr>
          <w:rFonts w:hint="eastAsia"/>
          <w:bCs/>
          <w:sz w:val="24"/>
          <w:lang/>
        </w:rPr>
        <w:t>业绩比较基准与实际产品定位更为契合，不会对产品投资运作、持有人利益产生实质性不利影响。</w:t>
      </w:r>
    </w:p>
    <w:p w:rsidR="00FC1DAA" w:rsidRDefault="00FC1DAA">
      <w:pPr>
        <w:widowControl/>
        <w:numPr>
          <w:ilvl w:val="255"/>
          <w:numId w:val="0"/>
        </w:numPr>
        <w:spacing w:beforeAutospacing="1" w:afterAutospacing="1"/>
        <w:ind w:left="-360"/>
      </w:pPr>
    </w:p>
    <w:p w:rsidR="00FC1DAA" w:rsidRDefault="00FC1DAA">
      <w:pPr>
        <w:adjustRightInd w:val="0"/>
        <w:snapToGrid w:val="0"/>
        <w:spacing w:line="460" w:lineRule="exact"/>
        <w:ind w:right="240" w:firstLine="480"/>
        <w:rPr>
          <w:sz w:val="24"/>
        </w:rPr>
      </w:pPr>
    </w:p>
    <w:sectPr w:rsidR="00FC1DAA" w:rsidSect="00FC1DAA">
      <w:footerReference w:type="default" r:id="rId7"/>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DAA" w:rsidRDefault="00FC1DAA" w:rsidP="00FC1DAA">
      <w:r>
        <w:separator/>
      </w:r>
    </w:p>
  </w:endnote>
  <w:endnote w:type="continuationSeparator" w:id="0">
    <w:p w:rsidR="00FC1DAA" w:rsidRDefault="00FC1DAA" w:rsidP="00FC1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jc w:val="center"/>
    </w:pPr>
    <w:r w:rsidRPr="00FC1DAA">
      <w:fldChar w:fldCharType="begin"/>
    </w:r>
    <w:r w:rsidR="00581B89">
      <w:instrText xml:space="preserve"> PAGE   \* MERGEFORMAT </w:instrText>
    </w:r>
    <w:r w:rsidRPr="00FC1DAA">
      <w:fldChar w:fldCharType="separate"/>
    </w:r>
    <w:r w:rsidR="00581B89" w:rsidRPr="00581B89">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DAA" w:rsidRDefault="00FC1DAA" w:rsidP="00FC1DAA">
      <w:r>
        <w:separator/>
      </w:r>
    </w:p>
  </w:footnote>
  <w:footnote w:type="continuationSeparator" w:id="0">
    <w:p w:rsidR="00FC1DAA" w:rsidRDefault="00FC1DAA" w:rsidP="00FC1D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7699C2"/>
    <w:multiLevelType w:val="singleLevel"/>
    <w:tmpl w:val="8B7699C2"/>
    <w:lvl w:ilvl="0">
      <w:start w:val="1"/>
      <w:numFmt w:val="decimal"/>
      <w:suff w:val="nothing"/>
      <w:lvlText w:val="（%1）"/>
      <w:lvlJc w:val="left"/>
    </w:lvl>
  </w:abstractNum>
  <w:abstractNum w:abstractNumId="1">
    <w:nsid w:val="9841A541"/>
    <w:multiLevelType w:val="singleLevel"/>
    <w:tmpl w:val="9841A541"/>
    <w:lvl w:ilvl="0">
      <w:start w:val="1"/>
      <w:numFmt w:val="decimal"/>
      <w:suff w:val="nothing"/>
      <w:lvlText w:val="（%1）"/>
      <w:lvlJc w:val="left"/>
    </w:lvl>
  </w:abstractNum>
  <w:abstractNum w:abstractNumId="2">
    <w:nsid w:val="AA466FA1"/>
    <w:multiLevelType w:val="singleLevel"/>
    <w:tmpl w:val="AA466FA1"/>
    <w:lvl w:ilvl="0">
      <w:start w:val="1"/>
      <w:numFmt w:val="decimal"/>
      <w:suff w:val="nothing"/>
      <w:lvlText w:val="（%1）"/>
      <w:lvlJc w:val="left"/>
    </w:lvl>
  </w:abstractNum>
  <w:abstractNum w:abstractNumId="3">
    <w:nsid w:val="5592320D"/>
    <w:multiLevelType w:val="singleLevel"/>
    <w:tmpl w:val="5592320D"/>
    <w:lvl w:ilvl="0">
      <w:start w:val="5"/>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1A38BC"/>
    <w:rsid w:val="BBA96233"/>
    <w:rsid w:val="BBFB7A07"/>
    <w:rsid w:val="DE6A1415"/>
    <w:rsid w:val="DE7E2983"/>
    <w:rsid w:val="EFA7E278"/>
    <w:rsid w:val="FE7E496E"/>
    <w:rsid w:val="FE7F2F82"/>
    <w:rsid w:val="FEB5A8FB"/>
    <w:rsid w:val="FEF78620"/>
    <w:rsid w:val="FFBE444F"/>
    <w:rsid w:val="FFEAB5CA"/>
    <w:rsid w:val="00000065"/>
    <w:rsid w:val="00003C93"/>
    <w:rsid w:val="00005EBA"/>
    <w:rsid w:val="00013779"/>
    <w:rsid w:val="000173F2"/>
    <w:rsid w:val="00022A7C"/>
    <w:rsid w:val="00035613"/>
    <w:rsid w:val="00037926"/>
    <w:rsid w:val="00040DA8"/>
    <w:rsid w:val="00047A24"/>
    <w:rsid w:val="000526A9"/>
    <w:rsid w:val="00074BC1"/>
    <w:rsid w:val="00077A43"/>
    <w:rsid w:val="0008647F"/>
    <w:rsid w:val="000874DA"/>
    <w:rsid w:val="00087ACA"/>
    <w:rsid w:val="00087FA5"/>
    <w:rsid w:val="000977E1"/>
    <w:rsid w:val="000D0CD0"/>
    <w:rsid w:val="000D1E80"/>
    <w:rsid w:val="000D5D62"/>
    <w:rsid w:val="000D72F4"/>
    <w:rsid w:val="000F6254"/>
    <w:rsid w:val="0010006D"/>
    <w:rsid w:val="00106AE1"/>
    <w:rsid w:val="00112A1A"/>
    <w:rsid w:val="00112DE1"/>
    <w:rsid w:val="001145EC"/>
    <w:rsid w:val="0011579C"/>
    <w:rsid w:val="00116734"/>
    <w:rsid w:val="001233DA"/>
    <w:rsid w:val="00126592"/>
    <w:rsid w:val="00137EE5"/>
    <w:rsid w:val="001412A7"/>
    <w:rsid w:val="001432B2"/>
    <w:rsid w:val="00143314"/>
    <w:rsid w:val="0014725D"/>
    <w:rsid w:val="00147497"/>
    <w:rsid w:val="00160556"/>
    <w:rsid w:val="00164BC0"/>
    <w:rsid w:val="00177E74"/>
    <w:rsid w:val="00180381"/>
    <w:rsid w:val="00181FA8"/>
    <w:rsid w:val="00182296"/>
    <w:rsid w:val="00186F1C"/>
    <w:rsid w:val="00196653"/>
    <w:rsid w:val="001A3497"/>
    <w:rsid w:val="001A38BC"/>
    <w:rsid w:val="001A4A68"/>
    <w:rsid w:val="001B063A"/>
    <w:rsid w:val="001B6821"/>
    <w:rsid w:val="001B7AA4"/>
    <w:rsid w:val="001C1B29"/>
    <w:rsid w:val="001C3BAE"/>
    <w:rsid w:val="001C5B46"/>
    <w:rsid w:val="001D1F72"/>
    <w:rsid w:val="001D22F3"/>
    <w:rsid w:val="001D4017"/>
    <w:rsid w:val="001D430D"/>
    <w:rsid w:val="001F4DB1"/>
    <w:rsid w:val="001F6B75"/>
    <w:rsid w:val="00200221"/>
    <w:rsid w:val="0021251F"/>
    <w:rsid w:val="002151DD"/>
    <w:rsid w:val="00221A80"/>
    <w:rsid w:val="00223F7F"/>
    <w:rsid w:val="00226BF3"/>
    <w:rsid w:val="00231437"/>
    <w:rsid w:val="00240DEF"/>
    <w:rsid w:val="002630DD"/>
    <w:rsid w:val="00265C95"/>
    <w:rsid w:val="002760F2"/>
    <w:rsid w:val="002C0F74"/>
    <w:rsid w:val="002C5DA6"/>
    <w:rsid w:val="002D1FCF"/>
    <w:rsid w:val="002D4E66"/>
    <w:rsid w:val="002D77DB"/>
    <w:rsid w:val="002E2CD8"/>
    <w:rsid w:val="002E5AD9"/>
    <w:rsid w:val="002E63BF"/>
    <w:rsid w:val="002F3650"/>
    <w:rsid w:val="003005D8"/>
    <w:rsid w:val="00301FBB"/>
    <w:rsid w:val="00303620"/>
    <w:rsid w:val="00306FDD"/>
    <w:rsid w:val="003137EC"/>
    <w:rsid w:val="0031786C"/>
    <w:rsid w:val="00320A20"/>
    <w:rsid w:val="003237EE"/>
    <w:rsid w:val="00327BA2"/>
    <w:rsid w:val="00333045"/>
    <w:rsid w:val="00344D40"/>
    <w:rsid w:val="00346DF8"/>
    <w:rsid w:val="003560CF"/>
    <w:rsid w:val="00366842"/>
    <w:rsid w:val="003763E5"/>
    <w:rsid w:val="0038716C"/>
    <w:rsid w:val="003923B0"/>
    <w:rsid w:val="00392D72"/>
    <w:rsid w:val="0039355A"/>
    <w:rsid w:val="00396394"/>
    <w:rsid w:val="003A4492"/>
    <w:rsid w:val="003B0D46"/>
    <w:rsid w:val="003B1934"/>
    <w:rsid w:val="003B2AA9"/>
    <w:rsid w:val="003B3FD0"/>
    <w:rsid w:val="003D2828"/>
    <w:rsid w:val="003D5676"/>
    <w:rsid w:val="003D70BD"/>
    <w:rsid w:val="003D79CE"/>
    <w:rsid w:val="003E0ACD"/>
    <w:rsid w:val="003E1945"/>
    <w:rsid w:val="003E377F"/>
    <w:rsid w:val="003E6CFE"/>
    <w:rsid w:val="003F2516"/>
    <w:rsid w:val="003F2D9D"/>
    <w:rsid w:val="003F6134"/>
    <w:rsid w:val="00401C46"/>
    <w:rsid w:val="00404BDF"/>
    <w:rsid w:val="00416947"/>
    <w:rsid w:val="00424B48"/>
    <w:rsid w:val="00430206"/>
    <w:rsid w:val="00437916"/>
    <w:rsid w:val="0044610C"/>
    <w:rsid w:val="004539F0"/>
    <w:rsid w:val="004541CE"/>
    <w:rsid w:val="00455EFC"/>
    <w:rsid w:val="00457D61"/>
    <w:rsid w:val="004611AF"/>
    <w:rsid w:val="0046258C"/>
    <w:rsid w:val="00463263"/>
    <w:rsid w:val="0046356D"/>
    <w:rsid w:val="00465FE0"/>
    <w:rsid w:val="004736FE"/>
    <w:rsid w:val="00475415"/>
    <w:rsid w:val="00476701"/>
    <w:rsid w:val="00484870"/>
    <w:rsid w:val="004A2494"/>
    <w:rsid w:val="004A2A90"/>
    <w:rsid w:val="004A3919"/>
    <w:rsid w:val="004A42AE"/>
    <w:rsid w:val="004B2A7C"/>
    <w:rsid w:val="004B723D"/>
    <w:rsid w:val="004E42C4"/>
    <w:rsid w:val="004E7AA1"/>
    <w:rsid w:val="0050176A"/>
    <w:rsid w:val="005023B3"/>
    <w:rsid w:val="0050644F"/>
    <w:rsid w:val="00511CBE"/>
    <w:rsid w:val="00515D6B"/>
    <w:rsid w:val="00520E79"/>
    <w:rsid w:val="005271B2"/>
    <w:rsid w:val="0053161A"/>
    <w:rsid w:val="00536913"/>
    <w:rsid w:val="005414E3"/>
    <w:rsid w:val="00542D6F"/>
    <w:rsid w:val="00544F22"/>
    <w:rsid w:val="00545B70"/>
    <w:rsid w:val="00546235"/>
    <w:rsid w:val="00564483"/>
    <w:rsid w:val="00570EE9"/>
    <w:rsid w:val="00571200"/>
    <w:rsid w:val="00581B89"/>
    <w:rsid w:val="00585C51"/>
    <w:rsid w:val="00587DB6"/>
    <w:rsid w:val="00587FB9"/>
    <w:rsid w:val="00593D62"/>
    <w:rsid w:val="00593EA0"/>
    <w:rsid w:val="005A3A17"/>
    <w:rsid w:val="005A73C1"/>
    <w:rsid w:val="005A7FB6"/>
    <w:rsid w:val="005B6CD3"/>
    <w:rsid w:val="005C0CA5"/>
    <w:rsid w:val="005C3FCB"/>
    <w:rsid w:val="005D1704"/>
    <w:rsid w:val="005D34D4"/>
    <w:rsid w:val="005D38C0"/>
    <w:rsid w:val="005D555D"/>
    <w:rsid w:val="005D7BA1"/>
    <w:rsid w:val="005D7D73"/>
    <w:rsid w:val="005E0D3D"/>
    <w:rsid w:val="005E2BB8"/>
    <w:rsid w:val="005F5C25"/>
    <w:rsid w:val="005F64F6"/>
    <w:rsid w:val="0060686C"/>
    <w:rsid w:val="00611A11"/>
    <w:rsid w:val="0061234E"/>
    <w:rsid w:val="00614CBC"/>
    <w:rsid w:val="006213CC"/>
    <w:rsid w:val="006237A4"/>
    <w:rsid w:val="006256BC"/>
    <w:rsid w:val="00631464"/>
    <w:rsid w:val="0063322A"/>
    <w:rsid w:val="00647A51"/>
    <w:rsid w:val="00647D13"/>
    <w:rsid w:val="00651D3A"/>
    <w:rsid w:val="006601FB"/>
    <w:rsid w:val="00662B50"/>
    <w:rsid w:val="00670ADC"/>
    <w:rsid w:val="006756E7"/>
    <w:rsid w:val="00685003"/>
    <w:rsid w:val="00686846"/>
    <w:rsid w:val="00687901"/>
    <w:rsid w:val="00690696"/>
    <w:rsid w:val="006A2F1F"/>
    <w:rsid w:val="006A48DC"/>
    <w:rsid w:val="006B08E5"/>
    <w:rsid w:val="006B3D19"/>
    <w:rsid w:val="006B5753"/>
    <w:rsid w:val="006B7D26"/>
    <w:rsid w:val="006C5DA8"/>
    <w:rsid w:val="006E1721"/>
    <w:rsid w:val="006E1770"/>
    <w:rsid w:val="006E2C21"/>
    <w:rsid w:val="006E30D8"/>
    <w:rsid w:val="00702E01"/>
    <w:rsid w:val="0070320C"/>
    <w:rsid w:val="007038EB"/>
    <w:rsid w:val="00710DFA"/>
    <w:rsid w:val="0072255B"/>
    <w:rsid w:val="007252DA"/>
    <w:rsid w:val="0072556E"/>
    <w:rsid w:val="007371CD"/>
    <w:rsid w:val="00737EB2"/>
    <w:rsid w:val="00737FDD"/>
    <w:rsid w:val="007539E3"/>
    <w:rsid w:val="00754FDF"/>
    <w:rsid w:val="0076428A"/>
    <w:rsid w:val="00780E73"/>
    <w:rsid w:val="00783BBA"/>
    <w:rsid w:val="00792AEE"/>
    <w:rsid w:val="0079536D"/>
    <w:rsid w:val="0079764F"/>
    <w:rsid w:val="007A0F8B"/>
    <w:rsid w:val="007B7D8D"/>
    <w:rsid w:val="007D586B"/>
    <w:rsid w:val="007E14EA"/>
    <w:rsid w:val="007F08F7"/>
    <w:rsid w:val="008019E5"/>
    <w:rsid w:val="00801DD7"/>
    <w:rsid w:val="00810D99"/>
    <w:rsid w:val="0081350F"/>
    <w:rsid w:val="00814E76"/>
    <w:rsid w:val="008229BE"/>
    <w:rsid w:val="0082398F"/>
    <w:rsid w:val="008251DD"/>
    <w:rsid w:val="00830064"/>
    <w:rsid w:val="00834F9E"/>
    <w:rsid w:val="0083516B"/>
    <w:rsid w:val="008604DF"/>
    <w:rsid w:val="00873A2B"/>
    <w:rsid w:val="00893F2E"/>
    <w:rsid w:val="008A2D58"/>
    <w:rsid w:val="008A565F"/>
    <w:rsid w:val="008A56D3"/>
    <w:rsid w:val="008A609C"/>
    <w:rsid w:val="008A7E86"/>
    <w:rsid w:val="008B1C3D"/>
    <w:rsid w:val="008B1CCE"/>
    <w:rsid w:val="008B22E0"/>
    <w:rsid w:val="008B7088"/>
    <w:rsid w:val="008C6F92"/>
    <w:rsid w:val="008D5D56"/>
    <w:rsid w:val="008E2AEA"/>
    <w:rsid w:val="008E7CE2"/>
    <w:rsid w:val="008F3050"/>
    <w:rsid w:val="00904524"/>
    <w:rsid w:val="00906B3E"/>
    <w:rsid w:val="0091353F"/>
    <w:rsid w:val="00915C5D"/>
    <w:rsid w:val="00923390"/>
    <w:rsid w:val="0092413F"/>
    <w:rsid w:val="00925049"/>
    <w:rsid w:val="00931D3E"/>
    <w:rsid w:val="009360CF"/>
    <w:rsid w:val="00941882"/>
    <w:rsid w:val="00943F34"/>
    <w:rsid w:val="00947378"/>
    <w:rsid w:val="00961071"/>
    <w:rsid w:val="00962DA7"/>
    <w:rsid w:val="0097188C"/>
    <w:rsid w:val="009731EA"/>
    <w:rsid w:val="009734B8"/>
    <w:rsid w:val="00974F97"/>
    <w:rsid w:val="009759A1"/>
    <w:rsid w:val="009770E1"/>
    <w:rsid w:val="00984E2A"/>
    <w:rsid w:val="009877E1"/>
    <w:rsid w:val="0099072C"/>
    <w:rsid w:val="00995438"/>
    <w:rsid w:val="009A158B"/>
    <w:rsid w:val="009A5F0C"/>
    <w:rsid w:val="009B2987"/>
    <w:rsid w:val="009B3544"/>
    <w:rsid w:val="009B3F82"/>
    <w:rsid w:val="009B6E39"/>
    <w:rsid w:val="009B70F5"/>
    <w:rsid w:val="009B7283"/>
    <w:rsid w:val="009C2223"/>
    <w:rsid w:val="009C2B54"/>
    <w:rsid w:val="009C3676"/>
    <w:rsid w:val="009E27BE"/>
    <w:rsid w:val="009E5624"/>
    <w:rsid w:val="00A010AE"/>
    <w:rsid w:val="00A02732"/>
    <w:rsid w:val="00A20CE4"/>
    <w:rsid w:val="00A42004"/>
    <w:rsid w:val="00A45608"/>
    <w:rsid w:val="00A4569F"/>
    <w:rsid w:val="00A5398B"/>
    <w:rsid w:val="00A64176"/>
    <w:rsid w:val="00A70E63"/>
    <w:rsid w:val="00A73DE0"/>
    <w:rsid w:val="00A74E97"/>
    <w:rsid w:val="00A92FC4"/>
    <w:rsid w:val="00A95AEF"/>
    <w:rsid w:val="00AA4B11"/>
    <w:rsid w:val="00AB3225"/>
    <w:rsid w:val="00AC0638"/>
    <w:rsid w:val="00AC51F4"/>
    <w:rsid w:val="00AC7F59"/>
    <w:rsid w:val="00AD5461"/>
    <w:rsid w:val="00AF0CBD"/>
    <w:rsid w:val="00AF391E"/>
    <w:rsid w:val="00AF3BDB"/>
    <w:rsid w:val="00B04C95"/>
    <w:rsid w:val="00B1700D"/>
    <w:rsid w:val="00B237AD"/>
    <w:rsid w:val="00B252F6"/>
    <w:rsid w:val="00B2732C"/>
    <w:rsid w:val="00B35B55"/>
    <w:rsid w:val="00B40CF9"/>
    <w:rsid w:val="00B43216"/>
    <w:rsid w:val="00B47BB2"/>
    <w:rsid w:val="00B47FA3"/>
    <w:rsid w:val="00B51E12"/>
    <w:rsid w:val="00B6494A"/>
    <w:rsid w:val="00B654B0"/>
    <w:rsid w:val="00B90F5C"/>
    <w:rsid w:val="00B93B7B"/>
    <w:rsid w:val="00B9409F"/>
    <w:rsid w:val="00BA7C2A"/>
    <w:rsid w:val="00BB08FF"/>
    <w:rsid w:val="00BB15BC"/>
    <w:rsid w:val="00BB1CFB"/>
    <w:rsid w:val="00BB70DD"/>
    <w:rsid w:val="00BC10E2"/>
    <w:rsid w:val="00BC3B77"/>
    <w:rsid w:val="00BE393A"/>
    <w:rsid w:val="00BF7B0A"/>
    <w:rsid w:val="00BF7F13"/>
    <w:rsid w:val="00C012B4"/>
    <w:rsid w:val="00C203FE"/>
    <w:rsid w:val="00C22C6D"/>
    <w:rsid w:val="00C27DC8"/>
    <w:rsid w:val="00C306C1"/>
    <w:rsid w:val="00C3084B"/>
    <w:rsid w:val="00C33303"/>
    <w:rsid w:val="00C37A2D"/>
    <w:rsid w:val="00C45902"/>
    <w:rsid w:val="00C602CA"/>
    <w:rsid w:val="00C6045C"/>
    <w:rsid w:val="00C64767"/>
    <w:rsid w:val="00C706C0"/>
    <w:rsid w:val="00C70C17"/>
    <w:rsid w:val="00C71114"/>
    <w:rsid w:val="00C74D45"/>
    <w:rsid w:val="00C81DDB"/>
    <w:rsid w:val="00C910A3"/>
    <w:rsid w:val="00C9561D"/>
    <w:rsid w:val="00C95F01"/>
    <w:rsid w:val="00CA7C1A"/>
    <w:rsid w:val="00CB0D25"/>
    <w:rsid w:val="00CB3CA5"/>
    <w:rsid w:val="00CC085C"/>
    <w:rsid w:val="00CC5144"/>
    <w:rsid w:val="00CE28F8"/>
    <w:rsid w:val="00CF29A7"/>
    <w:rsid w:val="00CF74F8"/>
    <w:rsid w:val="00CF788E"/>
    <w:rsid w:val="00D139F2"/>
    <w:rsid w:val="00D14FCF"/>
    <w:rsid w:val="00D201C1"/>
    <w:rsid w:val="00D20AD7"/>
    <w:rsid w:val="00D2297C"/>
    <w:rsid w:val="00D316C8"/>
    <w:rsid w:val="00D31F8D"/>
    <w:rsid w:val="00D3648B"/>
    <w:rsid w:val="00D40716"/>
    <w:rsid w:val="00D40F0D"/>
    <w:rsid w:val="00D46095"/>
    <w:rsid w:val="00D46A49"/>
    <w:rsid w:val="00D47B18"/>
    <w:rsid w:val="00D606DB"/>
    <w:rsid w:val="00D626B5"/>
    <w:rsid w:val="00D6341F"/>
    <w:rsid w:val="00D641C4"/>
    <w:rsid w:val="00D678B7"/>
    <w:rsid w:val="00D80B19"/>
    <w:rsid w:val="00D97DFA"/>
    <w:rsid w:val="00DB0E19"/>
    <w:rsid w:val="00DC3E49"/>
    <w:rsid w:val="00DD44D0"/>
    <w:rsid w:val="00DD580B"/>
    <w:rsid w:val="00DE16D0"/>
    <w:rsid w:val="00DE7208"/>
    <w:rsid w:val="00DF4510"/>
    <w:rsid w:val="00DF66C8"/>
    <w:rsid w:val="00DF77BE"/>
    <w:rsid w:val="00DF7DC4"/>
    <w:rsid w:val="00E0333F"/>
    <w:rsid w:val="00E15C08"/>
    <w:rsid w:val="00E165AB"/>
    <w:rsid w:val="00E20547"/>
    <w:rsid w:val="00E22A0D"/>
    <w:rsid w:val="00E2377E"/>
    <w:rsid w:val="00E310EC"/>
    <w:rsid w:val="00E40365"/>
    <w:rsid w:val="00E4489A"/>
    <w:rsid w:val="00E5109C"/>
    <w:rsid w:val="00E618D3"/>
    <w:rsid w:val="00E9242B"/>
    <w:rsid w:val="00E9399E"/>
    <w:rsid w:val="00E97154"/>
    <w:rsid w:val="00E97A09"/>
    <w:rsid w:val="00EA1DA8"/>
    <w:rsid w:val="00EA4CA4"/>
    <w:rsid w:val="00EA52AA"/>
    <w:rsid w:val="00EB7571"/>
    <w:rsid w:val="00EC2760"/>
    <w:rsid w:val="00ED05DF"/>
    <w:rsid w:val="00ED7792"/>
    <w:rsid w:val="00EE0F98"/>
    <w:rsid w:val="00EE20AD"/>
    <w:rsid w:val="00EE56DC"/>
    <w:rsid w:val="00F01DE8"/>
    <w:rsid w:val="00F0396E"/>
    <w:rsid w:val="00F12AD8"/>
    <w:rsid w:val="00F14D53"/>
    <w:rsid w:val="00F25847"/>
    <w:rsid w:val="00F3453D"/>
    <w:rsid w:val="00F42C33"/>
    <w:rsid w:val="00F46D85"/>
    <w:rsid w:val="00F47611"/>
    <w:rsid w:val="00F5561F"/>
    <w:rsid w:val="00F55F8F"/>
    <w:rsid w:val="00F65131"/>
    <w:rsid w:val="00F72763"/>
    <w:rsid w:val="00F80000"/>
    <w:rsid w:val="00F82A59"/>
    <w:rsid w:val="00F868E6"/>
    <w:rsid w:val="00FB5350"/>
    <w:rsid w:val="00FC1DAA"/>
    <w:rsid w:val="00FC78F3"/>
    <w:rsid w:val="00FD131E"/>
    <w:rsid w:val="00FE29A4"/>
    <w:rsid w:val="00FE4932"/>
    <w:rsid w:val="00FF3E76"/>
    <w:rsid w:val="00FF46DA"/>
    <w:rsid w:val="00FF7774"/>
    <w:rsid w:val="0CD37562"/>
    <w:rsid w:val="0D940885"/>
    <w:rsid w:val="123B120C"/>
    <w:rsid w:val="131C4B06"/>
    <w:rsid w:val="18BD7184"/>
    <w:rsid w:val="1ACD150D"/>
    <w:rsid w:val="1B696451"/>
    <w:rsid w:val="1DF6EF1D"/>
    <w:rsid w:val="1FF88142"/>
    <w:rsid w:val="23A93274"/>
    <w:rsid w:val="27757E2F"/>
    <w:rsid w:val="28F60786"/>
    <w:rsid w:val="2AD040D6"/>
    <w:rsid w:val="2E5B4791"/>
    <w:rsid w:val="3B9D13DB"/>
    <w:rsid w:val="3C0F638F"/>
    <w:rsid w:val="3FE3347C"/>
    <w:rsid w:val="43C7615E"/>
    <w:rsid w:val="449612AF"/>
    <w:rsid w:val="4BFF04D7"/>
    <w:rsid w:val="51C9298D"/>
    <w:rsid w:val="5B7F9836"/>
    <w:rsid w:val="5BFBED64"/>
    <w:rsid w:val="5BFDA549"/>
    <w:rsid w:val="5E06489D"/>
    <w:rsid w:val="5FFFC2DE"/>
    <w:rsid w:val="65712231"/>
    <w:rsid w:val="66B73CC5"/>
    <w:rsid w:val="67BF6A44"/>
    <w:rsid w:val="6F7B516C"/>
    <w:rsid w:val="6FBF5284"/>
    <w:rsid w:val="6FFFDDB8"/>
    <w:rsid w:val="73D7598B"/>
    <w:rsid w:val="751F7BE1"/>
    <w:rsid w:val="75EF2A88"/>
    <w:rsid w:val="762E4202"/>
    <w:rsid w:val="7BFB59DE"/>
    <w:rsid w:val="7C5838AD"/>
    <w:rsid w:val="7CBE0FB2"/>
    <w:rsid w:val="7D3F2FF4"/>
    <w:rsid w:val="7DFD6D73"/>
    <w:rsid w:val="7FE4209C"/>
    <w:rsid w:val="7FFFDC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nhideWhenUsed="0" w:qFormat="1"/>
    <w:lsdException w:name="Balloon Text"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DAA"/>
    <w:pPr>
      <w:widowControl w:val="0"/>
      <w:jc w:val="both"/>
    </w:pPr>
    <w:rPr>
      <w:kern w:val="2"/>
      <w:sz w:val="21"/>
      <w:szCs w:val="24"/>
    </w:rPr>
  </w:style>
  <w:style w:type="paragraph" w:styleId="1">
    <w:name w:val="heading 1"/>
    <w:basedOn w:val="a"/>
    <w:next w:val="a"/>
    <w:link w:val="1Char"/>
    <w:qFormat/>
    <w:rsid w:val="00FC1DAA"/>
    <w:pPr>
      <w:keepNext/>
      <w:keepLines/>
      <w:spacing w:before="120" w:after="120" w:line="360" w:lineRule="auto"/>
      <w:outlineLvl w:val="0"/>
    </w:pPr>
    <w:rPr>
      <w:rFonts w:ascii="宋体"/>
      <w:b/>
      <w:color w:val="000000"/>
      <w:kern w:val="0"/>
      <w:sz w:val="24"/>
      <w:szCs w:val="20"/>
    </w:rPr>
  </w:style>
  <w:style w:type="paragraph" w:styleId="2">
    <w:name w:val="heading 2"/>
    <w:basedOn w:val="a"/>
    <w:next w:val="a"/>
    <w:link w:val="2Char"/>
    <w:qFormat/>
    <w:rsid w:val="00FC1DAA"/>
    <w:pPr>
      <w:keepNext/>
      <w:keepLines/>
      <w:spacing w:before="260" w:after="260" w:line="416" w:lineRule="auto"/>
      <w:outlineLvl w:val="1"/>
    </w:pPr>
    <w:rPr>
      <w:rFonts w:ascii="Calibri Light" w:hAnsi="Calibri Light"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FC1DAA"/>
    <w:pPr>
      <w:ind w:firstLineChars="200" w:firstLine="420"/>
    </w:pPr>
  </w:style>
  <w:style w:type="paragraph" w:styleId="a4">
    <w:name w:val="annotation text"/>
    <w:basedOn w:val="a"/>
    <w:link w:val="Char"/>
    <w:uiPriority w:val="99"/>
    <w:qFormat/>
    <w:rsid w:val="00FC1DAA"/>
    <w:pPr>
      <w:jc w:val="left"/>
    </w:pPr>
  </w:style>
  <w:style w:type="paragraph" w:styleId="a5">
    <w:name w:val="Body Text Indent"/>
    <w:basedOn w:val="a"/>
    <w:link w:val="Char0"/>
    <w:qFormat/>
    <w:rsid w:val="00FC1DAA"/>
    <w:pPr>
      <w:spacing w:line="400" w:lineRule="exact"/>
      <w:ind w:firstLineChars="192" w:firstLine="538"/>
    </w:pPr>
    <w:rPr>
      <w:rFonts w:ascii="仿宋_GB2312" w:eastAsia="仿宋_GB2312" w:hAnsi="宋体"/>
      <w:color w:val="000000"/>
      <w:sz w:val="28"/>
    </w:rPr>
  </w:style>
  <w:style w:type="paragraph" w:styleId="a6">
    <w:name w:val="Plain Text"/>
    <w:basedOn w:val="a"/>
    <w:link w:val="Char1"/>
    <w:qFormat/>
    <w:rsid w:val="00FC1DAA"/>
    <w:rPr>
      <w:rFonts w:ascii="宋体" w:hAnsi="Courier New" w:cs="Courier New"/>
      <w:szCs w:val="21"/>
    </w:rPr>
  </w:style>
  <w:style w:type="paragraph" w:styleId="a7">
    <w:name w:val="Balloon Text"/>
    <w:basedOn w:val="a"/>
    <w:link w:val="Char2"/>
    <w:uiPriority w:val="99"/>
    <w:qFormat/>
    <w:rsid w:val="00FC1DAA"/>
    <w:rPr>
      <w:sz w:val="18"/>
      <w:szCs w:val="18"/>
    </w:rPr>
  </w:style>
  <w:style w:type="paragraph" w:styleId="a8">
    <w:name w:val="footer"/>
    <w:basedOn w:val="a"/>
    <w:link w:val="Char3"/>
    <w:uiPriority w:val="99"/>
    <w:qFormat/>
    <w:rsid w:val="00FC1DAA"/>
    <w:pPr>
      <w:tabs>
        <w:tab w:val="center" w:pos="4153"/>
        <w:tab w:val="right" w:pos="8306"/>
      </w:tabs>
      <w:snapToGrid w:val="0"/>
      <w:jc w:val="left"/>
    </w:pPr>
    <w:rPr>
      <w:sz w:val="18"/>
      <w:szCs w:val="18"/>
    </w:rPr>
  </w:style>
  <w:style w:type="paragraph" w:styleId="a9">
    <w:name w:val="header"/>
    <w:basedOn w:val="a"/>
    <w:link w:val="Char4"/>
    <w:uiPriority w:val="99"/>
    <w:qFormat/>
    <w:rsid w:val="00FC1DA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FC1DAA"/>
    <w:pPr>
      <w:tabs>
        <w:tab w:val="right" w:leader="dot" w:pos="8296"/>
      </w:tabs>
      <w:spacing w:line="360" w:lineRule="auto"/>
    </w:pPr>
    <w:rPr>
      <w:szCs w:val="20"/>
    </w:rPr>
  </w:style>
  <w:style w:type="paragraph" w:styleId="aa">
    <w:name w:val="Subtitle"/>
    <w:basedOn w:val="a"/>
    <w:next w:val="a"/>
    <w:link w:val="Char5"/>
    <w:qFormat/>
    <w:rsid w:val="00FC1DAA"/>
    <w:pPr>
      <w:spacing w:before="240" w:after="60" w:line="312" w:lineRule="auto"/>
      <w:jc w:val="center"/>
      <w:outlineLvl w:val="1"/>
    </w:pPr>
    <w:rPr>
      <w:rFonts w:ascii="Calibri Light" w:hAnsi="Calibri Light"/>
      <w:b/>
      <w:bCs/>
      <w:kern w:val="28"/>
      <w:sz w:val="32"/>
      <w:szCs w:val="32"/>
    </w:rPr>
  </w:style>
  <w:style w:type="paragraph" w:styleId="ab">
    <w:name w:val="annotation subject"/>
    <w:basedOn w:val="a4"/>
    <w:next w:val="a4"/>
    <w:link w:val="Char6"/>
    <w:uiPriority w:val="99"/>
    <w:qFormat/>
    <w:rsid w:val="00FC1DAA"/>
    <w:rPr>
      <w:b/>
      <w:bCs/>
    </w:rPr>
  </w:style>
  <w:style w:type="table" w:styleId="ac">
    <w:name w:val="Table Grid"/>
    <w:basedOn w:val="a1"/>
    <w:uiPriority w:val="39"/>
    <w:qFormat/>
    <w:rsid w:val="00FC1D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qFormat/>
    <w:rsid w:val="00FC1DAA"/>
    <w:rPr>
      <w:color w:val="0563C1"/>
      <w:u w:val="single"/>
    </w:rPr>
  </w:style>
  <w:style w:type="character" w:styleId="ae">
    <w:name w:val="annotation reference"/>
    <w:basedOn w:val="a0"/>
    <w:uiPriority w:val="99"/>
    <w:qFormat/>
    <w:rsid w:val="00FC1DAA"/>
    <w:rPr>
      <w:sz w:val="21"/>
      <w:szCs w:val="21"/>
    </w:rPr>
  </w:style>
  <w:style w:type="paragraph" w:styleId="af">
    <w:name w:val="List Paragraph"/>
    <w:basedOn w:val="a"/>
    <w:uiPriority w:val="34"/>
    <w:qFormat/>
    <w:rsid w:val="00FC1DAA"/>
    <w:pPr>
      <w:ind w:firstLineChars="200" w:firstLine="420"/>
    </w:pPr>
  </w:style>
  <w:style w:type="character" w:customStyle="1" w:styleId="Char2">
    <w:name w:val="批注框文本 Char"/>
    <w:basedOn w:val="a0"/>
    <w:link w:val="a7"/>
    <w:uiPriority w:val="99"/>
    <w:qFormat/>
    <w:rsid w:val="00FC1DAA"/>
    <w:rPr>
      <w:rFonts w:ascii="Times New Roman" w:eastAsia="宋体" w:hAnsi="Times New Roman" w:cs="Times New Roman"/>
      <w:sz w:val="18"/>
      <w:szCs w:val="18"/>
    </w:rPr>
  </w:style>
  <w:style w:type="character" w:customStyle="1" w:styleId="Char">
    <w:name w:val="批注文字 Char"/>
    <w:basedOn w:val="a0"/>
    <w:link w:val="a4"/>
    <w:uiPriority w:val="99"/>
    <w:qFormat/>
    <w:rsid w:val="00FC1DAA"/>
    <w:rPr>
      <w:rFonts w:ascii="Times New Roman" w:eastAsia="宋体" w:hAnsi="Times New Roman" w:cs="Times New Roman"/>
      <w:szCs w:val="24"/>
    </w:rPr>
  </w:style>
  <w:style w:type="character" w:customStyle="1" w:styleId="Char6">
    <w:name w:val="批注主题 Char"/>
    <w:basedOn w:val="Char"/>
    <w:link w:val="ab"/>
    <w:uiPriority w:val="99"/>
    <w:qFormat/>
    <w:rsid w:val="00FC1DAA"/>
    <w:rPr>
      <w:rFonts w:ascii="Times New Roman" w:eastAsia="宋体" w:hAnsi="Times New Roman" w:cs="Times New Roman"/>
      <w:b/>
      <w:bCs/>
      <w:szCs w:val="24"/>
    </w:rPr>
  </w:style>
  <w:style w:type="character" w:customStyle="1" w:styleId="Char4">
    <w:name w:val="页眉 Char"/>
    <w:basedOn w:val="a0"/>
    <w:link w:val="a9"/>
    <w:uiPriority w:val="99"/>
    <w:qFormat/>
    <w:rsid w:val="00FC1DAA"/>
    <w:rPr>
      <w:rFonts w:ascii="Times New Roman" w:eastAsia="宋体" w:hAnsi="Times New Roman" w:cs="Times New Roman"/>
      <w:sz w:val="18"/>
      <w:szCs w:val="18"/>
    </w:rPr>
  </w:style>
  <w:style w:type="character" w:customStyle="1" w:styleId="Char3">
    <w:name w:val="页脚 Char"/>
    <w:basedOn w:val="a0"/>
    <w:link w:val="a8"/>
    <w:uiPriority w:val="99"/>
    <w:qFormat/>
    <w:rsid w:val="00FC1DAA"/>
    <w:rPr>
      <w:rFonts w:ascii="Times New Roman" w:eastAsia="宋体" w:hAnsi="Times New Roman" w:cs="Times New Roman"/>
      <w:sz w:val="18"/>
      <w:szCs w:val="18"/>
    </w:rPr>
  </w:style>
  <w:style w:type="character" w:customStyle="1" w:styleId="Char5">
    <w:name w:val="副标题 Char"/>
    <w:basedOn w:val="a0"/>
    <w:link w:val="aa"/>
    <w:qFormat/>
    <w:rsid w:val="00FC1DAA"/>
    <w:rPr>
      <w:rFonts w:ascii="Calibri Light" w:eastAsia="宋体" w:hAnsi="Calibri Light" w:cs="Times New Roman"/>
      <w:b/>
      <w:bCs/>
      <w:kern w:val="28"/>
      <w:sz w:val="32"/>
      <w:szCs w:val="32"/>
    </w:rPr>
  </w:style>
  <w:style w:type="character" w:customStyle="1" w:styleId="Char1">
    <w:name w:val="纯文本 Char"/>
    <w:basedOn w:val="a0"/>
    <w:link w:val="a6"/>
    <w:qFormat/>
    <w:rsid w:val="00FC1DAA"/>
    <w:rPr>
      <w:rFonts w:ascii="宋体" w:eastAsia="宋体" w:hAnsi="Courier New" w:cs="Courier New"/>
      <w:szCs w:val="21"/>
    </w:rPr>
  </w:style>
  <w:style w:type="paragraph" w:customStyle="1" w:styleId="11">
    <w:name w:val="修订1"/>
    <w:uiPriority w:val="99"/>
    <w:qFormat/>
    <w:rsid w:val="00FC1DAA"/>
    <w:rPr>
      <w:kern w:val="2"/>
      <w:sz w:val="21"/>
      <w:szCs w:val="24"/>
    </w:rPr>
  </w:style>
  <w:style w:type="character" w:customStyle="1" w:styleId="1Char">
    <w:name w:val="标题 1 Char"/>
    <w:basedOn w:val="a0"/>
    <w:link w:val="1"/>
    <w:qFormat/>
    <w:rsid w:val="00FC1DAA"/>
    <w:rPr>
      <w:rFonts w:ascii="宋体" w:eastAsia="宋体" w:hAnsi="Times New Roman" w:cs="Times New Roman"/>
      <w:b/>
      <w:color w:val="000000"/>
      <w:kern w:val="0"/>
      <w:sz w:val="24"/>
      <w:szCs w:val="20"/>
    </w:rPr>
  </w:style>
  <w:style w:type="character" w:customStyle="1" w:styleId="2Char">
    <w:name w:val="标题 2 Char"/>
    <w:basedOn w:val="a0"/>
    <w:link w:val="2"/>
    <w:qFormat/>
    <w:rsid w:val="00FC1DAA"/>
    <w:rPr>
      <w:rFonts w:ascii="Calibri Light" w:eastAsia="宋体" w:hAnsi="Calibri Light" w:cs="宋体"/>
      <w:b/>
      <w:bCs/>
      <w:sz w:val="32"/>
      <w:szCs w:val="32"/>
    </w:rPr>
  </w:style>
  <w:style w:type="character" w:customStyle="1" w:styleId="Char0">
    <w:name w:val="正文文本缩进 Char"/>
    <w:basedOn w:val="a0"/>
    <w:link w:val="a5"/>
    <w:qFormat/>
    <w:rsid w:val="00FC1DAA"/>
    <w:rPr>
      <w:rFonts w:ascii="仿宋_GB2312" w:eastAsia="仿宋_GB2312" w:hAnsi="宋体" w:cs="Times New Roman"/>
      <w:color w:val="000000"/>
      <w:sz w:val="28"/>
      <w:szCs w:val="24"/>
    </w:rPr>
  </w:style>
  <w:style w:type="paragraph" w:customStyle="1" w:styleId="20">
    <w:name w:val="修订2"/>
    <w:hidden/>
    <w:uiPriority w:val="99"/>
    <w:unhideWhenUsed/>
    <w:qFormat/>
    <w:rsid w:val="00FC1DAA"/>
    <w:rPr>
      <w:kern w:val="2"/>
      <w:sz w:val="21"/>
      <w:szCs w:val="24"/>
    </w:rPr>
  </w:style>
  <w:style w:type="paragraph" w:customStyle="1" w:styleId="3">
    <w:name w:val="修订3"/>
    <w:hidden/>
    <w:uiPriority w:val="99"/>
    <w:unhideWhenUsed/>
    <w:qFormat/>
    <w:rsid w:val="00FC1DAA"/>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2225</Words>
  <Characters>12688</Characters>
  <Application>Microsoft Office Word</Application>
  <DocSecurity>4</DocSecurity>
  <Lines>105</Lines>
  <Paragraphs>29</Paragraphs>
  <ScaleCrop>false</ScaleCrop>
  <Company>CNSTOCK</Company>
  <LinksUpToDate>false</LinksUpToDate>
  <CharactersWithSpaces>14884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csrc</dc:creator>
  <cp:lastModifiedBy>ZHONGM</cp:lastModifiedBy>
  <cp:revision>2</cp:revision>
  <dcterms:created xsi:type="dcterms:W3CDTF">2026-04-30T16:01:00Z</dcterms:created>
  <dcterms:modified xsi:type="dcterms:W3CDTF">2026-04-30T16:01:00Z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CA3ED473AFA44DCD94692E0F75C09575_13</vt:lpwstr>
  </property>
</Properties>
</file>