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D4" w:rsidRDefault="00F9153B">
      <w:pPr>
        <w:ind w:rightChars="40" w:right="84"/>
        <w:jc w:val="center"/>
        <w:rPr>
          <w:b/>
          <w:szCs w:val="21"/>
        </w:rPr>
      </w:pPr>
      <w:bookmarkStart w:id="0" w:name="OLE_LINK4"/>
      <w:bookmarkStart w:id="1" w:name="OLE_LINK7"/>
      <w:bookmarkStart w:id="2" w:name="OLE_LINK5"/>
      <w:bookmarkStart w:id="3" w:name="OLE_LINK6"/>
      <w:bookmarkStart w:id="4" w:name="_GoBack"/>
      <w:bookmarkEnd w:id="4"/>
      <w:r>
        <w:rPr>
          <w:rFonts w:hint="eastAsia"/>
          <w:b/>
          <w:sz w:val="28"/>
          <w:szCs w:val="28"/>
        </w:rPr>
        <w:t>景顺长城</w:t>
      </w:r>
      <w:r w:rsidR="006D1E1C">
        <w:rPr>
          <w:b/>
          <w:sz w:val="28"/>
          <w:szCs w:val="28"/>
        </w:rPr>
        <w:t>基金管理有限公司关于旗下部分基金调整业绩比较基准</w:t>
      </w:r>
      <w:r w:rsidR="006D1E1C">
        <w:rPr>
          <w:b/>
          <w:kern w:val="0"/>
          <w:sz w:val="28"/>
          <w:szCs w:val="28"/>
        </w:rPr>
        <w:t>并</w:t>
      </w:r>
      <w:r w:rsidR="006D1E1C">
        <w:rPr>
          <w:b/>
          <w:sz w:val="28"/>
          <w:szCs w:val="28"/>
        </w:rPr>
        <w:t>修订基金合同</w:t>
      </w:r>
      <w:r w:rsidR="006D1E1C">
        <w:rPr>
          <w:rFonts w:hint="eastAsia"/>
          <w:b/>
          <w:sz w:val="28"/>
          <w:szCs w:val="28"/>
        </w:rPr>
        <w:t>等法律文件</w:t>
      </w:r>
      <w:r w:rsidR="006D1E1C">
        <w:rPr>
          <w:b/>
          <w:sz w:val="28"/>
          <w:szCs w:val="28"/>
        </w:rPr>
        <w:t>的公告</w:t>
      </w:r>
    </w:p>
    <w:p w:rsidR="00FE70D4" w:rsidRDefault="00FE70D4">
      <w:pPr>
        <w:pStyle w:val="af7"/>
        <w:spacing w:line="360" w:lineRule="auto"/>
        <w:ind w:firstLine="480"/>
        <w:rPr>
          <w:sz w:val="24"/>
        </w:rPr>
      </w:pPr>
    </w:p>
    <w:p w:rsidR="00FE70D4" w:rsidRDefault="006D1E1C">
      <w:pPr>
        <w:spacing w:line="360" w:lineRule="auto"/>
        <w:ind w:firstLineChars="200" w:firstLine="480"/>
        <w:rPr>
          <w:sz w:val="24"/>
        </w:rPr>
      </w:pPr>
      <w:r>
        <w:rPr>
          <w:rFonts w:hint="eastAsia"/>
          <w:bCs/>
          <w:sz w:val="24"/>
        </w:rPr>
        <w:t>根据</w:t>
      </w:r>
      <w:r>
        <w:rPr>
          <w:bCs/>
          <w:sz w:val="24"/>
        </w:rPr>
        <w:t>《公开募集证券投资基金业绩比较基准指引》</w:t>
      </w:r>
      <w:r>
        <w:rPr>
          <w:rFonts w:hint="eastAsia"/>
          <w:bCs/>
          <w:sz w:val="24"/>
        </w:rPr>
        <w:t>的相关规定</w:t>
      </w:r>
      <w:r>
        <w:rPr>
          <w:bCs/>
          <w:sz w:val="24"/>
        </w:rPr>
        <w:t>，</w:t>
      </w:r>
      <w:r>
        <w:rPr>
          <w:rFonts w:hint="eastAsia"/>
          <w:bCs/>
          <w:sz w:val="24"/>
        </w:rPr>
        <w:t>为</w:t>
      </w:r>
      <w:r>
        <w:rPr>
          <w:bCs/>
          <w:sz w:val="24"/>
        </w:rPr>
        <w:t>更好地反映基金</w:t>
      </w:r>
      <w:r>
        <w:rPr>
          <w:rFonts w:hint="eastAsia"/>
          <w:bCs/>
          <w:sz w:val="24"/>
        </w:rPr>
        <w:t>投资风格</w:t>
      </w:r>
      <w:r>
        <w:rPr>
          <w:bCs/>
          <w:sz w:val="24"/>
        </w:rPr>
        <w:t>，提高基金业绩表现与业绩比较基准的可比性，</w:t>
      </w:r>
      <w:r>
        <w:rPr>
          <w:sz w:val="24"/>
        </w:rPr>
        <w:t>经与各基金托管人协商一致，</w:t>
      </w:r>
      <w:r w:rsidR="00F9153B">
        <w:rPr>
          <w:rFonts w:hint="eastAsia"/>
          <w:sz w:val="24"/>
        </w:rPr>
        <w:t>景顺长城</w:t>
      </w:r>
      <w:r>
        <w:rPr>
          <w:sz w:val="24"/>
        </w:rPr>
        <w:t>基金管理有限公司（以下简称</w:t>
      </w:r>
      <w:r>
        <w:rPr>
          <w:rFonts w:hint="eastAsia"/>
          <w:sz w:val="24"/>
        </w:rPr>
        <w:t>“</w:t>
      </w:r>
      <w:r>
        <w:rPr>
          <w:sz w:val="24"/>
        </w:rPr>
        <w:t>基金管理人</w:t>
      </w:r>
      <w:r>
        <w:rPr>
          <w:rFonts w:hint="eastAsia"/>
          <w:sz w:val="24"/>
        </w:rPr>
        <w:t>”</w:t>
      </w:r>
      <w:r>
        <w:rPr>
          <w:sz w:val="24"/>
        </w:rPr>
        <w:t>）决定自</w:t>
      </w:r>
      <w:r>
        <w:rPr>
          <w:rFonts w:hint="eastAsia"/>
          <w:sz w:val="24"/>
        </w:rPr>
        <w:t>2</w:t>
      </w:r>
      <w:r>
        <w:rPr>
          <w:sz w:val="24"/>
        </w:rPr>
        <w:t>026</w:t>
      </w:r>
      <w:r>
        <w:rPr>
          <w:sz w:val="24"/>
        </w:rPr>
        <w:t>年</w:t>
      </w:r>
      <w:r w:rsidR="00EE4F74">
        <w:rPr>
          <w:sz w:val="24"/>
        </w:rPr>
        <w:t>6</w:t>
      </w:r>
      <w:r>
        <w:rPr>
          <w:rFonts w:hint="eastAsia"/>
          <w:sz w:val="24"/>
        </w:rPr>
        <w:t>月</w:t>
      </w:r>
      <w:r w:rsidR="00EE4F74">
        <w:rPr>
          <w:sz w:val="24"/>
        </w:rPr>
        <w:t>1</w:t>
      </w:r>
      <w:r>
        <w:rPr>
          <w:rFonts w:hint="eastAsia"/>
          <w:sz w:val="24"/>
        </w:rPr>
        <w:t>日起</w:t>
      </w:r>
      <w:r>
        <w:rPr>
          <w:sz w:val="24"/>
        </w:rPr>
        <w:t>调整旗下部分基金的</w:t>
      </w:r>
      <w:r>
        <w:rPr>
          <w:bCs/>
          <w:sz w:val="24"/>
        </w:rPr>
        <w:t>业绩比较基准并对基金合同</w:t>
      </w:r>
      <w:r>
        <w:rPr>
          <w:rFonts w:hint="eastAsia"/>
          <w:bCs/>
          <w:sz w:val="24"/>
        </w:rPr>
        <w:t>等法律文件</w:t>
      </w:r>
      <w:r>
        <w:rPr>
          <w:bCs/>
          <w:sz w:val="24"/>
        </w:rPr>
        <w:t>有关条款进行修订。</w:t>
      </w:r>
      <w:r>
        <w:rPr>
          <w:sz w:val="24"/>
        </w:rPr>
        <w:t>现将相关事宜公告如下：</w:t>
      </w:r>
    </w:p>
    <w:p w:rsidR="00FE70D4" w:rsidRDefault="006D1E1C">
      <w:pPr>
        <w:pStyle w:val="a8"/>
        <w:spacing w:line="36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一、</w:t>
      </w:r>
      <w:r>
        <w:rPr>
          <w:rFonts w:ascii="Times New Roman" w:hAnsi="Times New Roman" w:cs="Times New Roman" w:hint="eastAsia"/>
          <w:b/>
          <w:bCs/>
          <w:sz w:val="24"/>
          <w:szCs w:val="24"/>
        </w:rPr>
        <w:t>业绩比较基准调整情况</w:t>
      </w:r>
    </w:p>
    <w:p w:rsidR="00FE70D4" w:rsidRDefault="006D1E1C">
      <w:pPr>
        <w:pStyle w:val="a8"/>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本次调整业绩比较基准的基金及调整前后的业绩比较基准情况如下：</w:t>
      </w:r>
    </w:p>
    <w:tbl>
      <w:tblPr>
        <w:tblStyle w:val="af4"/>
        <w:tblW w:w="8120" w:type="dxa"/>
        <w:jc w:val="center"/>
        <w:tblLook w:val="04A0" w:firstRow="1" w:lastRow="0" w:firstColumn="1" w:lastColumn="0" w:noHBand="0" w:noVBand="1"/>
      </w:tblPr>
      <w:tblGrid>
        <w:gridCol w:w="704"/>
        <w:gridCol w:w="1356"/>
        <w:gridCol w:w="3028"/>
        <w:gridCol w:w="3032"/>
      </w:tblGrid>
      <w:tr w:rsidR="00FE70D4" w:rsidRPr="008D74FA">
        <w:trPr>
          <w:trHeight w:val="376"/>
          <w:jc w:val="center"/>
        </w:trPr>
        <w:tc>
          <w:tcPr>
            <w:tcW w:w="704" w:type="dxa"/>
          </w:tcPr>
          <w:p w:rsidR="00FE70D4" w:rsidRPr="00F15979" w:rsidRDefault="006D1E1C">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sz w:val="24"/>
              </w:rPr>
              <w:t>序号</w:t>
            </w:r>
          </w:p>
        </w:tc>
        <w:tc>
          <w:tcPr>
            <w:tcW w:w="1356" w:type="dxa"/>
          </w:tcPr>
          <w:p w:rsidR="00FE70D4" w:rsidRPr="00F15979" w:rsidRDefault="006D1E1C">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sz w:val="24"/>
              </w:rPr>
              <w:t>基金全称</w:t>
            </w:r>
          </w:p>
        </w:tc>
        <w:tc>
          <w:tcPr>
            <w:tcW w:w="3028" w:type="dxa"/>
          </w:tcPr>
          <w:p w:rsidR="00FE70D4" w:rsidRPr="00F15979" w:rsidRDefault="006D1E1C">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sz w:val="24"/>
              </w:rPr>
              <w:t>原基金合同业绩比较基准</w:t>
            </w:r>
          </w:p>
        </w:tc>
        <w:tc>
          <w:tcPr>
            <w:tcW w:w="3032" w:type="dxa"/>
          </w:tcPr>
          <w:p w:rsidR="00FE70D4" w:rsidRPr="00F15979" w:rsidRDefault="006D1E1C">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sz w:val="24"/>
              </w:rPr>
              <w:t>调整后的新业绩比较基准</w:t>
            </w:r>
          </w:p>
        </w:tc>
      </w:tr>
      <w:tr w:rsidR="00691B9A" w:rsidRPr="008D74FA" w:rsidTr="00F15979">
        <w:trPr>
          <w:trHeight w:val="370"/>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1</w:t>
            </w:r>
          </w:p>
        </w:tc>
        <w:tc>
          <w:tcPr>
            <w:tcW w:w="1356" w:type="dxa"/>
          </w:tcPr>
          <w:p w:rsidR="00691B9A" w:rsidRPr="00F15979" w:rsidRDefault="003B2154"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景顺长城价值边际灵活配置混合型证券投资基金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沪深</w:t>
            </w:r>
            <w:r w:rsidRPr="00F15979">
              <w:rPr>
                <w:rFonts w:asciiTheme="minorEastAsia" w:eastAsiaTheme="minorEastAsia" w:hAnsiTheme="minorEastAsia" w:cs="宋体"/>
                <w:color w:val="000000"/>
                <w:kern w:val="0"/>
                <w:sz w:val="24"/>
              </w:rPr>
              <w:t>300指数收益率*60%+中</w:t>
            </w:r>
            <w:r w:rsidRPr="00F15979">
              <w:rPr>
                <w:rFonts w:asciiTheme="minorEastAsia" w:eastAsiaTheme="minorEastAsia" w:hAnsiTheme="minorEastAsia" w:cs="宋体" w:hint="eastAsia"/>
                <w:color w:val="000000"/>
                <w:kern w:val="0"/>
                <w:sz w:val="24"/>
              </w:rPr>
              <w:t>债综合指数收益率</w:t>
            </w:r>
            <w:r w:rsidRPr="00F15979">
              <w:rPr>
                <w:rFonts w:asciiTheme="minorEastAsia" w:eastAsiaTheme="minorEastAsia" w:hAnsiTheme="minorEastAsia" w:cs="宋体"/>
                <w:color w:val="000000"/>
                <w:kern w:val="0"/>
                <w:sz w:val="24"/>
              </w:rPr>
              <w:t>*40%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w:t>
            </w:r>
            <w:r w:rsidRPr="00F15979">
              <w:rPr>
                <w:rFonts w:asciiTheme="minorEastAsia" w:eastAsiaTheme="minorEastAsia" w:hAnsiTheme="minorEastAsia" w:cs="宋体"/>
                <w:color w:val="000000"/>
                <w:kern w:val="0"/>
                <w:sz w:val="24"/>
              </w:rPr>
              <w:t>800指数收益率*55%+中证港股</w:t>
            </w:r>
            <w:r w:rsidRPr="00F15979">
              <w:rPr>
                <w:rFonts w:asciiTheme="minorEastAsia" w:eastAsiaTheme="minorEastAsia" w:hAnsiTheme="minorEastAsia" w:cs="宋体" w:hint="eastAsia"/>
                <w:color w:val="000000"/>
                <w:kern w:val="0"/>
                <w:sz w:val="24"/>
              </w:rPr>
              <w:t>通综合指数</w:t>
            </w:r>
            <w:r w:rsidRPr="00F15979">
              <w:rPr>
                <w:rFonts w:asciiTheme="minorEastAsia" w:eastAsiaTheme="minorEastAsia" w:hAnsiTheme="minorEastAsia" w:cs="宋体"/>
                <w:color w:val="000000"/>
                <w:kern w:val="0"/>
                <w:sz w:val="24"/>
              </w:rPr>
              <w:t>(人民币)收益率*30%+中债-综合全价(1-3年)指数收益率*15%</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2</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景顺长城消费精选混合型证券投资基金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中证内地消费主题指数收益率</w:t>
            </w:r>
            <w:r w:rsidRPr="00F15979">
              <w:rPr>
                <w:rFonts w:asciiTheme="minorEastAsia" w:eastAsiaTheme="minorEastAsia" w:hAnsiTheme="minorEastAsia" w:cs="宋体"/>
                <w:color w:val="000000"/>
                <w:kern w:val="0"/>
                <w:sz w:val="24"/>
              </w:rPr>
              <w:t>*60%+恒生指数收益率(使用估值汇率折算)*20%+中</w:t>
            </w:r>
            <w:r w:rsidRPr="00F15979">
              <w:rPr>
                <w:rFonts w:asciiTheme="minorEastAsia" w:eastAsiaTheme="minorEastAsia" w:hAnsiTheme="minorEastAsia" w:cs="宋体" w:hint="eastAsia"/>
                <w:color w:val="000000"/>
                <w:kern w:val="0"/>
                <w:sz w:val="24"/>
              </w:rPr>
              <w:t>债综合指数收益率</w:t>
            </w:r>
            <w:r w:rsidRPr="00F15979">
              <w:rPr>
                <w:rFonts w:asciiTheme="minorEastAsia" w:eastAsiaTheme="minorEastAsia" w:hAnsiTheme="minorEastAsia" w:cs="宋体"/>
                <w:color w:val="000000"/>
                <w:kern w:val="0"/>
                <w:sz w:val="24"/>
              </w:rPr>
              <w:t>*20%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中证内地消费主题指数收益率</w:t>
            </w:r>
            <w:r w:rsidRPr="00F15979">
              <w:rPr>
                <w:rFonts w:asciiTheme="minorEastAsia" w:eastAsiaTheme="minorEastAsia" w:hAnsiTheme="minorEastAsia" w:cs="宋体"/>
                <w:color w:val="000000"/>
                <w:kern w:val="0"/>
                <w:sz w:val="24"/>
              </w:rPr>
              <w:t>*70%+恒生消费指数收益率*20%+中债-综合全价(1-3年)指数收益率*10%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3</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景顺长城医疗健康混合型证券投资基金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中证医药卫生全收益指数收益率</w:t>
            </w:r>
            <w:r w:rsidRPr="00F15979">
              <w:rPr>
                <w:rFonts w:asciiTheme="minorEastAsia" w:eastAsiaTheme="minorEastAsia" w:hAnsiTheme="minorEastAsia" w:cs="宋体"/>
                <w:color w:val="000000"/>
                <w:kern w:val="0"/>
                <w:sz w:val="24"/>
              </w:rPr>
              <w:t>*70%+恒生综合指数收益率(使用估值汇率折算)*20%+中证综合债券指数收益率*10%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中证医药卫生全收益指数收益率</w:t>
            </w:r>
            <w:r w:rsidRPr="00F15979">
              <w:rPr>
                <w:rFonts w:asciiTheme="minorEastAsia" w:eastAsiaTheme="minorEastAsia" w:hAnsiTheme="minorEastAsia" w:cs="宋体"/>
                <w:color w:val="000000"/>
                <w:kern w:val="0"/>
                <w:sz w:val="24"/>
              </w:rPr>
              <w:t>*70%+中证港股通医药卫生综合指数(人民币)收益率*20%+中债-综合财富(1-3年)指数收益率*10%</w:t>
            </w:r>
          </w:p>
        </w:tc>
      </w:tr>
      <w:tr w:rsidR="00691B9A" w:rsidRPr="008D74FA" w:rsidTr="00F15979">
        <w:trPr>
          <w:trHeight w:val="370"/>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4</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w:t>
            </w:r>
            <w:r w:rsidRPr="00F15979">
              <w:rPr>
                <w:rFonts w:asciiTheme="minorEastAsia" w:eastAsiaTheme="minorEastAsia" w:hAnsiTheme="minorEastAsia" w:hint="eastAsia"/>
                <w:color w:val="272841"/>
                <w:sz w:val="24"/>
                <w:shd w:val="clear" w:color="auto" w:fill="FFFFFF"/>
              </w:rPr>
              <w:lastRenderedPageBreak/>
              <w:t>量化平衡灵活配置混合型证券投资基金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lastRenderedPageBreak/>
              <w:t>中证</w:t>
            </w:r>
            <w:r w:rsidRPr="00F15979">
              <w:rPr>
                <w:rFonts w:asciiTheme="minorEastAsia" w:eastAsiaTheme="minorEastAsia" w:hAnsiTheme="minorEastAsia" w:cs="宋体"/>
                <w:color w:val="000000"/>
                <w:kern w:val="0"/>
                <w:sz w:val="24"/>
              </w:rPr>
              <w:t>800指数收益率*60%+</w:t>
            </w:r>
            <w:r w:rsidRPr="00F15979">
              <w:rPr>
                <w:rFonts w:asciiTheme="minorEastAsia" w:eastAsiaTheme="minorEastAsia" w:hAnsiTheme="minorEastAsia" w:cs="宋体" w:hint="eastAsia"/>
                <w:color w:val="000000"/>
                <w:kern w:val="0"/>
                <w:sz w:val="24"/>
              </w:rPr>
              <w:lastRenderedPageBreak/>
              <w:t>一年期人民币定期存款利率</w:t>
            </w:r>
            <w:r w:rsidRPr="00F15979">
              <w:rPr>
                <w:rFonts w:asciiTheme="minorEastAsia" w:eastAsiaTheme="minorEastAsia" w:hAnsiTheme="minorEastAsia" w:cs="宋体"/>
                <w:color w:val="000000"/>
                <w:kern w:val="0"/>
                <w:sz w:val="24"/>
              </w:rPr>
              <w:t>(税后)*40%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lastRenderedPageBreak/>
              <w:t>中证</w:t>
            </w:r>
            <w:r w:rsidRPr="00F15979">
              <w:rPr>
                <w:rFonts w:asciiTheme="minorEastAsia" w:eastAsiaTheme="minorEastAsia" w:hAnsiTheme="minorEastAsia" w:cs="宋体"/>
                <w:color w:val="000000"/>
                <w:kern w:val="0"/>
                <w:sz w:val="24"/>
              </w:rPr>
              <w:t>800指数收益率*90%+</w:t>
            </w:r>
            <w:r w:rsidRPr="00F15979">
              <w:rPr>
                <w:rFonts w:asciiTheme="minorEastAsia" w:eastAsiaTheme="minorEastAsia" w:hAnsiTheme="minorEastAsia" w:cs="宋体" w:hint="eastAsia"/>
                <w:color w:val="000000"/>
                <w:kern w:val="0"/>
                <w:sz w:val="24"/>
              </w:rPr>
              <w:lastRenderedPageBreak/>
              <w:t>中债</w:t>
            </w:r>
            <w:r w:rsidRPr="00F15979">
              <w:rPr>
                <w:rFonts w:asciiTheme="minorEastAsia" w:eastAsiaTheme="minorEastAsia" w:hAnsiTheme="minorEastAsia" w:cs="宋体"/>
                <w:color w:val="000000"/>
                <w:kern w:val="0"/>
                <w:sz w:val="24"/>
              </w:rPr>
              <w:t>-综合全价(1-3年)指数收益率*10%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lastRenderedPageBreak/>
              <w:t>5</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景顺长城创新成长混合型证券投资基金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w:t>
            </w:r>
            <w:r w:rsidRPr="00F15979">
              <w:rPr>
                <w:rFonts w:asciiTheme="minorEastAsia" w:eastAsiaTheme="minorEastAsia" w:hAnsiTheme="minorEastAsia" w:cs="宋体"/>
                <w:color w:val="000000"/>
                <w:kern w:val="0"/>
                <w:sz w:val="24"/>
              </w:rPr>
              <w:t>800指数收益率*50%+中证综合债券指数收益率*30%+恒生指数收益率*20%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w:t>
            </w:r>
            <w:r w:rsidRPr="00F15979">
              <w:rPr>
                <w:rFonts w:asciiTheme="minorEastAsia" w:eastAsiaTheme="minorEastAsia" w:hAnsiTheme="minorEastAsia" w:cs="宋体"/>
                <w:color w:val="000000"/>
                <w:kern w:val="0"/>
                <w:sz w:val="24"/>
              </w:rPr>
              <w:t>800成长指数收益率*80%+恒生指数收益率*10%+中债-综合财富(1-3年)指数收益率*10%</w:t>
            </w:r>
          </w:p>
        </w:tc>
      </w:tr>
      <w:tr w:rsidR="00691B9A" w:rsidRPr="008D74FA" w:rsidTr="00F15979">
        <w:trPr>
          <w:trHeight w:val="376"/>
          <w:jc w:val="center"/>
        </w:trPr>
        <w:tc>
          <w:tcPr>
            <w:tcW w:w="704" w:type="dxa"/>
          </w:tcPr>
          <w:p w:rsidR="00691B9A" w:rsidRPr="00F15979" w:rsidRDefault="00E57C31" w:rsidP="00691B9A">
            <w:pPr>
              <w:pStyle w:val="af7"/>
              <w:spacing w:line="360" w:lineRule="auto"/>
              <w:ind w:firstLineChars="0" w:firstLine="0"/>
              <w:jc w:val="center"/>
              <w:rPr>
                <w:rFonts w:asciiTheme="minorEastAsia" w:eastAsiaTheme="minorEastAsia" w:hAnsiTheme="minorEastAsia"/>
                <w:sz w:val="24"/>
              </w:rPr>
            </w:pPr>
            <w:r>
              <w:rPr>
                <w:rFonts w:asciiTheme="minorEastAsia" w:eastAsiaTheme="minorEastAsia" w:hAnsiTheme="minorEastAsia"/>
                <w:sz w:val="24"/>
              </w:rPr>
              <w:t>6</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景顺长城电子信息产业股票型证券投资基金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w:t>
            </w:r>
            <w:r w:rsidRPr="00F15979">
              <w:rPr>
                <w:rFonts w:asciiTheme="minorEastAsia" w:eastAsiaTheme="minorEastAsia" w:hAnsiTheme="minorEastAsia" w:cs="宋体"/>
                <w:color w:val="000000"/>
                <w:kern w:val="0"/>
                <w:sz w:val="24"/>
              </w:rPr>
              <w:t>TMT产业主题指数收益率*80%+中证港股通TMT主题投资指数收益率(人民币)*20%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中证全指信息技术指数收益率</w:t>
            </w:r>
            <w:r w:rsidRPr="00F15979">
              <w:rPr>
                <w:rFonts w:asciiTheme="minorEastAsia" w:eastAsiaTheme="minorEastAsia" w:hAnsiTheme="minorEastAsia" w:cs="宋体"/>
                <w:color w:val="000000"/>
                <w:kern w:val="0"/>
                <w:sz w:val="24"/>
              </w:rPr>
              <w:t>*80%+中证港股通TMT主题投资指数(人民币)收益率*10%+中债-综合全价(1-3年)指数收益率*10%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7</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景顺长城成长领航混合型证券投资基金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w:t>
            </w:r>
            <w:r w:rsidRPr="00F15979">
              <w:rPr>
                <w:rFonts w:asciiTheme="minorEastAsia" w:eastAsiaTheme="minorEastAsia" w:hAnsiTheme="minorEastAsia" w:cs="宋体"/>
                <w:color w:val="000000"/>
                <w:kern w:val="0"/>
                <w:sz w:val="24"/>
              </w:rPr>
              <w:t>800指数收益率*50%+恒生指数收益率(使用估值汇率折算)*30%+中</w:t>
            </w:r>
            <w:r w:rsidRPr="00F15979">
              <w:rPr>
                <w:rFonts w:asciiTheme="minorEastAsia" w:eastAsiaTheme="minorEastAsia" w:hAnsiTheme="minorEastAsia" w:cs="宋体" w:hint="eastAsia"/>
                <w:color w:val="000000"/>
                <w:kern w:val="0"/>
                <w:sz w:val="24"/>
              </w:rPr>
              <w:t>证全债指数收益率</w:t>
            </w:r>
            <w:r w:rsidRPr="00F15979">
              <w:rPr>
                <w:rFonts w:asciiTheme="minorEastAsia" w:eastAsiaTheme="minorEastAsia" w:hAnsiTheme="minorEastAsia" w:cs="宋体"/>
                <w:color w:val="000000"/>
                <w:kern w:val="0"/>
                <w:sz w:val="24"/>
              </w:rPr>
              <w:t>*20%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w:t>
            </w:r>
            <w:r w:rsidRPr="00F15979">
              <w:rPr>
                <w:rFonts w:asciiTheme="minorEastAsia" w:eastAsiaTheme="minorEastAsia" w:hAnsiTheme="minorEastAsia" w:cs="宋体"/>
                <w:color w:val="000000"/>
                <w:kern w:val="0"/>
                <w:sz w:val="24"/>
              </w:rPr>
              <w:t>800成长指数收益率*80%+恒生指数收益率*10%+中债-综合财富(1-3年)指数收益率*10%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8</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景顺长城价值驱动一年持有期灵活配置混合型证券投资基金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中债综合指数收益率</w:t>
            </w:r>
            <w:r w:rsidRPr="00F15979">
              <w:rPr>
                <w:rFonts w:asciiTheme="minorEastAsia" w:eastAsiaTheme="minorEastAsia" w:hAnsiTheme="minorEastAsia" w:cs="宋体"/>
                <w:color w:val="000000"/>
                <w:kern w:val="0"/>
                <w:sz w:val="24"/>
              </w:rPr>
              <w:t>*40%+沪深300指数收益率*30%+恒生指数收益率(使用估值汇率折算)*30%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沪深</w:t>
            </w:r>
            <w:r w:rsidRPr="00F15979">
              <w:rPr>
                <w:rFonts w:asciiTheme="minorEastAsia" w:eastAsiaTheme="minorEastAsia" w:hAnsiTheme="minorEastAsia" w:cs="宋体"/>
                <w:color w:val="000000"/>
                <w:kern w:val="0"/>
                <w:sz w:val="24"/>
              </w:rPr>
              <w:t>300指数收益率*50%+恒生指数收益率*30%+中债-综合全价(1-3年)指数收益率*20%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9</w:t>
            </w:r>
          </w:p>
        </w:tc>
        <w:tc>
          <w:tcPr>
            <w:tcW w:w="1356" w:type="dxa"/>
          </w:tcPr>
          <w:p w:rsidR="00691B9A" w:rsidRPr="00F15979" w:rsidRDefault="001D1583"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景顺长城全球半导</w:t>
            </w:r>
            <w:r w:rsidRPr="00F15979">
              <w:rPr>
                <w:rFonts w:asciiTheme="minorEastAsia" w:eastAsiaTheme="minorEastAsia" w:hAnsiTheme="minorEastAsia" w:hint="eastAsia"/>
                <w:color w:val="272841"/>
                <w:sz w:val="24"/>
                <w:shd w:val="clear" w:color="auto" w:fill="FFFFFF"/>
              </w:rPr>
              <w:lastRenderedPageBreak/>
              <w:t>体芯片产业股票型证券投资基金</w:t>
            </w:r>
            <w:r w:rsidRPr="00F15979">
              <w:rPr>
                <w:rFonts w:asciiTheme="minorEastAsia" w:eastAsiaTheme="minorEastAsia" w:hAnsiTheme="minorEastAsia"/>
                <w:color w:val="272841"/>
                <w:sz w:val="24"/>
                <w:shd w:val="clear" w:color="auto" w:fill="FFFFFF"/>
              </w:rPr>
              <w:t>(QDII-LOF)</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lastRenderedPageBreak/>
              <w:t>费城半导体指数收益率</w:t>
            </w:r>
            <w:r w:rsidRPr="00F15979">
              <w:rPr>
                <w:rFonts w:asciiTheme="minorEastAsia" w:eastAsiaTheme="minorEastAsia" w:hAnsiTheme="minorEastAsia" w:cs="宋体"/>
                <w:color w:val="000000"/>
                <w:kern w:val="0"/>
                <w:sz w:val="24"/>
              </w:rPr>
              <w:t xml:space="preserve">(PHLX Semiconductor </w:t>
            </w:r>
            <w:r w:rsidRPr="00F15979">
              <w:rPr>
                <w:rFonts w:asciiTheme="minorEastAsia" w:eastAsiaTheme="minorEastAsia" w:hAnsiTheme="minorEastAsia" w:cs="宋体"/>
                <w:color w:val="000000"/>
                <w:kern w:val="0"/>
                <w:sz w:val="24"/>
              </w:rPr>
              <w:lastRenderedPageBreak/>
              <w:t>Sector Index)(使用估值汇率调整)*75%+中证芯片产业指数收益率*15%+人民币活期存款利率(税后)*10%</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lastRenderedPageBreak/>
              <w:t>费城半导体指数收益率</w:t>
            </w:r>
            <w:r w:rsidRPr="00F15979">
              <w:rPr>
                <w:rFonts w:asciiTheme="minorEastAsia" w:eastAsiaTheme="minorEastAsia" w:hAnsiTheme="minorEastAsia" w:cs="宋体"/>
                <w:color w:val="000000"/>
                <w:kern w:val="0"/>
                <w:sz w:val="24"/>
              </w:rPr>
              <w:t xml:space="preserve">(PHLX Semiconductor </w:t>
            </w:r>
            <w:r w:rsidRPr="00F15979">
              <w:rPr>
                <w:rFonts w:asciiTheme="minorEastAsia" w:eastAsiaTheme="minorEastAsia" w:hAnsiTheme="minorEastAsia" w:cs="宋体"/>
                <w:color w:val="000000"/>
                <w:kern w:val="0"/>
                <w:sz w:val="24"/>
              </w:rPr>
              <w:lastRenderedPageBreak/>
              <w:t>Sector Index)*70%+中证芯片产业指数收益率*20%+人民币活期存款基准利率*10%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lastRenderedPageBreak/>
              <w:t>10</w:t>
            </w:r>
          </w:p>
        </w:tc>
        <w:tc>
          <w:tcPr>
            <w:tcW w:w="1356" w:type="dxa"/>
          </w:tcPr>
          <w:p w:rsidR="00691B9A" w:rsidRPr="00F15979" w:rsidRDefault="008D74F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景顺长城稳定收益债券型证券投资基金</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中证综合债指数</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中债</w:t>
            </w:r>
            <w:r w:rsidRPr="00F15979">
              <w:rPr>
                <w:rFonts w:asciiTheme="minorEastAsia" w:eastAsiaTheme="minorEastAsia" w:hAnsiTheme="minorEastAsia" w:cs="宋体"/>
                <w:color w:val="000000"/>
                <w:kern w:val="0"/>
                <w:sz w:val="24"/>
              </w:rPr>
              <w:t>-综合财富(1-3年)指数收益率*60%+中证可转换债券指数收益率*40%</w:t>
            </w:r>
          </w:p>
        </w:tc>
      </w:tr>
      <w:tr w:rsidR="00691B9A" w:rsidRPr="008D74FA" w:rsidTr="00F15979">
        <w:trPr>
          <w:trHeight w:val="376"/>
          <w:jc w:val="center"/>
        </w:trPr>
        <w:tc>
          <w:tcPr>
            <w:tcW w:w="704" w:type="dxa"/>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sz w:val="24"/>
              </w:rPr>
              <w:t>11</w:t>
            </w:r>
          </w:p>
        </w:tc>
        <w:tc>
          <w:tcPr>
            <w:tcW w:w="1356" w:type="dxa"/>
          </w:tcPr>
          <w:p w:rsidR="00691B9A" w:rsidRPr="00F15979" w:rsidRDefault="008D74F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hint="eastAsia"/>
                <w:color w:val="272841"/>
                <w:sz w:val="24"/>
                <w:shd w:val="clear" w:color="auto" w:fill="FFFFFF"/>
              </w:rPr>
              <w:t>景顺长城保守养老目标一年持有期混合型基金中基金</w:t>
            </w:r>
            <w:r w:rsidRPr="00F15979">
              <w:rPr>
                <w:rFonts w:asciiTheme="minorEastAsia" w:eastAsiaTheme="minorEastAsia" w:hAnsiTheme="minorEastAsia"/>
                <w:color w:val="272841"/>
                <w:sz w:val="24"/>
                <w:shd w:val="clear" w:color="auto" w:fill="FFFFFF"/>
              </w:rPr>
              <w:t>(FOF)</w:t>
            </w:r>
          </w:p>
        </w:tc>
        <w:tc>
          <w:tcPr>
            <w:tcW w:w="3028"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中证全债指数收益率</w:t>
            </w:r>
            <w:r w:rsidRPr="00F15979">
              <w:rPr>
                <w:rFonts w:asciiTheme="minorEastAsia" w:eastAsiaTheme="minorEastAsia" w:hAnsiTheme="minorEastAsia" w:cs="宋体"/>
                <w:color w:val="000000"/>
                <w:kern w:val="0"/>
                <w:sz w:val="24"/>
              </w:rPr>
              <w:t>*75%+中证800指数收益率*12%+上海黄金交易所AU99.99现货实盘合约收益率*5%+商业银行活期存款基准利率*5%+恒生指数收益率(使用估值汇率折算)*3%</w:t>
            </w:r>
          </w:p>
        </w:tc>
        <w:tc>
          <w:tcPr>
            <w:tcW w:w="3032" w:type="dxa"/>
            <w:vAlign w:val="center"/>
          </w:tcPr>
          <w:p w:rsidR="00691B9A" w:rsidRPr="00F15979" w:rsidRDefault="00691B9A" w:rsidP="00691B9A">
            <w:pPr>
              <w:pStyle w:val="af7"/>
              <w:spacing w:line="360" w:lineRule="auto"/>
              <w:ind w:firstLineChars="0" w:firstLine="0"/>
              <w:jc w:val="center"/>
              <w:rPr>
                <w:rFonts w:asciiTheme="minorEastAsia" w:eastAsiaTheme="minorEastAsia" w:hAnsiTheme="minorEastAsia"/>
                <w:sz w:val="24"/>
              </w:rPr>
            </w:pPr>
            <w:r w:rsidRPr="00F15979">
              <w:rPr>
                <w:rFonts w:asciiTheme="minorEastAsia" w:eastAsiaTheme="minorEastAsia" w:hAnsiTheme="minorEastAsia" w:cs="宋体" w:hint="eastAsia"/>
                <w:color w:val="000000"/>
                <w:kern w:val="0"/>
                <w:sz w:val="24"/>
              </w:rPr>
              <w:t>中证纯债债券型基金指数收益率</w:t>
            </w:r>
            <w:r w:rsidRPr="00F15979">
              <w:rPr>
                <w:rFonts w:asciiTheme="minorEastAsia" w:eastAsiaTheme="minorEastAsia" w:hAnsiTheme="minorEastAsia" w:cs="宋体"/>
                <w:color w:val="000000"/>
                <w:kern w:val="0"/>
                <w:sz w:val="24"/>
              </w:rPr>
              <w:t>*82%+中</w:t>
            </w:r>
            <w:r w:rsidRPr="00F15979">
              <w:rPr>
                <w:rFonts w:asciiTheme="minorEastAsia" w:eastAsiaTheme="minorEastAsia" w:hAnsiTheme="minorEastAsia" w:cs="宋体" w:hint="eastAsia"/>
                <w:color w:val="000000"/>
                <w:kern w:val="0"/>
                <w:sz w:val="24"/>
              </w:rPr>
              <w:t>证偏股型基金指数收益率</w:t>
            </w:r>
            <w:r w:rsidRPr="00F15979">
              <w:rPr>
                <w:rFonts w:asciiTheme="minorEastAsia" w:eastAsiaTheme="minorEastAsia" w:hAnsiTheme="minorEastAsia" w:cs="宋体"/>
                <w:color w:val="000000"/>
                <w:kern w:val="0"/>
                <w:sz w:val="24"/>
              </w:rPr>
              <w:t>*7%+MSCI发达市场指数(MSCI World Index)收益率*3%+上海黄金交易所AU99.99现货实盘合约收益率*3%+活期存款基准利率*5%</w:t>
            </w:r>
          </w:p>
        </w:tc>
      </w:tr>
    </w:tbl>
    <w:p w:rsidR="00FE70D4" w:rsidRDefault="006D1E1C">
      <w:pPr>
        <w:spacing w:line="360" w:lineRule="auto"/>
        <w:ind w:firstLineChars="175" w:firstLine="420"/>
        <w:rPr>
          <w:b/>
          <w:bCs/>
          <w:sz w:val="24"/>
        </w:rPr>
      </w:pPr>
      <w:r>
        <w:rPr>
          <w:bCs/>
          <w:sz w:val="24"/>
        </w:rPr>
        <w:t>上述基金调整业绩比较基准</w:t>
      </w:r>
      <w:r>
        <w:rPr>
          <w:rFonts w:hint="eastAsia"/>
          <w:bCs/>
          <w:sz w:val="24"/>
        </w:rPr>
        <w:t>要素</w:t>
      </w:r>
      <w:r>
        <w:rPr>
          <w:bCs/>
          <w:sz w:val="24"/>
        </w:rPr>
        <w:t>的原因</w:t>
      </w:r>
      <w:r>
        <w:rPr>
          <w:rFonts w:hint="eastAsia"/>
          <w:bCs/>
          <w:sz w:val="24"/>
        </w:rPr>
        <w:t>、差异</w:t>
      </w:r>
      <w:r>
        <w:rPr>
          <w:bCs/>
          <w:sz w:val="24"/>
        </w:rPr>
        <w:t>及</w:t>
      </w:r>
      <w:r>
        <w:rPr>
          <w:rFonts w:hint="eastAsia"/>
          <w:bCs/>
          <w:sz w:val="24"/>
        </w:rPr>
        <w:t>影响</w:t>
      </w:r>
      <w:r>
        <w:rPr>
          <w:bCs/>
          <w:sz w:val="24"/>
        </w:rPr>
        <w:t>详见附件《</w:t>
      </w:r>
      <w:r>
        <w:rPr>
          <w:sz w:val="24"/>
        </w:rPr>
        <w:t>业绩比较基准调整原因及合理性说明》。</w:t>
      </w:r>
    </w:p>
    <w:p w:rsidR="00FE70D4" w:rsidRDefault="00FE70D4">
      <w:pPr>
        <w:pStyle w:val="af7"/>
        <w:spacing w:line="360" w:lineRule="auto"/>
        <w:ind w:rightChars="40" w:right="84" w:firstLine="480"/>
        <w:rPr>
          <w:kern w:val="0"/>
          <w:sz w:val="24"/>
        </w:rPr>
      </w:pPr>
    </w:p>
    <w:p w:rsidR="00FE70D4" w:rsidRDefault="006D1E1C">
      <w:pPr>
        <w:pStyle w:val="af7"/>
        <w:spacing w:line="360" w:lineRule="auto"/>
        <w:ind w:firstLine="482"/>
        <w:rPr>
          <w:b/>
          <w:sz w:val="24"/>
        </w:rPr>
      </w:pPr>
      <w:r>
        <w:rPr>
          <w:b/>
          <w:kern w:val="0"/>
          <w:sz w:val="24"/>
        </w:rPr>
        <w:t>二、基金合同</w:t>
      </w:r>
      <w:r>
        <w:rPr>
          <w:rFonts w:hint="eastAsia"/>
          <w:b/>
          <w:kern w:val="0"/>
          <w:sz w:val="24"/>
        </w:rPr>
        <w:t>等法律文件</w:t>
      </w:r>
      <w:r>
        <w:rPr>
          <w:b/>
          <w:sz w:val="24"/>
        </w:rPr>
        <w:t>修订内容</w:t>
      </w:r>
    </w:p>
    <w:p w:rsidR="00FE70D4" w:rsidRDefault="006D1E1C">
      <w:pPr>
        <w:spacing w:line="360" w:lineRule="auto"/>
        <w:ind w:firstLineChars="200" w:firstLine="480"/>
        <w:rPr>
          <w:rFonts w:eastAsiaTheme="minorEastAsia"/>
          <w:sz w:val="24"/>
        </w:rPr>
      </w:pPr>
      <w:r>
        <w:rPr>
          <w:sz w:val="24"/>
        </w:rPr>
        <w:t>（一）基金合同具体修订内容包括：在</w:t>
      </w:r>
      <w:r>
        <w:rPr>
          <w:rFonts w:hint="eastAsia"/>
          <w:sz w:val="24"/>
        </w:rPr>
        <w:t>“</w:t>
      </w:r>
      <w:r>
        <w:rPr>
          <w:sz w:val="24"/>
        </w:rPr>
        <w:t>基金的投资</w:t>
      </w:r>
      <w:r>
        <w:rPr>
          <w:rFonts w:hint="eastAsia"/>
          <w:sz w:val="24"/>
        </w:rPr>
        <w:t>”</w:t>
      </w:r>
      <w:r>
        <w:rPr>
          <w:sz w:val="24"/>
        </w:rPr>
        <w:t>章节中的</w:t>
      </w:r>
      <w:r>
        <w:rPr>
          <w:rFonts w:hint="eastAsia"/>
          <w:sz w:val="24"/>
        </w:rPr>
        <w:t>“</w:t>
      </w:r>
      <w:r>
        <w:rPr>
          <w:sz w:val="24"/>
        </w:rPr>
        <w:t>业绩比较基准</w:t>
      </w:r>
      <w:r>
        <w:rPr>
          <w:rFonts w:hint="eastAsia"/>
          <w:sz w:val="24"/>
        </w:rPr>
        <w:t>”</w:t>
      </w:r>
      <w:r>
        <w:rPr>
          <w:sz w:val="24"/>
        </w:rPr>
        <w:t>部分列明基金调整后的业绩比较基准</w:t>
      </w:r>
      <w:r>
        <w:rPr>
          <w:rFonts w:hint="eastAsia"/>
          <w:sz w:val="24"/>
        </w:rPr>
        <w:t>、设定</w:t>
      </w:r>
      <w:r>
        <w:rPr>
          <w:sz w:val="24"/>
        </w:rPr>
        <w:t>原因</w:t>
      </w:r>
      <w:r>
        <w:rPr>
          <w:rFonts w:hint="eastAsia"/>
          <w:sz w:val="24"/>
        </w:rPr>
        <w:t>（</w:t>
      </w:r>
      <w:r>
        <w:rPr>
          <w:sz w:val="24"/>
        </w:rPr>
        <w:t>包括与基金产品投资目标、投资范围、投资策略、投资比例限制的匹配情况</w:t>
      </w:r>
      <w:r>
        <w:rPr>
          <w:rFonts w:hint="eastAsia"/>
          <w:sz w:val="24"/>
        </w:rPr>
        <w:t>）、</w:t>
      </w:r>
      <w:r>
        <w:rPr>
          <w:sz w:val="24"/>
        </w:rPr>
        <w:t>基准要素</w:t>
      </w:r>
      <w:r>
        <w:rPr>
          <w:rFonts w:hint="eastAsia"/>
          <w:sz w:val="24"/>
        </w:rPr>
        <w:t>相关信息（包括</w:t>
      </w:r>
      <w:r>
        <w:rPr>
          <w:sz w:val="24"/>
        </w:rPr>
        <w:t>发布机构、代码、查询途径等</w:t>
      </w:r>
      <w:r>
        <w:rPr>
          <w:rFonts w:hint="eastAsia"/>
          <w:sz w:val="24"/>
        </w:rPr>
        <w:t>）、</w:t>
      </w:r>
      <w:r>
        <w:rPr>
          <w:sz w:val="24"/>
        </w:rPr>
        <w:t>业绩比较基准的计算方法</w:t>
      </w:r>
      <w:r>
        <w:rPr>
          <w:rFonts w:hint="eastAsia"/>
          <w:sz w:val="24"/>
        </w:rPr>
        <w:t>、</w:t>
      </w:r>
      <w:r>
        <w:rPr>
          <w:sz w:val="24"/>
        </w:rPr>
        <w:t>管理投资偏离业绩比较基准的定性或定量方法</w:t>
      </w:r>
      <w:r>
        <w:rPr>
          <w:rFonts w:hint="eastAsia"/>
          <w:sz w:val="24"/>
        </w:rPr>
        <w:t>，以及</w:t>
      </w:r>
      <w:r>
        <w:rPr>
          <w:sz w:val="24"/>
        </w:rPr>
        <w:t>未来可能变更业绩比较基准的情形和程序</w:t>
      </w:r>
      <w:r>
        <w:rPr>
          <w:rFonts w:hint="eastAsia"/>
          <w:sz w:val="24"/>
        </w:rPr>
        <w:t>。</w:t>
      </w:r>
      <w:r>
        <w:rPr>
          <w:rFonts w:eastAsiaTheme="minorEastAsia"/>
          <w:sz w:val="24"/>
        </w:rPr>
        <w:t>基金管理人</w:t>
      </w:r>
      <w:r w:rsidR="00A03A21">
        <w:rPr>
          <w:rFonts w:eastAsiaTheme="minorEastAsia" w:hint="eastAsia"/>
          <w:sz w:val="24"/>
        </w:rPr>
        <w:t>后续</w:t>
      </w:r>
      <w:r>
        <w:rPr>
          <w:rFonts w:eastAsiaTheme="minorEastAsia"/>
          <w:sz w:val="24"/>
        </w:rPr>
        <w:t>将</w:t>
      </w:r>
      <w:r>
        <w:rPr>
          <w:rFonts w:eastAsiaTheme="minorEastAsia" w:hint="eastAsia"/>
          <w:sz w:val="24"/>
        </w:rPr>
        <w:t>一并</w:t>
      </w:r>
      <w:r>
        <w:rPr>
          <w:rFonts w:eastAsiaTheme="minorEastAsia"/>
          <w:sz w:val="24"/>
        </w:rPr>
        <w:t>更新招募说明书</w:t>
      </w:r>
      <w:r>
        <w:rPr>
          <w:rFonts w:eastAsiaTheme="minorEastAsia" w:hint="eastAsia"/>
          <w:sz w:val="24"/>
        </w:rPr>
        <w:t>、基金产品资料概要</w:t>
      </w:r>
      <w:r>
        <w:rPr>
          <w:rFonts w:eastAsiaTheme="minorEastAsia"/>
          <w:sz w:val="24"/>
        </w:rPr>
        <w:t>相关内容。</w:t>
      </w:r>
    </w:p>
    <w:p w:rsidR="00FE70D4" w:rsidRDefault="006D1E1C">
      <w:pPr>
        <w:spacing w:line="360" w:lineRule="auto"/>
        <w:ind w:firstLineChars="200" w:firstLine="480"/>
        <w:rPr>
          <w:sz w:val="24"/>
        </w:rPr>
      </w:pPr>
      <w:r>
        <w:rPr>
          <w:sz w:val="24"/>
        </w:rPr>
        <w:t>（二）</w:t>
      </w:r>
      <w:r>
        <w:rPr>
          <w:rFonts w:hint="eastAsia"/>
          <w:kern w:val="0"/>
          <w:sz w:val="24"/>
        </w:rPr>
        <w:t>本次修订</w:t>
      </w:r>
      <w:r>
        <w:rPr>
          <w:kern w:val="0"/>
          <w:sz w:val="24"/>
        </w:rPr>
        <w:t>对基金份额持有人利益无实质性不利影响</w:t>
      </w:r>
      <w:r>
        <w:rPr>
          <w:rFonts w:hint="eastAsia"/>
          <w:kern w:val="0"/>
          <w:sz w:val="24"/>
        </w:rPr>
        <w:t>，基金管理人已履行规定的程序，</w:t>
      </w:r>
      <w:r>
        <w:rPr>
          <w:kern w:val="0"/>
          <w:sz w:val="24"/>
        </w:rPr>
        <w:t>符合相关法律法规规定和基金合同约定</w:t>
      </w:r>
      <w:r>
        <w:rPr>
          <w:rFonts w:hint="eastAsia"/>
          <w:kern w:val="0"/>
          <w:sz w:val="24"/>
        </w:rPr>
        <w:t>，</w:t>
      </w:r>
      <w:r>
        <w:rPr>
          <w:sz w:val="24"/>
        </w:rPr>
        <w:t>修订后的基金合同</w:t>
      </w:r>
      <w:r w:rsidR="00467A03">
        <w:rPr>
          <w:sz w:val="24"/>
        </w:rPr>
        <w:t>、</w:t>
      </w:r>
      <w:r>
        <w:rPr>
          <w:sz w:val="24"/>
        </w:rPr>
        <w:t>招募说明书（更新）和基金产品资料概要（更新）将在</w:t>
      </w:r>
      <w:r>
        <w:rPr>
          <w:rFonts w:hint="eastAsia"/>
          <w:sz w:val="24"/>
        </w:rPr>
        <w:t>基金管理人</w:t>
      </w:r>
      <w:r>
        <w:rPr>
          <w:sz w:val="24"/>
        </w:rPr>
        <w:t>网站（</w:t>
      </w:r>
      <w:r>
        <w:rPr>
          <w:sz w:val="24"/>
        </w:rPr>
        <w:t>www.</w:t>
      </w:r>
      <w:r w:rsidR="00F9153B">
        <w:rPr>
          <w:sz w:val="24"/>
        </w:rPr>
        <w:t>igwfmc.com</w:t>
      </w:r>
      <w:r>
        <w:rPr>
          <w:sz w:val="24"/>
        </w:rPr>
        <w:t>）和中国证监会基金电子披露网站（</w:t>
      </w:r>
      <w:r>
        <w:rPr>
          <w:sz w:val="24"/>
        </w:rPr>
        <w:t>http://eid.csrc.gov.cn/fund</w:t>
      </w:r>
      <w:r>
        <w:rPr>
          <w:sz w:val="24"/>
        </w:rPr>
        <w:t>）发布。投资者办理基金交易等相关业务前，应仔细阅读各基金的基金合同、招募说明书、基金产品资料概要、风险提示及相关业务规则和操作指南等文件。</w:t>
      </w:r>
    </w:p>
    <w:p w:rsidR="00FE70D4" w:rsidRDefault="00FE70D4">
      <w:pPr>
        <w:pStyle w:val="af7"/>
        <w:spacing w:line="360" w:lineRule="auto"/>
        <w:ind w:firstLine="480"/>
        <w:rPr>
          <w:sz w:val="24"/>
        </w:rPr>
      </w:pPr>
    </w:p>
    <w:p w:rsidR="00FE70D4" w:rsidRDefault="006D1E1C">
      <w:pPr>
        <w:autoSpaceDE w:val="0"/>
        <w:autoSpaceDN w:val="0"/>
        <w:adjustRightInd w:val="0"/>
        <w:spacing w:line="360" w:lineRule="auto"/>
        <w:ind w:firstLineChars="200" w:firstLine="482"/>
        <w:rPr>
          <w:b/>
          <w:sz w:val="24"/>
        </w:rPr>
      </w:pPr>
      <w:r>
        <w:rPr>
          <w:b/>
          <w:sz w:val="24"/>
        </w:rPr>
        <w:t>三、上述基金修订后的基金合同自</w:t>
      </w:r>
      <w:r w:rsidR="00AD049C">
        <w:rPr>
          <w:b/>
          <w:sz w:val="24"/>
        </w:rPr>
        <w:t>2026</w:t>
      </w:r>
      <w:r>
        <w:rPr>
          <w:b/>
          <w:sz w:val="24"/>
        </w:rPr>
        <w:t>年</w:t>
      </w:r>
      <w:r w:rsidR="00AD049C">
        <w:rPr>
          <w:b/>
          <w:sz w:val="24"/>
        </w:rPr>
        <w:t>6</w:t>
      </w:r>
      <w:r>
        <w:rPr>
          <w:b/>
          <w:sz w:val="24"/>
        </w:rPr>
        <w:t>月</w:t>
      </w:r>
      <w:r w:rsidR="00AD049C">
        <w:rPr>
          <w:b/>
          <w:sz w:val="24"/>
        </w:rPr>
        <w:t>1</w:t>
      </w:r>
      <w:r>
        <w:rPr>
          <w:b/>
          <w:sz w:val="24"/>
        </w:rPr>
        <w:t>日起生效。</w:t>
      </w:r>
    </w:p>
    <w:p w:rsidR="00FE70D4" w:rsidRDefault="00FE70D4">
      <w:pPr>
        <w:autoSpaceDE w:val="0"/>
        <w:autoSpaceDN w:val="0"/>
        <w:adjustRightInd w:val="0"/>
        <w:spacing w:line="360" w:lineRule="auto"/>
        <w:ind w:firstLineChars="200" w:firstLine="482"/>
        <w:rPr>
          <w:b/>
          <w:sz w:val="24"/>
        </w:rPr>
      </w:pPr>
    </w:p>
    <w:p w:rsidR="00FE70D4" w:rsidRDefault="006D1E1C">
      <w:pPr>
        <w:pStyle w:val="af7"/>
        <w:spacing w:line="360" w:lineRule="auto"/>
        <w:ind w:firstLine="482"/>
        <w:rPr>
          <w:b/>
          <w:sz w:val="24"/>
        </w:rPr>
      </w:pPr>
      <w:r>
        <w:rPr>
          <w:b/>
          <w:sz w:val="24"/>
        </w:rPr>
        <w:t>四、其他事项</w:t>
      </w:r>
    </w:p>
    <w:p w:rsidR="00FE70D4" w:rsidRDefault="006D1E1C">
      <w:pPr>
        <w:pStyle w:val="af7"/>
        <w:spacing w:line="360" w:lineRule="auto"/>
        <w:ind w:rightChars="40" w:right="84" w:firstLine="480"/>
        <w:rPr>
          <w:sz w:val="24"/>
        </w:rPr>
      </w:pPr>
      <w:r>
        <w:rPr>
          <w:rFonts w:hint="eastAsia"/>
          <w:sz w:val="24"/>
        </w:rPr>
        <w:t>（一）</w:t>
      </w:r>
      <w:r>
        <w:rPr>
          <w:sz w:val="24"/>
        </w:rPr>
        <w:t>投资者可通过以下途径咨询有关详情</w:t>
      </w:r>
    </w:p>
    <w:p w:rsidR="00FE70D4" w:rsidRDefault="006D1E1C">
      <w:pPr>
        <w:pStyle w:val="af7"/>
        <w:spacing w:line="360" w:lineRule="auto"/>
        <w:ind w:rightChars="40" w:right="84" w:firstLine="480"/>
        <w:rPr>
          <w:sz w:val="24"/>
        </w:rPr>
      </w:pPr>
      <w:r>
        <w:rPr>
          <w:sz w:val="24"/>
        </w:rPr>
        <w:t>客户服务电话：</w:t>
      </w:r>
      <w:r w:rsidR="00AD049C">
        <w:rPr>
          <w:sz w:val="24"/>
        </w:rPr>
        <w:t>400-8888-606</w:t>
      </w:r>
    </w:p>
    <w:p w:rsidR="00FE70D4" w:rsidRDefault="006D1E1C">
      <w:pPr>
        <w:pStyle w:val="af7"/>
        <w:spacing w:line="360" w:lineRule="auto"/>
        <w:ind w:rightChars="40" w:right="84" w:firstLine="480"/>
        <w:rPr>
          <w:sz w:val="24"/>
        </w:rPr>
      </w:pPr>
      <w:r>
        <w:rPr>
          <w:sz w:val="24"/>
        </w:rPr>
        <w:t>网址：</w:t>
      </w:r>
      <w:r w:rsidR="00AD049C">
        <w:rPr>
          <w:sz w:val="24"/>
        </w:rPr>
        <w:t>www.igwfmc.com</w:t>
      </w:r>
    </w:p>
    <w:p w:rsidR="00FE70D4" w:rsidRDefault="006D1E1C">
      <w:pPr>
        <w:pStyle w:val="af7"/>
        <w:spacing w:line="360" w:lineRule="auto"/>
        <w:ind w:rightChars="40" w:right="84" w:firstLine="480"/>
        <w:rPr>
          <w:sz w:val="24"/>
        </w:rPr>
      </w:pPr>
      <w:r>
        <w:rPr>
          <w:rFonts w:hint="eastAsia"/>
          <w:sz w:val="24"/>
        </w:rPr>
        <w:t>（二）</w:t>
      </w:r>
      <w:r>
        <w:rPr>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sz w:val="24"/>
        </w:rPr>
        <w:t>“</w:t>
      </w:r>
      <w:r>
        <w:rPr>
          <w:sz w:val="24"/>
        </w:rPr>
        <w:t>买者自负</w:t>
      </w:r>
      <w:r>
        <w:rPr>
          <w:sz w:val="24"/>
        </w:rPr>
        <w:t>”</w:t>
      </w:r>
      <w:r>
        <w:rPr>
          <w:sz w:val="24"/>
        </w:rPr>
        <w:t>原则，在投资者作出投资决策后，基金运营状况与基金净值变化引致的投资风险，由投资者自行负责。</w:t>
      </w:r>
    </w:p>
    <w:p w:rsidR="00FE70D4" w:rsidRDefault="00FE70D4">
      <w:pPr>
        <w:pStyle w:val="af7"/>
        <w:spacing w:line="360" w:lineRule="auto"/>
        <w:ind w:rightChars="40" w:right="84"/>
      </w:pPr>
    </w:p>
    <w:p w:rsidR="00FE70D4" w:rsidRDefault="006D1E1C">
      <w:pPr>
        <w:spacing w:line="360" w:lineRule="auto"/>
        <w:ind w:firstLineChars="175" w:firstLine="420"/>
        <w:rPr>
          <w:sz w:val="24"/>
        </w:rPr>
      </w:pPr>
      <w:r>
        <w:rPr>
          <w:sz w:val="24"/>
        </w:rPr>
        <w:t>特此公告。</w:t>
      </w:r>
    </w:p>
    <w:p w:rsidR="00F15979" w:rsidRDefault="00F15979" w:rsidP="00F15979">
      <w:pPr>
        <w:spacing w:line="360" w:lineRule="auto"/>
        <w:ind w:right="120" w:firstLineChars="1450" w:firstLine="3480"/>
        <w:jc w:val="right"/>
        <w:rPr>
          <w:sz w:val="24"/>
        </w:rPr>
      </w:pPr>
    </w:p>
    <w:p w:rsidR="00FE70D4" w:rsidRDefault="00AD049C" w:rsidP="00F15979">
      <w:pPr>
        <w:spacing w:line="360" w:lineRule="auto"/>
        <w:ind w:right="120" w:firstLineChars="1450" w:firstLine="3480"/>
        <w:jc w:val="right"/>
        <w:rPr>
          <w:sz w:val="24"/>
        </w:rPr>
      </w:pPr>
      <w:r>
        <w:rPr>
          <w:rFonts w:hint="eastAsia"/>
          <w:sz w:val="24"/>
        </w:rPr>
        <w:t>景顺长城</w:t>
      </w:r>
      <w:r w:rsidR="006D1E1C">
        <w:rPr>
          <w:sz w:val="24"/>
        </w:rPr>
        <w:t>基金管理有限公司</w:t>
      </w:r>
    </w:p>
    <w:p w:rsidR="00FE70D4" w:rsidRDefault="006D1E1C">
      <w:pPr>
        <w:pStyle w:val="af7"/>
        <w:spacing w:line="360" w:lineRule="auto"/>
        <w:ind w:right="240" w:firstLineChars="1500" w:firstLine="3600"/>
        <w:jc w:val="right"/>
        <w:rPr>
          <w:sz w:val="24"/>
        </w:rPr>
      </w:pPr>
      <w:r>
        <w:rPr>
          <w:sz w:val="24"/>
        </w:rPr>
        <w:t>202</w:t>
      </w:r>
      <w:r w:rsidR="00AD049C">
        <w:rPr>
          <w:sz w:val="24"/>
        </w:rPr>
        <w:t>6</w:t>
      </w:r>
      <w:r>
        <w:rPr>
          <w:sz w:val="24"/>
        </w:rPr>
        <w:t>年</w:t>
      </w:r>
      <w:r w:rsidR="00F03CCA">
        <w:rPr>
          <w:sz w:val="24"/>
        </w:rPr>
        <w:t>5</w:t>
      </w:r>
      <w:r>
        <w:rPr>
          <w:sz w:val="24"/>
        </w:rPr>
        <w:t>月</w:t>
      </w:r>
      <w:r w:rsidR="00F03CCA">
        <w:rPr>
          <w:sz w:val="24"/>
        </w:rPr>
        <w:t>1</w:t>
      </w:r>
      <w:r>
        <w:rPr>
          <w:sz w:val="24"/>
        </w:rPr>
        <w:t>日</w:t>
      </w:r>
      <w:bookmarkEnd w:id="0"/>
      <w:bookmarkEnd w:id="1"/>
      <w:bookmarkEnd w:id="2"/>
      <w:bookmarkEnd w:id="3"/>
    </w:p>
    <w:p w:rsidR="00F15979" w:rsidRDefault="00F15979">
      <w:pPr>
        <w:spacing w:line="360" w:lineRule="auto"/>
        <w:ind w:right="240" w:firstLine="480"/>
        <w:jc w:val="left"/>
        <w:rPr>
          <w:b/>
          <w:sz w:val="24"/>
        </w:rPr>
      </w:pPr>
    </w:p>
    <w:p w:rsidR="00DB009B" w:rsidRDefault="00DB009B">
      <w:pPr>
        <w:spacing w:line="360" w:lineRule="auto"/>
        <w:ind w:right="240" w:firstLine="480"/>
        <w:jc w:val="left"/>
        <w:rPr>
          <w:b/>
          <w:sz w:val="24"/>
        </w:rPr>
      </w:pPr>
    </w:p>
    <w:p w:rsidR="00DB009B" w:rsidRDefault="00DB009B" w:rsidP="00DB009B">
      <w:pPr>
        <w:spacing w:line="360" w:lineRule="auto"/>
        <w:ind w:right="240" w:firstLine="480"/>
        <w:jc w:val="left"/>
        <w:rPr>
          <w:b/>
          <w:sz w:val="24"/>
        </w:rPr>
      </w:pPr>
      <w:r>
        <w:rPr>
          <w:b/>
          <w:sz w:val="24"/>
        </w:rPr>
        <w:t>附：</w:t>
      </w:r>
      <w:r>
        <w:rPr>
          <w:b/>
          <w:sz w:val="24"/>
        </w:rPr>
        <w:t xml:space="preserve"> </w:t>
      </w:r>
    </w:p>
    <w:p w:rsidR="00DB009B" w:rsidRPr="005E3E9F" w:rsidRDefault="00DB009B" w:rsidP="00DB009B">
      <w:pPr>
        <w:ind w:rightChars="40" w:right="84"/>
        <w:jc w:val="center"/>
        <w:rPr>
          <w:b/>
          <w:sz w:val="28"/>
          <w:szCs w:val="28"/>
        </w:rPr>
      </w:pPr>
      <w:r w:rsidRPr="005E3E9F">
        <w:rPr>
          <w:b/>
          <w:sz w:val="28"/>
          <w:szCs w:val="28"/>
        </w:rPr>
        <w:t>业绩比较基准调整原因及合理性说明</w:t>
      </w:r>
    </w:p>
    <w:p w:rsidR="00DB009B" w:rsidRPr="005E3E9F" w:rsidRDefault="00DB009B" w:rsidP="00DB009B">
      <w:pPr>
        <w:pStyle w:val="a8"/>
        <w:spacing w:line="360" w:lineRule="auto"/>
        <w:ind w:left="420" w:firstLineChars="200" w:firstLine="480"/>
        <w:rPr>
          <w:sz w:val="24"/>
          <w:szCs w:val="24"/>
        </w:rPr>
      </w:pPr>
      <w:r w:rsidRPr="005E3E9F">
        <w:rPr>
          <w:rFonts w:hint="eastAsia"/>
          <w:sz w:val="24"/>
          <w:szCs w:val="24"/>
        </w:rPr>
        <w:t>本次调整根据《公开募集证券投资基金业绩比较基准指引》和《公开募集证券投资基金业绩比较基准操作细则》等法律法规的要求，基于基金产品投资风格，基金合同关于投资目标、投资范围、投资策略、投资比例限制等的约定，预期投资的主要资产类别、国别或地区、市场板块、货币类型等，参考基金的历史持仓，综合考虑业绩比较基准的代表性、客观性和持续性，以及基准要素的市场代表性及其是否纳入行业业绩比较基准要素库，对以下</w:t>
      </w:r>
      <w:r w:rsidRPr="005E3E9F">
        <w:rPr>
          <w:rFonts w:hint="eastAsia"/>
          <w:sz w:val="24"/>
          <w:szCs w:val="24"/>
        </w:rPr>
        <w:lastRenderedPageBreak/>
        <w:t>基金的业绩比较基准要素和/或业绩比较基准的要素权重等进行调整。此外，本次调整根据相关法律法规的要求对基准要素名称进行规范表述。</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景顺长城价值边际灵活配置混合型证券投资基金</w:t>
      </w:r>
    </w:p>
    <w:p w:rsidR="00DB009B" w:rsidRPr="00DB0429" w:rsidRDefault="00DB009B" w:rsidP="00DB0429">
      <w:pPr>
        <w:spacing w:line="360" w:lineRule="auto"/>
        <w:ind w:firstLineChars="200" w:firstLine="480"/>
        <w:rPr>
          <w:bCs/>
          <w:sz w:val="24"/>
        </w:rPr>
      </w:pPr>
      <w:r w:rsidRPr="00DB0429">
        <w:rPr>
          <w:rFonts w:hint="eastAsia"/>
          <w:bCs/>
          <w:sz w:val="24"/>
        </w:rPr>
        <w:t>此次本基金业绩比较基准调整同时涉及更换业绩比较基准要素和调整业绩比较基准的要素权重。</w:t>
      </w:r>
      <w:r w:rsidRPr="00DB0429">
        <w:rPr>
          <w:rFonts w:hint="eastAsia"/>
          <w:bCs/>
          <w:sz w:val="24"/>
        </w:rPr>
        <w:t xml:space="preserve"> </w:t>
      </w:r>
    </w:p>
    <w:p w:rsidR="00DB009B" w:rsidRPr="00DB0429" w:rsidRDefault="00DB009B" w:rsidP="00DB0429">
      <w:pPr>
        <w:spacing w:line="360" w:lineRule="auto"/>
        <w:ind w:firstLineChars="200" w:firstLine="480"/>
        <w:rPr>
          <w:bCs/>
          <w:sz w:val="24"/>
        </w:rPr>
      </w:pPr>
      <w:r w:rsidRPr="00DB0429">
        <w:rPr>
          <w:rFonts w:hint="eastAsia"/>
          <w:bCs/>
          <w:sz w:val="24"/>
        </w:rPr>
        <w:t>本基金将代表</w:t>
      </w:r>
      <w:r w:rsidRPr="00DB0429">
        <w:rPr>
          <w:rFonts w:hint="eastAsia"/>
          <w:bCs/>
          <w:sz w:val="24"/>
        </w:rPr>
        <w:t>A</w:t>
      </w:r>
      <w:r w:rsidRPr="00DB0429">
        <w:rPr>
          <w:rFonts w:hint="eastAsia"/>
          <w:bCs/>
          <w:sz w:val="24"/>
        </w:rPr>
        <w:t>股股票资产的业绩比较基准要素由“沪深</w:t>
      </w:r>
      <w:r w:rsidRPr="00DB0429">
        <w:rPr>
          <w:rFonts w:hint="eastAsia"/>
          <w:bCs/>
          <w:sz w:val="24"/>
        </w:rPr>
        <w:t>300</w:t>
      </w:r>
      <w:r w:rsidRPr="00DB0429">
        <w:rPr>
          <w:rFonts w:hint="eastAsia"/>
          <w:bCs/>
          <w:sz w:val="24"/>
        </w:rPr>
        <w:t>指数”调整为“中证</w:t>
      </w:r>
      <w:r w:rsidRPr="00DB0429">
        <w:rPr>
          <w:rFonts w:hint="eastAsia"/>
          <w:bCs/>
          <w:sz w:val="24"/>
        </w:rPr>
        <w:t>800</w:t>
      </w:r>
      <w:r w:rsidRPr="00DB0429">
        <w:rPr>
          <w:rFonts w:hint="eastAsia"/>
          <w:bCs/>
          <w:sz w:val="24"/>
        </w:rPr>
        <w:t>指数”，增加港股通标的股票资产的业绩比较基准要素“中证港股通综合指数</w:t>
      </w:r>
      <w:r w:rsidRPr="00DB0429">
        <w:rPr>
          <w:rFonts w:hint="eastAsia"/>
          <w:bCs/>
          <w:sz w:val="24"/>
        </w:rPr>
        <w:t>(</w:t>
      </w:r>
      <w:r w:rsidRPr="00DB0429">
        <w:rPr>
          <w:rFonts w:hint="eastAsia"/>
          <w:bCs/>
          <w:sz w:val="24"/>
        </w:rPr>
        <w:t>人民币</w:t>
      </w:r>
      <w:r w:rsidRPr="00DB0429">
        <w:rPr>
          <w:rFonts w:hint="eastAsia"/>
          <w:bCs/>
          <w:sz w:val="24"/>
        </w:rPr>
        <w:t>)</w:t>
      </w:r>
      <w:r w:rsidRPr="00DB0429">
        <w:rPr>
          <w:rFonts w:hint="eastAsia"/>
          <w:bCs/>
          <w:sz w:val="24"/>
        </w:rPr>
        <w:t>”，将代表债券资产部分的业绩比较基准要素由“中债综合指数”调整为“中债</w:t>
      </w:r>
      <w:r w:rsidRPr="00DB0429">
        <w:rPr>
          <w:rFonts w:hint="eastAsia"/>
          <w:bCs/>
          <w:sz w:val="24"/>
        </w:rPr>
        <w:t>-</w:t>
      </w:r>
      <w:r w:rsidRPr="00DB0429">
        <w:rPr>
          <w:rFonts w:hint="eastAsia"/>
          <w:bCs/>
          <w:sz w:val="24"/>
        </w:rPr>
        <w:t>综合全价（</w:t>
      </w:r>
      <w:r w:rsidRPr="00DB0429">
        <w:rPr>
          <w:rFonts w:hint="eastAsia"/>
          <w:bCs/>
          <w:sz w:val="24"/>
        </w:rPr>
        <w:t>1-3</w:t>
      </w:r>
      <w:r w:rsidRPr="00DB0429">
        <w:rPr>
          <w:rFonts w:hint="eastAsia"/>
          <w:bCs/>
          <w:sz w:val="24"/>
        </w:rPr>
        <w:t>年）指数”。</w:t>
      </w:r>
    </w:p>
    <w:p w:rsidR="00DB009B" w:rsidRPr="00DB0429" w:rsidRDefault="00DB009B" w:rsidP="00DB0429">
      <w:pPr>
        <w:spacing w:line="360" w:lineRule="auto"/>
        <w:ind w:firstLineChars="200" w:firstLine="480"/>
        <w:rPr>
          <w:bCs/>
          <w:sz w:val="24"/>
        </w:rPr>
      </w:pPr>
      <w:r w:rsidRPr="00DB0429">
        <w:rPr>
          <w:rFonts w:hint="eastAsia"/>
          <w:bCs/>
          <w:sz w:val="24"/>
        </w:rPr>
        <w:t>本基金的股票资产采用全市场选股策略，通过定性分析和定量分析相结合的方法对个股安全边际和投资价值衡量，挖掘</w:t>
      </w:r>
      <w:r w:rsidRPr="00DB0429">
        <w:rPr>
          <w:rFonts w:hint="eastAsia"/>
          <w:bCs/>
          <w:sz w:val="24"/>
        </w:rPr>
        <w:t>A</w:t>
      </w:r>
      <w:r w:rsidRPr="00DB0429">
        <w:rPr>
          <w:rFonts w:hint="eastAsia"/>
          <w:bCs/>
          <w:sz w:val="24"/>
        </w:rPr>
        <w:t>股与港股通范围内的优质公司，从而在严格控制风险并保持良好流动性的前提下，</w:t>
      </w:r>
      <w:r w:rsidRPr="00DB0429">
        <w:rPr>
          <w:rFonts w:hint="eastAsia"/>
          <w:bCs/>
          <w:sz w:val="24"/>
        </w:rPr>
        <w:t xml:space="preserve"> </w:t>
      </w:r>
      <w:r w:rsidRPr="00DB0429">
        <w:rPr>
          <w:rFonts w:hint="eastAsia"/>
          <w:bCs/>
          <w:sz w:val="24"/>
        </w:rPr>
        <w:t>追求超越业绩比较基准的投资回报。原业绩比较基准要素“沪深</w:t>
      </w:r>
      <w:r w:rsidRPr="00DB0429">
        <w:rPr>
          <w:rFonts w:hint="eastAsia"/>
          <w:bCs/>
          <w:sz w:val="24"/>
        </w:rPr>
        <w:t>300</w:t>
      </w:r>
      <w:r w:rsidRPr="00DB0429">
        <w:rPr>
          <w:rFonts w:hint="eastAsia"/>
          <w:bCs/>
          <w:sz w:val="24"/>
        </w:rPr>
        <w:t>指数”由沪深市场中规模大、流动性好的最具代表性的</w:t>
      </w:r>
      <w:r w:rsidRPr="00DB0429">
        <w:rPr>
          <w:rFonts w:hint="eastAsia"/>
          <w:bCs/>
          <w:sz w:val="24"/>
        </w:rPr>
        <w:t>300</w:t>
      </w:r>
      <w:r w:rsidRPr="00DB0429">
        <w:rPr>
          <w:rFonts w:hint="eastAsia"/>
          <w:bCs/>
          <w:sz w:val="24"/>
        </w:rPr>
        <w:t>只证券组成，以反映沪深市场上市公司证券的整体表现。调整后的新业绩比较基准要素“中证</w:t>
      </w:r>
      <w:r w:rsidRPr="00DB0429">
        <w:rPr>
          <w:rFonts w:hint="eastAsia"/>
          <w:bCs/>
          <w:sz w:val="24"/>
        </w:rPr>
        <w:t>800</w:t>
      </w:r>
      <w:r w:rsidRPr="00DB0429">
        <w:rPr>
          <w:rFonts w:hint="eastAsia"/>
          <w:bCs/>
          <w:sz w:val="24"/>
        </w:rPr>
        <w:t>指数”由中证</w:t>
      </w:r>
      <w:r w:rsidRPr="00DB0429">
        <w:rPr>
          <w:rFonts w:hint="eastAsia"/>
          <w:bCs/>
          <w:sz w:val="24"/>
        </w:rPr>
        <w:t>500</w:t>
      </w:r>
      <w:r w:rsidRPr="00DB0429">
        <w:rPr>
          <w:rFonts w:hint="eastAsia"/>
          <w:bCs/>
          <w:sz w:val="24"/>
        </w:rPr>
        <w:t>指数和沪深</w:t>
      </w:r>
      <w:r w:rsidRPr="00DB0429">
        <w:rPr>
          <w:rFonts w:hint="eastAsia"/>
          <w:bCs/>
          <w:sz w:val="24"/>
        </w:rPr>
        <w:t>300</w:t>
      </w:r>
      <w:r w:rsidRPr="00DB0429">
        <w:rPr>
          <w:rFonts w:hint="eastAsia"/>
          <w:bCs/>
          <w:sz w:val="24"/>
        </w:rPr>
        <w:t>指数成份股组成，反映沪深市场大中盘上市公司证券的整体表现，具有良好的市场代表性，适合作为本基金</w:t>
      </w:r>
      <w:r w:rsidRPr="00DB0429">
        <w:rPr>
          <w:rFonts w:hint="eastAsia"/>
          <w:bCs/>
          <w:sz w:val="24"/>
        </w:rPr>
        <w:t>A</w:t>
      </w:r>
      <w:r w:rsidRPr="00DB0429">
        <w:rPr>
          <w:rFonts w:hint="eastAsia"/>
          <w:bCs/>
          <w:sz w:val="24"/>
        </w:rPr>
        <w:t>股股票部分的业绩比较基准要素。</w:t>
      </w:r>
    </w:p>
    <w:p w:rsidR="00DB009B" w:rsidRPr="00DB0429" w:rsidRDefault="00DB009B" w:rsidP="00DB0429">
      <w:pPr>
        <w:spacing w:line="360" w:lineRule="auto"/>
        <w:ind w:firstLineChars="200" w:firstLine="480"/>
        <w:rPr>
          <w:bCs/>
          <w:sz w:val="24"/>
        </w:rPr>
      </w:pPr>
      <w:r w:rsidRPr="00DB0429">
        <w:rPr>
          <w:rFonts w:hint="eastAsia"/>
          <w:bCs/>
          <w:sz w:val="24"/>
        </w:rPr>
        <w:t>本基金投资范围和预期投资的主要资产类别包括港股通标的股票。中证港股通综合指数</w:t>
      </w:r>
      <w:r w:rsidRPr="00DB0429">
        <w:rPr>
          <w:rFonts w:hint="eastAsia"/>
          <w:bCs/>
          <w:sz w:val="24"/>
        </w:rPr>
        <w:t>(</w:t>
      </w:r>
      <w:r w:rsidRPr="00DB0429">
        <w:rPr>
          <w:rFonts w:hint="eastAsia"/>
          <w:bCs/>
          <w:sz w:val="24"/>
        </w:rPr>
        <w:t>人民币</w:t>
      </w:r>
      <w:r w:rsidRPr="00DB0429">
        <w:rPr>
          <w:rFonts w:hint="eastAsia"/>
          <w:bCs/>
          <w:sz w:val="24"/>
        </w:rPr>
        <w:t>)</w:t>
      </w:r>
      <w:r w:rsidRPr="00DB0429">
        <w:rPr>
          <w:rFonts w:hint="eastAsia"/>
          <w:bCs/>
          <w:sz w:val="24"/>
        </w:rPr>
        <w:t>选取符合港股通资格的上市公司证券作为样本，反映港股通范围内上市公司的整体表现，适合作为本基金港股通标的股票部分的业绩比较基准要素。</w:t>
      </w:r>
    </w:p>
    <w:p w:rsidR="00DB009B" w:rsidRPr="00DB0429" w:rsidRDefault="00DB009B" w:rsidP="00DB0429">
      <w:pPr>
        <w:spacing w:line="360" w:lineRule="auto"/>
        <w:ind w:firstLineChars="200" w:firstLine="480"/>
        <w:rPr>
          <w:bCs/>
          <w:sz w:val="24"/>
        </w:rPr>
      </w:pPr>
      <w:r w:rsidRPr="00DB0429">
        <w:rPr>
          <w:rFonts w:hint="eastAsia"/>
          <w:bCs/>
          <w:sz w:val="24"/>
        </w:rPr>
        <w:t>本基金的债券资产采用全市场策略，主要通过类属配置与券种选择进行投资管理，预期组合久期整体偏向于中短久期。原业绩比较基准要素“中债综合指数”覆盖境内人民币债券市场各期限债券，久期较长。调整后的新业绩比较基准要素</w:t>
      </w:r>
      <w:r w:rsidRPr="00DB0429" w:rsidDel="00671936">
        <w:rPr>
          <w:rFonts w:hint="eastAsia"/>
          <w:bCs/>
          <w:sz w:val="24"/>
        </w:rPr>
        <w:t xml:space="preserve"> </w:t>
      </w:r>
      <w:r w:rsidRPr="00DB0429">
        <w:rPr>
          <w:rFonts w:hint="eastAsia"/>
          <w:bCs/>
          <w:sz w:val="24"/>
        </w:rPr>
        <w:t>“中债</w:t>
      </w:r>
      <w:r w:rsidRPr="00DB0429">
        <w:rPr>
          <w:rFonts w:hint="eastAsia"/>
          <w:bCs/>
          <w:sz w:val="24"/>
        </w:rPr>
        <w:t>-</w:t>
      </w:r>
      <w:r w:rsidRPr="00DB0429">
        <w:rPr>
          <w:rFonts w:hint="eastAsia"/>
          <w:bCs/>
          <w:sz w:val="24"/>
        </w:rPr>
        <w:t>综合全价（</w:t>
      </w:r>
      <w:r w:rsidRPr="00DB0429">
        <w:rPr>
          <w:rFonts w:hint="eastAsia"/>
          <w:bCs/>
          <w:sz w:val="24"/>
        </w:rPr>
        <w:t>1-3</w:t>
      </w:r>
      <w:r w:rsidRPr="00DB0429">
        <w:rPr>
          <w:rFonts w:hint="eastAsia"/>
          <w:bCs/>
          <w:sz w:val="24"/>
        </w:rPr>
        <w:t>年）指数”则选取中债</w:t>
      </w:r>
      <w:r w:rsidRPr="00DB0429">
        <w:rPr>
          <w:rFonts w:hint="eastAsia"/>
          <w:bCs/>
          <w:sz w:val="24"/>
        </w:rPr>
        <w:t>-</w:t>
      </w:r>
      <w:r w:rsidRPr="00DB0429">
        <w:rPr>
          <w:rFonts w:hint="eastAsia"/>
          <w:bCs/>
          <w:sz w:val="24"/>
        </w:rPr>
        <w:t>综合指数成分券中待偿期限为</w:t>
      </w:r>
      <w:r w:rsidRPr="00DB0429">
        <w:rPr>
          <w:rFonts w:hint="eastAsia"/>
          <w:bCs/>
          <w:sz w:val="24"/>
        </w:rPr>
        <w:t>1-3</w:t>
      </w:r>
      <w:r w:rsidRPr="00DB0429">
        <w:rPr>
          <w:rFonts w:hint="eastAsia"/>
          <w:bCs/>
          <w:sz w:val="24"/>
        </w:rPr>
        <w:t>年（含</w:t>
      </w:r>
      <w:r w:rsidRPr="00DB0429">
        <w:rPr>
          <w:rFonts w:hint="eastAsia"/>
          <w:bCs/>
          <w:sz w:val="24"/>
        </w:rPr>
        <w:t>1</w:t>
      </w:r>
      <w:r w:rsidRPr="00DB0429">
        <w:rPr>
          <w:rFonts w:hint="eastAsia"/>
          <w:bCs/>
          <w:sz w:val="24"/>
        </w:rPr>
        <w:t>年）的债券为指数成份券，与基金投资策略相匹配，适合作为本基金债券部分的业绩比较基准要素。</w:t>
      </w:r>
    </w:p>
    <w:p w:rsidR="00DB009B" w:rsidRPr="00DB0429" w:rsidRDefault="00DB009B" w:rsidP="00DB0429">
      <w:pPr>
        <w:spacing w:line="360" w:lineRule="auto"/>
        <w:ind w:firstLineChars="200" w:firstLine="480"/>
        <w:rPr>
          <w:bCs/>
          <w:sz w:val="24"/>
        </w:rPr>
      </w:pPr>
      <w:r w:rsidRPr="005E3E9F">
        <w:rPr>
          <w:rFonts w:hint="eastAsia"/>
          <w:bCs/>
          <w:sz w:val="24"/>
        </w:rPr>
        <w:t>此外，基于本基金历史持仓</w:t>
      </w:r>
      <w:r w:rsidRPr="00DB0429">
        <w:rPr>
          <w:rFonts w:hint="eastAsia"/>
          <w:bCs/>
          <w:sz w:val="24"/>
        </w:rPr>
        <w:t>，并结合基金合同约定的投资比例限制以及本基金预期的资产配置比例中枢，将业绩比较基准中的股票资产所对应的基准要素权</w:t>
      </w:r>
      <w:r w:rsidRPr="00DB0429">
        <w:rPr>
          <w:rFonts w:hint="eastAsia"/>
          <w:bCs/>
          <w:sz w:val="24"/>
        </w:rPr>
        <w:lastRenderedPageBreak/>
        <w:t>重从</w:t>
      </w:r>
      <w:r w:rsidRPr="00DB0429">
        <w:rPr>
          <w:rFonts w:hint="eastAsia"/>
          <w:bCs/>
          <w:sz w:val="24"/>
        </w:rPr>
        <w:t>60%</w:t>
      </w:r>
      <w:r w:rsidRPr="00DB0429">
        <w:rPr>
          <w:rFonts w:hint="eastAsia"/>
          <w:bCs/>
          <w:sz w:val="24"/>
        </w:rPr>
        <w:t>提高至</w:t>
      </w:r>
      <w:r w:rsidRPr="00DB0429">
        <w:rPr>
          <w:rFonts w:hint="eastAsia"/>
          <w:bCs/>
          <w:sz w:val="24"/>
        </w:rPr>
        <w:t>85%</w:t>
      </w:r>
      <w:r w:rsidRPr="00DB0429">
        <w:rPr>
          <w:rFonts w:hint="eastAsia"/>
          <w:bCs/>
          <w:sz w:val="24"/>
        </w:rPr>
        <w:t>（其中</w:t>
      </w:r>
      <w:r w:rsidRPr="00DB0429">
        <w:rPr>
          <w:rFonts w:hint="eastAsia"/>
          <w:bCs/>
          <w:sz w:val="24"/>
        </w:rPr>
        <w:t>A</w:t>
      </w:r>
      <w:r w:rsidRPr="00DB0429">
        <w:rPr>
          <w:rFonts w:hint="eastAsia"/>
          <w:bCs/>
          <w:sz w:val="24"/>
        </w:rPr>
        <w:t>股股票部分的基准要素权重相应从</w:t>
      </w:r>
      <w:r w:rsidRPr="00DB0429">
        <w:rPr>
          <w:rFonts w:hint="eastAsia"/>
          <w:bCs/>
          <w:sz w:val="24"/>
        </w:rPr>
        <w:t>60%</w:t>
      </w:r>
      <w:r w:rsidRPr="00DB0429">
        <w:rPr>
          <w:rFonts w:hint="eastAsia"/>
          <w:bCs/>
          <w:sz w:val="24"/>
        </w:rPr>
        <w:t>降低至</w:t>
      </w:r>
      <w:r w:rsidRPr="00DB0429">
        <w:rPr>
          <w:rFonts w:hint="eastAsia"/>
          <w:bCs/>
          <w:sz w:val="24"/>
        </w:rPr>
        <w:t>55%</w:t>
      </w:r>
      <w:r w:rsidRPr="00DB0429">
        <w:rPr>
          <w:rFonts w:hint="eastAsia"/>
          <w:bCs/>
          <w:sz w:val="24"/>
        </w:rPr>
        <w:t>，港股通标的股票部分的基准要素权重从</w:t>
      </w:r>
      <w:r w:rsidRPr="00DB0429">
        <w:rPr>
          <w:rFonts w:hint="eastAsia"/>
          <w:bCs/>
          <w:sz w:val="24"/>
        </w:rPr>
        <w:t>0%</w:t>
      </w:r>
      <w:r w:rsidRPr="00DB0429">
        <w:rPr>
          <w:rFonts w:hint="eastAsia"/>
          <w:bCs/>
          <w:sz w:val="24"/>
        </w:rPr>
        <w:t>提高至</w:t>
      </w:r>
      <w:r w:rsidRPr="00DB0429">
        <w:rPr>
          <w:rFonts w:hint="eastAsia"/>
          <w:bCs/>
          <w:sz w:val="24"/>
        </w:rPr>
        <w:t>30%</w:t>
      </w:r>
      <w:r w:rsidRPr="00DB0429">
        <w:rPr>
          <w:rFonts w:hint="eastAsia"/>
          <w:bCs/>
          <w:sz w:val="24"/>
        </w:rPr>
        <w:t>），将业绩比较基准中的债券资产所对应的基准要素权重从</w:t>
      </w:r>
      <w:r w:rsidRPr="00DB0429">
        <w:rPr>
          <w:rFonts w:hint="eastAsia"/>
          <w:bCs/>
          <w:sz w:val="24"/>
        </w:rPr>
        <w:t>40%</w:t>
      </w:r>
      <w:r w:rsidRPr="00DB0429">
        <w:rPr>
          <w:rFonts w:hint="eastAsia"/>
          <w:bCs/>
          <w:sz w:val="24"/>
        </w:rPr>
        <w:t>降低至</w:t>
      </w:r>
      <w:r w:rsidRPr="00DB0429">
        <w:rPr>
          <w:rFonts w:hint="eastAsia"/>
          <w:bCs/>
          <w:sz w:val="24"/>
        </w:rPr>
        <w:t>15%</w:t>
      </w:r>
      <w:r w:rsidRPr="00DB0429">
        <w:rPr>
          <w:rFonts w:hint="eastAsia"/>
          <w:bCs/>
          <w:sz w:val="24"/>
        </w:rPr>
        <w:t>，从而使得新业绩比较基准中各大资产类别所对应的基准要素权重与基金投资策略和基金过往实际投资运作等相匹配。</w:t>
      </w:r>
    </w:p>
    <w:p w:rsidR="00DB009B" w:rsidRPr="00DB0429" w:rsidRDefault="00DB009B" w:rsidP="00DB0429">
      <w:pPr>
        <w:spacing w:line="360" w:lineRule="auto"/>
        <w:ind w:firstLineChars="200" w:firstLine="480"/>
        <w:rPr>
          <w:bCs/>
          <w:sz w:val="24"/>
        </w:rPr>
      </w:pPr>
      <w:r w:rsidRPr="00DB0429">
        <w:rPr>
          <w:rFonts w:hint="eastAsia"/>
          <w:bCs/>
          <w:sz w:val="24"/>
        </w:rPr>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景顺长城消费精选混合型证券投资基金</w:t>
      </w:r>
    </w:p>
    <w:p w:rsidR="00DB009B" w:rsidRPr="005E3E9F" w:rsidRDefault="00DB009B" w:rsidP="00DB009B">
      <w:pPr>
        <w:spacing w:line="360" w:lineRule="auto"/>
        <w:ind w:firstLineChars="200" w:firstLine="480"/>
        <w:rPr>
          <w:bCs/>
          <w:sz w:val="24"/>
        </w:rPr>
      </w:pPr>
      <w:r w:rsidRPr="005E3E9F">
        <w:rPr>
          <w:rFonts w:hint="eastAsia"/>
          <w:bCs/>
          <w:sz w:val="24"/>
        </w:rPr>
        <w:t>此次本基金业绩比较基准调整同时涉及更换业绩比较基准要素和调整业绩比较基准的要素权重。</w:t>
      </w:r>
      <w:r w:rsidRPr="005E3E9F">
        <w:rPr>
          <w:rFonts w:hint="eastAsia"/>
          <w:bCs/>
          <w:sz w:val="24"/>
        </w:rPr>
        <w:t xml:space="preserve"> </w:t>
      </w:r>
    </w:p>
    <w:p w:rsidR="00DB009B" w:rsidRPr="005E3E9F" w:rsidRDefault="00DB009B" w:rsidP="00DB009B">
      <w:pPr>
        <w:spacing w:line="360" w:lineRule="auto"/>
        <w:ind w:firstLineChars="200" w:firstLine="480"/>
        <w:rPr>
          <w:bCs/>
          <w:sz w:val="24"/>
        </w:rPr>
      </w:pPr>
      <w:r w:rsidRPr="005E3E9F">
        <w:rPr>
          <w:rFonts w:hint="eastAsia"/>
          <w:sz w:val="24"/>
        </w:rPr>
        <w:t>本基金将</w:t>
      </w:r>
      <w:r w:rsidRPr="005E3E9F">
        <w:rPr>
          <w:rFonts w:hint="eastAsia"/>
          <w:bCs/>
          <w:sz w:val="24"/>
        </w:rPr>
        <w:t>代表港股通标的股票资产的业绩比较基准要素由“恒生指数”调整为“恒生消费指数”</w:t>
      </w:r>
      <w:r w:rsidRPr="005E3E9F">
        <w:rPr>
          <w:rFonts w:hint="eastAsia"/>
          <w:sz w:val="24"/>
        </w:rPr>
        <w:t>，</w:t>
      </w:r>
      <w:r w:rsidRPr="005E3E9F">
        <w:rPr>
          <w:rFonts w:hint="eastAsia"/>
          <w:bCs/>
          <w:sz w:val="24"/>
        </w:rPr>
        <w:t>将代表债券资产部分的业绩比较基准要素由“中债综合指数”调整为“中债</w:t>
      </w:r>
      <w:r w:rsidRPr="005E3E9F">
        <w:rPr>
          <w:rFonts w:hint="eastAsia"/>
          <w:bCs/>
          <w:sz w:val="24"/>
        </w:rPr>
        <w:t>-</w:t>
      </w:r>
      <w:r w:rsidRPr="005E3E9F">
        <w:rPr>
          <w:rFonts w:hint="eastAsia"/>
          <w:bCs/>
          <w:sz w:val="24"/>
        </w:rPr>
        <w:t>综合全价（</w:t>
      </w:r>
      <w:r w:rsidRPr="005E3E9F">
        <w:rPr>
          <w:rFonts w:hint="eastAsia"/>
          <w:bCs/>
          <w:sz w:val="24"/>
        </w:rPr>
        <w:t>1-3</w:t>
      </w:r>
      <w:r w:rsidRPr="005E3E9F">
        <w:rPr>
          <w:rFonts w:hint="eastAsia"/>
          <w:bCs/>
          <w:sz w:val="24"/>
        </w:rPr>
        <w:t>年）指数”。</w:t>
      </w:r>
    </w:p>
    <w:p w:rsidR="00DB009B" w:rsidRPr="005E3E9F" w:rsidRDefault="00DB009B" w:rsidP="00DB009B">
      <w:pPr>
        <w:spacing w:line="360" w:lineRule="auto"/>
        <w:ind w:firstLineChars="200" w:firstLine="480"/>
        <w:rPr>
          <w:bCs/>
          <w:sz w:val="24"/>
        </w:rPr>
      </w:pPr>
      <w:r w:rsidRPr="005E3E9F">
        <w:rPr>
          <w:rFonts w:hint="eastAsia"/>
          <w:bCs/>
          <w:sz w:val="24"/>
        </w:rPr>
        <w:t>本基金的股票资产主要投向本基金所界定的“消费精选”主题相关股票。原业绩比较基准要素“恒生指数”包括市值最大及成交最活跃并在香港联合交易所主板上市的公司。调整后的新业绩比较基准要素“恒生消费指数”反映提供与日常消费相关的消费品制造及服务的香港上市证券之整体表现，符合本基金投资主题，适合</w:t>
      </w:r>
      <w:r w:rsidRPr="005E3E9F">
        <w:rPr>
          <w:rFonts w:ascii="宋体" w:hAnsi="宋体" w:cs="宋体" w:hint="eastAsia"/>
          <w:color w:val="000000"/>
          <w:kern w:val="0"/>
          <w:sz w:val="24"/>
        </w:rPr>
        <w:t>作为本基金港股通标的股票部分的业绩比较基准要素</w:t>
      </w:r>
      <w:r w:rsidRPr="005E3E9F">
        <w:rPr>
          <w:rFonts w:hint="eastAsia"/>
          <w:bCs/>
          <w:sz w:val="24"/>
        </w:rPr>
        <w:t>。</w:t>
      </w:r>
    </w:p>
    <w:p w:rsidR="00DB009B" w:rsidRPr="005E3E9F" w:rsidRDefault="00DB009B" w:rsidP="00DB009B">
      <w:pPr>
        <w:spacing w:line="360" w:lineRule="auto"/>
        <w:ind w:firstLineChars="200" w:firstLine="480"/>
        <w:rPr>
          <w:bCs/>
          <w:sz w:val="24"/>
        </w:rPr>
      </w:pPr>
      <w:r w:rsidRPr="005E3E9F">
        <w:rPr>
          <w:rFonts w:hint="eastAsia"/>
          <w:bCs/>
          <w:sz w:val="24"/>
        </w:rPr>
        <w:t>本基金的债券资产采用全市场策略，主要通过类属配置与券种选择进行投资管理，预期组合久期整体偏向于中短久期。原业绩比较基准要素“中债综合指数”覆盖境内人民币债券市场各期限债券，久期较长。调整后的新业绩比较基准要素“中债</w:t>
      </w:r>
      <w:r w:rsidRPr="005E3E9F">
        <w:rPr>
          <w:rFonts w:hint="eastAsia"/>
          <w:bCs/>
          <w:sz w:val="24"/>
        </w:rPr>
        <w:t>-</w:t>
      </w:r>
      <w:r w:rsidRPr="005E3E9F">
        <w:rPr>
          <w:rFonts w:hint="eastAsia"/>
          <w:bCs/>
          <w:sz w:val="24"/>
        </w:rPr>
        <w:t>综合全价（</w:t>
      </w:r>
      <w:r w:rsidRPr="005E3E9F">
        <w:rPr>
          <w:rFonts w:hint="eastAsia"/>
          <w:bCs/>
          <w:sz w:val="24"/>
        </w:rPr>
        <w:t>1-3</w:t>
      </w:r>
      <w:r w:rsidRPr="005E3E9F">
        <w:rPr>
          <w:rFonts w:hint="eastAsia"/>
          <w:bCs/>
          <w:sz w:val="24"/>
        </w:rPr>
        <w:t>年）指数”则选取中债</w:t>
      </w:r>
      <w:r w:rsidRPr="005E3E9F">
        <w:rPr>
          <w:rFonts w:hint="eastAsia"/>
          <w:bCs/>
          <w:sz w:val="24"/>
        </w:rPr>
        <w:t>-</w:t>
      </w:r>
      <w:r w:rsidRPr="005E3E9F">
        <w:rPr>
          <w:rFonts w:hint="eastAsia"/>
          <w:bCs/>
          <w:sz w:val="24"/>
        </w:rPr>
        <w:t>综合指数成分券中待偿期限为</w:t>
      </w:r>
      <w:r w:rsidRPr="005E3E9F">
        <w:rPr>
          <w:rFonts w:hint="eastAsia"/>
          <w:bCs/>
          <w:sz w:val="24"/>
        </w:rPr>
        <w:t>1-3</w:t>
      </w:r>
      <w:r w:rsidRPr="005E3E9F">
        <w:rPr>
          <w:rFonts w:hint="eastAsia"/>
          <w:bCs/>
          <w:sz w:val="24"/>
        </w:rPr>
        <w:t>年（含</w:t>
      </w:r>
      <w:r w:rsidRPr="005E3E9F">
        <w:rPr>
          <w:rFonts w:hint="eastAsia"/>
          <w:bCs/>
          <w:sz w:val="24"/>
        </w:rPr>
        <w:t>1</w:t>
      </w:r>
      <w:r w:rsidRPr="005E3E9F">
        <w:rPr>
          <w:rFonts w:hint="eastAsia"/>
          <w:bCs/>
          <w:sz w:val="24"/>
        </w:rPr>
        <w:t>年）的债券为指数成份券，与基金投资策略相匹配，</w:t>
      </w:r>
      <w:r w:rsidRPr="005E3E9F">
        <w:rPr>
          <w:rFonts w:ascii="宋体" w:hAnsi="宋体" w:cs="宋体" w:hint="eastAsia"/>
          <w:color w:val="000000"/>
          <w:kern w:val="0"/>
          <w:sz w:val="24"/>
        </w:rPr>
        <w:t>适合作为本基金债券部分的业绩比较基准要素</w:t>
      </w:r>
      <w:r w:rsidRPr="005E3E9F">
        <w:rPr>
          <w:rFonts w:hint="eastAsia"/>
          <w:bCs/>
          <w:sz w:val="24"/>
        </w:rPr>
        <w:t>。</w:t>
      </w:r>
    </w:p>
    <w:p w:rsidR="00DB009B" w:rsidRPr="005E3E9F" w:rsidRDefault="00DB009B" w:rsidP="00DB009B">
      <w:pPr>
        <w:spacing w:line="360" w:lineRule="auto"/>
        <w:ind w:firstLineChars="200" w:firstLine="480"/>
        <w:rPr>
          <w:bCs/>
          <w:sz w:val="24"/>
        </w:rPr>
      </w:pPr>
      <w:r w:rsidRPr="005E3E9F">
        <w:rPr>
          <w:rFonts w:hint="eastAsia"/>
          <w:bCs/>
          <w:sz w:val="24"/>
        </w:rPr>
        <w:t>此外，基于本基金历史持仓，并结合基金合同约定的投资比例限制以及本基金预期的资产配置比例中枢，将业绩比较基准中的股票资产所对应的基准要素权重从</w:t>
      </w:r>
      <w:r w:rsidRPr="005E3E9F">
        <w:rPr>
          <w:rFonts w:hint="eastAsia"/>
          <w:bCs/>
          <w:sz w:val="24"/>
        </w:rPr>
        <w:t>80%</w:t>
      </w:r>
      <w:r w:rsidRPr="005E3E9F">
        <w:rPr>
          <w:rFonts w:hint="eastAsia"/>
          <w:bCs/>
          <w:sz w:val="24"/>
        </w:rPr>
        <w:t>提高至</w:t>
      </w:r>
      <w:r w:rsidRPr="005E3E9F">
        <w:rPr>
          <w:rFonts w:hint="eastAsia"/>
          <w:bCs/>
          <w:sz w:val="24"/>
        </w:rPr>
        <w:t>90%</w:t>
      </w:r>
      <w:r w:rsidRPr="005E3E9F">
        <w:rPr>
          <w:rFonts w:hint="eastAsia"/>
          <w:bCs/>
          <w:sz w:val="24"/>
        </w:rPr>
        <w:t>（其中</w:t>
      </w:r>
      <w:r w:rsidRPr="005E3E9F">
        <w:rPr>
          <w:rFonts w:hint="eastAsia"/>
          <w:bCs/>
          <w:sz w:val="24"/>
        </w:rPr>
        <w:t>A</w:t>
      </w:r>
      <w:r w:rsidRPr="005E3E9F">
        <w:rPr>
          <w:rFonts w:hint="eastAsia"/>
          <w:bCs/>
          <w:sz w:val="24"/>
        </w:rPr>
        <w:t>股股票部分的基准要素权重相应从</w:t>
      </w:r>
      <w:r w:rsidRPr="005E3E9F">
        <w:rPr>
          <w:rFonts w:hint="eastAsia"/>
          <w:bCs/>
          <w:sz w:val="24"/>
        </w:rPr>
        <w:t>60%</w:t>
      </w:r>
      <w:r w:rsidRPr="005E3E9F">
        <w:rPr>
          <w:rFonts w:hint="eastAsia"/>
          <w:bCs/>
          <w:sz w:val="24"/>
        </w:rPr>
        <w:t>提高至</w:t>
      </w:r>
      <w:r w:rsidRPr="005E3E9F">
        <w:rPr>
          <w:rFonts w:hint="eastAsia"/>
          <w:bCs/>
          <w:sz w:val="24"/>
        </w:rPr>
        <w:t>70%</w:t>
      </w:r>
      <w:r w:rsidRPr="005E3E9F">
        <w:rPr>
          <w:rFonts w:hint="eastAsia"/>
          <w:bCs/>
          <w:sz w:val="24"/>
        </w:rPr>
        <w:t>，港股通标的股票部分的基准要素权重不变），将业绩比较基准中的债券资产所对</w:t>
      </w:r>
      <w:r w:rsidRPr="005E3E9F">
        <w:rPr>
          <w:rFonts w:hint="eastAsia"/>
          <w:bCs/>
          <w:sz w:val="24"/>
        </w:rPr>
        <w:lastRenderedPageBreak/>
        <w:t>应的基准要素权重从</w:t>
      </w:r>
      <w:r w:rsidRPr="005E3E9F">
        <w:rPr>
          <w:rFonts w:hint="eastAsia"/>
          <w:bCs/>
          <w:sz w:val="24"/>
        </w:rPr>
        <w:t>20%</w:t>
      </w:r>
      <w:r w:rsidRPr="005E3E9F">
        <w:rPr>
          <w:rFonts w:hint="eastAsia"/>
          <w:bCs/>
          <w:sz w:val="24"/>
        </w:rPr>
        <w:t>降低至</w:t>
      </w:r>
      <w:r w:rsidRPr="005E3E9F">
        <w:rPr>
          <w:rFonts w:hint="eastAsia"/>
          <w:bCs/>
          <w:sz w:val="24"/>
        </w:rPr>
        <w:t>10%</w:t>
      </w:r>
      <w:r w:rsidRPr="005E3E9F">
        <w:rPr>
          <w:rFonts w:hint="eastAsia"/>
          <w:bCs/>
          <w:sz w:val="24"/>
        </w:rPr>
        <w:t>，从而使得新业绩比较基准中各大资产类别所对应的基准要素权重与基金投资策略和基金过往实际投资运作等相匹配。</w:t>
      </w:r>
    </w:p>
    <w:p w:rsidR="00DB009B" w:rsidRPr="005E3E9F" w:rsidRDefault="00DB009B" w:rsidP="00DB009B">
      <w:pPr>
        <w:spacing w:line="360" w:lineRule="auto"/>
        <w:ind w:firstLineChars="200" w:firstLine="480"/>
        <w:rPr>
          <w:bCs/>
          <w:sz w:val="24"/>
        </w:rPr>
      </w:pPr>
      <w:r w:rsidRPr="005E3E9F">
        <w:rPr>
          <w:rFonts w:hint="eastAsia"/>
          <w:bCs/>
          <w:sz w:val="24"/>
        </w:rPr>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景顺长城医疗健康混合型证券投资基金</w:t>
      </w:r>
    </w:p>
    <w:p w:rsidR="00DB009B" w:rsidRPr="005E3E9F" w:rsidRDefault="00DB009B" w:rsidP="00DB009B">
      <w:pPr>
        <w:spacing w:line="360" w:lineRule="auto"/>
        <w:ind w:firstLineChars="200" w:firstLine="480"/>
        <w:rPr>
          <w:bCs/>
          <w:sz w:val="24"/>
        </w:rPr>
      </w:pPr>
      <w:r w:rsidRPr="005E3E9F">
        <w:rPr>
          <w:rFonts w:hint="eastAsia"/>
          <w:bCs/>
          <w:sz w:val="24"/>
        </w:rPr>
        <w:t>此次本基金业绩比较基准调整涉及更换业绩比较基准要素。</w:t>
      </w:r>
    </w:p>
    <w:p w:rsidR="00DB009B" w:rsidRPr="005E3E9F" w:rsidRDefault="00DB009B" w:rsidP="00DB009B">
      <w:pPr>
        <w:spacing w:line="360" w:lineRule="auto"/>
        <w:ind w:firstLineChars="200" w:firstLine="480"/>
        <w:rPr>
          <w:bCs/>
          <w:sz w:val="24"/>
        </w:rPr>
      </w:pPr>
      <w:r w:rsidRPr="005E3E9F">
        <w:rPr>
          <w:rFonts w:hint="eastAsia"/>
          <w:bCs/>
          <w:sz w:val="24"/>
        </w:rPr>
        <w:t>本基金将代表港股通标的股票资产的业绩比较基准要素由“恒生综合指数”调整为“中证港股通医药卫生综合指数</w:t>
      </w:r>
      <w:r w:rsidRPr="005E3E9F">
        <w:rPr>
          <w:rFonts w:hint="eastAsia"/>
          <w:bCs/>
          <w:sz w:val="24"/>
        </w:rPr>
        <w:t>(</w:t>
      </w:r>
      <w:r w:rsidRPr="005E3E9F">
        <w:rPr>
          <w:rFonts w:hint="eastAsia"/>
          <w:bCs/>
          <w:sz w:val="24"/>
        </w:rPr>
        <w:t>人民币</w:t>
      </w:r>
      <w:r w:rsidRPr="005E3E9F">
        <w:rPr>
          <w:rFonts w:hint="eastAsia"/>
          <w:bCs/>
          <w:sz w:val="24"/>
        </w:rPr>
        <w:t>)</w:t>
      </w:r>
      <w:r w:rsidRPr="005E3E9F">
        <w:rPr>
          <w:bCs/>
          <w:sz w:val="24"/>
        </w:rPr>
        <w:t xml:space="preserve"> </w:t>
      </w:r>
      <w:r w:rsidRPr="005E3E9F">
        <w:rPr>
          <w:rFonts w:hint="eastAsia"/>
          <w:bCs/>
          <w:sz w:val="24"/>
        </w:rPr>
        <w:t>”。</w:t>
      </w:r>
    </w:p>
    <w:p w:rsidR="00DB009B" w:rsidRPr="005E3E9F" w:rsidRDefault="00DB009B" w:rsidP="00DB009B">
      <w:pPr>
        <w:spacing w:line="360" w:lineRule="auto"/>
        <w:ind w:firstLineChars="200" w:firstLine="480"/>
        <w:rPr>
          <w:bCs/>
          <w:sz w:val="24"/>
        </w:rPr>
      </w:pPr>
      <w:r w:rsidRPr="005E3E9F">
        <w:rPr>
          <w:rFonts w:hint="eastAsia"/>
          <w:bCs/>
          <w:sz w:val="24"/>
        </w:rPr>
        <w:t>本基金的股票资产主要投向本基金界定的“医疗健康”主题相关股票。原业绩比较基准要素“恒生综合指数”涵盖在香港联合交易所主板上市股份总市值约</w:t>
      </w:r>
      <w:r w:rsidRPr="005E3E9F">
        <w:rPr>
          <w:rFonts w:hint="eastAsia"/>
          <w:bCs/>
          <w:sz w:val="24"/>
        </w:rPr>
        <w:t>95%</w:t>
      </w:r>
      <w:r w:rsidRPr="005E3E9F">
        <w:rPr>
          <w:rFonts w:hint="eastAsia"/>
          <w:bCs/>
          <w:sz w:val="24"/>
        </w:rPr>
        <w:t>，提供了一项全面的香港市场指标。调整后的新业绩比较基准要素“中证港股通医药卫生综合指数</w:t>
      </w:r>
      <w:r w:rsidRPr="005E3E9F">
        <w:rPr>
          <w:rFonts w:hint="eastAsia"/>
          <w:bCs/>
          <w:sz w:val="24"/>
        </w:rPr>
        <w:t>(</w:t>
      </w:r>
      <w:r w:rsidRPr="005E3E9F">
        <w:rPr>
          <w:rFonts w:hint="eastAsia"/>
          <w:bCs/>
          <w:sz w:val="24"/>
        </w:rPr>
        <w:t>人民币</w:t>
      </w:r>
      <w:r w:rsidRPr="005E3E9F">
        <w:rPr>
          <w:rFonts w:hint="eastAsia"/>
          <w:bCs/>
          <w:sz w:val="24"/>
        </w:rPr>
        <w:t xml:space="preserve">) </w:t>
      </w:r>
      <w:r w:rsidRPr="005E3E9F">
        <w:rPr>
          <w:rFonts w:hint="eastAsia"/>
          <w:bCs/>
          <w:sz w:val="24"/>
        </w:rPr>
        <w:t>”从港股通范围内选取</w:t>
      </w:r>
      <w:r w:rsidRPr="005E3E9F">
        <w:rPr>
          <w:rFonts w:hint="eastAsia"/>
          <w:bCs/>
          <w:sz w:val="24"/>
        </w:rPr>
        <w:t>50</w:t>
      </w:r>
      <w:r w:rsidRPr="005E3E9F">
        <w:rPr>
          <w:rFonts w:hint="eastAsia"/>
          <w:bCs/>
          <w:sz w:val="24"/>
        </w:rPr>
        <w:t>只流动性较好、市值较大的医疗卫生行业上市公司证券作为指数样本，以反映港股通范围内医药卫生上市公司证券的整体表现，符合本基金投资主题，适合作为本基金港股通标的股票部分的业绩比较基准要素。</w:t>
      </w:r>
    </w:p>
    <w:p w:rsidR="00DB009B" w:rsidRPr="005E3E9F" w:rsidRDefault="00DB009B" w:rsidP="00DB009B">
      <w:pPr>
        <w:spacing w:line="360" w:lineRule="auto"/>
        <w:ind w:firstLineChars="200" w:firstLine="480"/>
        <w:rPr>
          <w:bCs/>
          <w:sz w:val="24"/>
        </w:rPr>
      </w:pPr>
      <w:r w:rsidRPr="005E3E9F">
        <w:rPr>
          <w:rFonts w:hint="eastAsia"/>
          <w:bCs/>
          <w:sz w:val="24"/>
        </w:rPr>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景顺长城量化平衡灵活配置混合型证券投资基金</w:t>
      </w:r>
    </w:p>
    <w:p w:rsidR="00DB009B" w:rsidRPr="005E3E9F" w:rsidRDefault="00DB009B" w:rsidP="00DB009B">
      <w:pPr>
        <w:spacing w:line="360" w:lineRule="auto"/>
        <w:ind w:firstLineChars="200" w:firstLine="480"/>
        <w:rPr>
          <w:bCs/>
          <w:sz w:val="24"/>
        </w:rPr>
      </w:pPr>
      <w:r w:rsidRPr="005E3E9F">
        <w:rPr>
          <w:rFonts w:hint="eastAsia"/>
          <w:bCs/>
          <w:sz w:val="24"/>
        </w:rPr>
        <w:t>此次本基金业绩比较基准调整同时涉及更换业绩比较基准要素和调整业绩比较基准的要素权重。</w:t>
      </w:r>
    </w:p>
    <w:p w:rsidR="00DB009B" w:rsidRPr="005E3E9F" w:rsidRDefault="00DB009B" w:rsidP="00DB009B">
      <w:pPr>
        <w:spacing w:line="360" w:lineRule="auto"/>
        <w:ind w:firstLineChars="200" w:firstLine="480"/>
        <w:rPr>
          <w:bCs/>
          <w:sz w:val="24"/>
        </w:rPr>
      </w:pPr>
      <w:r w:rsidRPr="005E3E9F">
        <w:rPr>
          <w:rFonts w:hint="eastAsia"/>
          <w:bCs/>
          <w:sz w:val="24"/>
        </w:rPr>
        <w:t>本基金将代表债券资产的业绩比较基准要素由“一年期人民币定期存款利率</w:t>
      </w:r>
      <w:r w:rsidRPr="005E3E9F">
        <w:rPr>
          <w:rFonts w:hint="eastAsia"/>
          <w:bCs/>
          <w:sz w:val="24"/>
        </w:rPr>
        <w:t>(</w:t>
      </w:r>
      <w:r w:rsidRPr="005E3E9F">
        <w:rPr>
          <w:rFonts w:hint="eastAsia"/>
          <w:bCs/>
          <w:sz w:val="24"/>
        </w:rPr>
        <w:t>税后</w:t>
      </w:r>
      <w:r w:rsidRPr="005E3E9F">
        <w:rPr>
          <w:rFonts w:hint="eastAsia"/>
          <w:bCs/>
          <w:sz w:val="24"/>
        </w:rPr>
        <w:t>)</w:t>
      </w:r>
      <w:r w:rsidRPr="005E3E9F">
        <w:rPr>
          <w:rFonts w:hint="eastAsia"/>
          <w:bCs/>
          <w:sz w:val="24"/>
        </w:rPr>
        <w:t>”调整为“中债</w:t>
      </w:r>
      <w:r w:rsidRPr="005E3E9F">
        <w:rPr>
          <w:rFonts w:hint="eastAsia"/>
          <w:bCs/>
          <w:sz w:val="24"/>
        </w:rPr>
        <w:t>-</w:t>
      </w:r>
      <w:r w:rsidRPr="005E3E9F">
        <w:rPr>
          <w:rFonts w:hint="eastAsia"/>
          <w:bCs/>
          <w:sz w:val="24"/>
        </w:rPr>
        <w:t>综合全价</w:t>
      </w:r>
      <w:r w:rsidRPr="005E3E9F">
        <w:rPr>
          <w:rFonts w:hint="eastAsia"/>
          <w:bCs/>
          <w:sz w:val="24"/>
        </w:rPr>
        <w:t>(1-3</w:t>
      </w:r>
      <w:r w:rsidRPr="005E3E9F">
        <w:rPr>
          <w:rFonts w:hint="eastAsia"/>
          <w:bCs/>
          <w:sz w:val="24"/>
        </w:rPr>
        <w:t>年</w:t>
      </w:r>
      <w:r w:rsidRPr="005E3E9F">
        <w:rPr>
          <w:rFonts w:hint="eastAsia"/>
          <w:bCs/>
          <w:sz w:val="24"/>
        </w:rPr>
        <w:t>)</w:t>
      </w:r>
      <w:r w:rsidRPr="005E3E9F">
        <w:rPr>
          <w:rFonts w:hint="eastAsia"/>
          <w:bCs/>
          <w:sz w:val="24"/>
        </w:rPr>
        <w:t>指数”。</w:t>
      </w:r>
    </w:p>
    <w:p w:rsidR="00DB009B" w:rsidRPr="005E3E9F" w:rsidRDefault="00DB009B" w:rsidP="00DB009B">
      <w:pPr>
        <w:spacing w:line="360" w:lineRule="auto"/>
        <w:ind w:firstLineChars="200" w:firstLine="480"/>
        <w:rPr>
          <w:bCs/>
          <w:sz w:val="24"/>
        </w:rPr>
      </w:pPr>
      <w:r w:rsidRPr="005E3E9F">
        <w:rPr>
          <w:rFonts w:hint="eastAsia"/>
          <w:bCs/>
          <w:sz w:val="24"/>
        </w:rPr>
        <w:t>本基金的债券资产采用全市场策略，主要通过类属配置与券种选择进行投资管理，预期组合久期整体偏向于中短久期。原业绩比较基准要素“一年期人民币定期存款利率</w:t>
      </w:r>
      <w:r w:rsidRPr="005E3E9F">
        <w:rPr>
          <w:bCs/>
          <w:sz w:val="24"/>
        </w:rPr>
        <w:t>(</w:t>
      </w:r>
      <w:r w:rsidRPr="005E3E9F">
        <w:rPr>
          <w:rFonts w:hint="eastAsia"/>
          <w:bCs/>
          <w:sz w:val="24"/>
        </w:rPr>
        <w:t>税后</w:t>
      </w:r>
      <w:r w:rsidRPr="005E3E9F">
        <w:rPr>
          <w:bCs/>
          <w:sz w:val="24"/>
        </w:rPr>
        <w:t>)</w:t>
      </w:r>
      <w:r w:rsidRPr="005E3E9F">
        <w:rPr>
          <w:rFonts w:hint="eastAsia"/>
          <w:bCs/>
          <w:sz w:val="24"/>
        </w:rPr>
        <w:t>”本质为无风险利率，难以准确反映债券投资的真实波动，调整后的新业绩比较基准要素“中债</w:t>
      </w:r>
      <w:r w:rsidRPr="005E3E9F">
        <w:rPr>
          <w:rFonts w:hint="eastAsia"/>
          <w:bCs/>
          <w:sz w:val="24"/>
        </w:rPr>
        <w:t>-</w:t>
      </w:r>
      <w:r w:rsidRPr="005E3E9F">
        <w:rPr>
          <w:rFonts w:hint="eastAsia"/>
          <w:bCs/>
          <w:sz w:val="24"/>
        </w:rPr>
        <w:t>综合全价</w:t>
      </w:r>
      <w:r w:rsidRPr="005E3E9F">
        <w:rPr>
          <w:rFonts w:hint="eastAsia"/>
          <w:bCs/>
          <w:sz w:val="24"/>
        </w:rPr>
        <w:t>(1-3</w:t>
      </w:r>
      <w:r w:rsidRPr="005E3E9F">
        <w:rPr>
          <w:rFonts w:hint="eastAsia"/>
          <w:bCs/>
          <w:sz w:val="24"/>
        </w:rPr>
        <w:t>年</w:t>
      </w:r>
      <w:r w:rsidRPr="005E3E9F">
        <w:rPr>
          <w:rFonts w:hint="eastAsia"/>
          <w:bCs/>
          <w:sz w:val="24"/>
        </w:rPr>
        <w:t>)</w:t>
      </w:r>
      <w:r w:rsidRPr="005E3E9F">
        <w:rPr>
          <w:rFonts w:hint="eastAsia"/>
          <w:bCs/>
          <w:sz w:val="24"/>
        </w:rPr>
        <w:t>指数”选取中债</w:t>
      </w:r>
      <w:r w:rsidRPr="005E3E9F">
        <w:rPr>
          <w:rFonts w:hint="eastAsia"/>
          <w:bCs/>
          <w:sz w:val="24"/>
        </w:rPr>
        <w:t>-</w:t>
      </w:r>
      <w:r w:rsidRPr="005E3E9F">
        <w:rPr>
          <w:rFonts w:hint="eastAsia"/>
          <w:bCs/>
          <w:sz w:val="24"/>
        </w:rPr>
        <w:t>综合指数成分券中待偿期限为</w:t>
      </w:r>
      <w:r w:rsidRPr="005E3E9F">
        <w:rPr>
          <w:rFonts w:hint="eastAsia"/>
          <w:bCs/>
          <w:sz w:val="24"/>
        </w:rPr>
        <w:t>1-3</w:t>
      </w:r>
      <w:r w:rsidRPr="005E3E9F">
        <w:rPr>
          <w:rFonts w:hint="eastAsia"/>
          <w:bCs/>
          <w:sz w:val="24"/>
        </w:rPr>
        <w:t>年（含</w:t>
      </w:r>
      <w:r w:rsidRPr="005E3E9F">
        <w:rPr>
          <w:rFonts w:hint="eastAsia"/>
          <w:bCs/>
          <w:sz w:val="24"/>
        </w:rPr>
        <w:t>1</w:t>
      </w:r>
      <w:r w:rsidRPr="005E3E9F">
        <w:rPr>
          <w:rFonts w:hint="eastAsia"/>
          <w:bCs/>
          <w:sz w:val="24"/>
        </w:rPr>
        <w:t>年）的债券为指数成份券，与基金投资策略相</w:t>
      </w:r>
      <w:r w:rsidRPr="005E3E9F">
        <w:rPr>
          <w:rFonts w:hint="eastAsia"/>
          <w:bCs/>
          <w:sz w:val="24"/>
        </w:rPr>
        <w:lastRenderedPageBreak/>
        <w:t>匹配，</w:t>
      </w:r>
      <w:r w:rsidRPr="005E3E9F">
        <w:rPr>
          <w:rFonts w:ascii="宋体" w:hAnsi="宋体" w:cs="宋体" w:hint="eastAsia"/>
          <w:color w:val="000000"/>
          <w:kern w:val="0"/>
          <w:sz w:val="24"/>
        </w:rPr>
        <w:t>适合作为本基金债券部分的业绩比较基准要素</w:t>
      </w:r>
      <w:r w:rsidRPr="005E3E9F">
        <w:rPr>
          <w:rFonts w:hint="eastAsia"/>
          <w:bCs/>
          <w:sz w:val="24"/>
        </w:rPr>
        <w:t>。</w:t>
      </w:r>
    </w:p>
    <w:p w:rsidR="00DB009B" w:rsidRPr="005E3E9F" w:rsidRDefault="00DB009B" w:rsidP="00DB009B">
      <w:pPr>
        <w:spacing w:line="360" w:lineRule="auto"/>
        <w:ind w:firstLineChars="200" w:firstLine="480"/>
        <w:rPr>
          <w:bCs/>
          <w:sz w:val="24"/>
        </w:rPr>
      </w:pPr>
      <w:r w:rsidRPr="005E3E9F">
        <w:rPr>
          <w:rFonts w:hint="eastAsia"/>
          <w:bCs/>
          <w:sz w:val="24"/>
        </w:rPr>
        <w:t>此外，基于本基金历史持仓，并结合基金合同约定的投资比例限制以及本基金预期的资产配置比例中枢，将业绩比较基准中的股票资产所对应的基准要素权重从</w:t>
      </w:r>
      <w:r w:rsidRPr="005E3E9F">
        <w:rPr>
          <w:bCs/>
          <w:sz w:val="24"/>
        </w:rPr>
        <w:t>6</w:t>
      </w:r>
      <w:r w:rsidRPr="005E3E9F">
        <w:rPr>
          <w:rFonts w:hint="eastAsia"/>
          <w:bCs/>
          <w:sz w:val="24"/>
        </w:rPr>
        <w:t>0%</w:t>
      </w:r>
      <w:r w:rsidRPr="005E3E9F">
        <w:rPr>
          <w:rFonts w:hint="eastAsia"/>
          <w:bCs/>
          <w:sz w:val="24"/>
        </w:rPr>
        <w:t>提高至</w:t>
      </w:r>
      <w:r w:rsidRPr="005E3E9F">
        <w:rPr>
          <w:rFonts w:hint="eastAsia"/>
          <w:bCs/>
          <w:sz w:val="24"/>
        </w:rPr>
        <w:t>90%</w:t>
      </w:r>
      <w:r w:rsidRPr="005E3E9F">
        <w:rPr>
          <w:rFonts w:hint="eastAsia"/>
          <w:bCs/>
          <w:sz w:val="24"/>
        </w:rPr>
        <w:t>，将业绩比较基准中的债券资产所对应的基准要素权重从</w:t>
      </w:r>
      <w:r w:rsidRPr="005E3E9F">
        <w:rPr>
          <w:bCs/>
          <w:sz w:val="24"/>
        </w:rPr>
        <w:t>4</w:t>
      </w:r>
      <w:r w:rsidRPr="005E3E9F">
        <w:rPr>
          <w:rFonts w:hint="eastAsia"/>
          <w:bCs/>
          <w:sz w:val="24"/>
        </w:rPr>
        <w:t>0%</w:t>
      </w:r>
      <w:r w:rsidRPr="005E3E9F">
        <w:rPr>
          <w:rFonts w:hint="eastAsia"/>
          <w:bCs/>
          <w:sz w:val="24"/>
        </w:rPr>
        <w:t>降低至</w:t>
      </w:r>
      <w:r w:rsidRPr="005E3E9F">
        <w:rPr>
          <w:rFonts w:hint="eastAsia"/>
          <w:bCs/>
          <w:sz w:val="24"/>
        </w:rPr>
        <w:t>10%</w:t>
      </w:r>
      <w:r w:rsidRPr="005E3E9F">
        <w:rPr>
          <w:rFonts w:hint="eastAsia"/>
          <w:bCs/>
          <w:sz w:val="24"/>
        </w:rPr>
        <w:t>，从而使得新业绩比较基准中各大资产类别所对应的基准要素权重与基金投资策略和基金过往实际投资运作等相匹配。</w:t>
      </w:r>
    </w:p>
    <w:p w:rsidR="00DB009B" w:rsidRPr="005E3E9F" w:rsidRDefault="00DB009B" w:rsidP="00DB009B">
      <w:pPr>
        <w:spacing w:line="360" w:lineRule="auto"/>
        <w:ind w:firstLineChars="200" w:firstLine="480"/>
        <w:rPr>
          <w:bCs/>
          <w:sz w:val="24"/>
        </w:rPr>
      </w:pPr>
      <w:r w:rsidRPr="005E3E9F">
        <w:rPr>
          <w:rFonts w:hint="eastAsia"/>
          <w:bCs/>
          <w:sz w:val="24"/>
        </w:rPr>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景顺长城创新成长混合型证券投资基金</w:t>
      </w:r>
    </w:p>
    <w:p w:rsidR="00DB009B" w:rsidRPr="005E3E9F" w:rsidRDefault="00DB009B" w:rsidP="00DB009B">
      <w:pPr>
        <w:spacing w:line="360" w:lineRule="auto"/>
        <w:ind w:firstLineChars="200" w:firstLine="480"/>
        <w:rPr>
          <w:bCs/>
          <w:sz w:val="24"/>
        </w:rPr>
      </w:pPr>
      <w:r w:rsidRPr="005E3E9F">
        <w:rPr>
          <w:bCs/>
          <w:sz w:val="24"/>
        </w:rPr>
        <w:t>此次本基金业绩比较基准调整同时涉及</w:t>
      </w:r>
      <w:r w:rsidRPr="005E3E9F">
        <w:rPr>
          <w:rFonts w:hint="eastAsia"/>
          <w:bCs/>
          <w:sz w:val="24"/>
        </w:rPr>
        <w:t>更换业绩比较基准要素和调整业绩比较基准的要素权重</w:t>
      </w:r>
      <w:r w:rsidRPr="005E3E9F">
        <w:rPr>
          <w:bCs/>
          <w:sz w:val="24"/>
        </w:rPr>
        <w:t>。</w:t>
      </w:r>
      <w:r w:rsidRPr="005E3E9F">
        <w:rPr>
          <w:bCs/>
          <w:sz w:val="24"/>
        </w:rPr>
        <w:t xml:space="preserve"> </w:t>
      </w:r>
    </w:p>
    <w:p w:rsidR="00DB009B" w:rsidRPr="005E3E9F" w:rsidRDefault="00DB009B" w:rsidP="00DB009B">
      <w:pPr>
        <w:spacing w:line="360" w:lineRule="auto"/>
        <w:ind w:firstLineChars="200" w:firstLine="480"/>
        <w:rPr>
          <w:bCs/>
          <w:sz w:val="24"/>
        </w:rPr>
      </w:pPr>
      <w:r w:rsidRPr="005E3E9F">
        <w:rPr>
          <w:bCs/>
          <w:sz w:val="24"/>
        </w:rPr>
        <w:t>本基金将</w:t>
      </w:r>
      <w:r w:rsidRPr="005E3E9F">
        <w:rPr>
          <w:rFonts w:hint="eastAsia"/>
          <w:bCs/>
          <w:sz w:val="24"/>
        </w:rPr>
        <w:t>代表</w:t>
      </w:r>
      <w:r w:rsidRPr="005E3E9F">
        <w:rPr>
          <w:rFonts w:hint="eastAsia"/>
          <w:bCs/>
          <w:sz w:val="24"/>
        </w:rPr>
        <w:t>A</w:t>
      </w:r>
      <w:r w:rsidRPr="005E3E9F">
        <w:rPr>
          <w:rFonts w:hint="eastAsia"/>
          <w:bCs/>
          <w:sz w:val="24"/>
        </w:rPr>
        <w:t>股股票资产的</w:t>
      </w:r>
      <w:r w:rsidRPr="005E3E9F">
        <w:rPr>
          <w:bCs/>
          <w:sz w:val="24"/>
        </w:rPr>
        <w:t>业绩比较基准</w:t>
      </w:r>
      <w:r w:rsidRPr="005E3E9F">
        <w:rPr>
          <w:rFonts w:hint="eastAsia"/>
          <w:bCs/>
          <w:sz w:val="24"/>
        </w:rPr>
        <w:t>要素由“中证</w:t>
      </w:r>
      <w:r w:rsidRPr="005E3E9F">
        <w:rPr>
          <w:rFonts w:hint="eastAsia"/>
          <w:bCs/>
          <w:sz w:val="24"/>
        </w:rPr>
        <w:t>800</w:t>
      </w:r>
      <w:r w:rsidRPr="005E3E9F">
        <w:rPr>
          <w:rFonts w:hint="eastAsia"/>
          <w:bCs/>
          <w:sz w:val="24"/>
        </w:rPr>
        <w:t>指数”</w:t>
      </w:r>
      <w:r w:rsidRPr="005E3E9F">
        <w:rPr>
          <w:bCs/>
          <w:sz w:val="24"/>
        </w:rPr>
        <w:t>调整为</w:t>
      </w:r>
      <w:r w:rsidRPr="005E3E9F">
        <w:rPr>
          <w:rFonts w:hint="eastAsia"/>
          <w:bCs/>
          <w:sz w:val="24"/>
        </w:rPr>
        <w:t>“中证</w:t>
      </w:r>
      <w:r w:rsidRPr="005E3E9F">
        <w:rPr>
          <w:rFonts w:hint="eastAsia"/>
          <w:bCs/>
          <w:sz w:val="24"/>
        </w:rPr>
        <w:t>800</w:t>
      </w:r>
      <w:r w:rsidRPr="005E3E9F">
        <w:rPr>
          <w:rFonts w:hint="eastAsia"/>
          <w:bCs/>
          <w:sz w:val="24"/>
        </w:rPr>
        <w:t>成长指数”，将代表债券资产部分的业绩比较基准要素由“中证综合债券指数”调整为“中债</w:t>
      </w:r>
      <w:r w:rsidRPr="005E3E9F">
        <w:rPr>
          <w:bCs/>
          <w:sz w:val="24"/>
        </w:rPr>
        <w:t>-</w:t>
      </w:r>
      <w:r w:rsidRPr="005E3E9F">
        <w:rPr>
          <w:bCs/>
          <w:sz w:val="24"/>
        </w:rPr>
        <w:t>综合财富</w:t>
      </w:r>
      <w:r w:rsidRPr="005E3E9F">
        <w:rPr>
          <w:bCs/>
          <w:sz w:val="24"/>
        </w:rPr>
        <w:t>(1-3</w:t>
      </w:r>
      <w:r w:rsidRPr="005E3E9F">
        <w:rPr>
          <w:bCs/>
          <w:sz w:val="24"/>
        </w:rPr>
        <w:t>年</w:t>
      </w:r>
      <w:r w:rsidRPr="005E3E9F">
        <w:rPr>
          <w:bCs/>
          <w:sz w:val="24"/>
        </w:rPr>
        <w:t>)</w:t>
      </w:r>
      <w:r w:rsidRPr="005E3E9F">
        <w:rPr>
          <w:bCs/>
          <w:sz w:val="24"/>
        </w:rPr>
        <w:t>指数</w:t>
      </w:r>
      <w:r w:rsidRPr="005E3E9F">
        <w:rPr>
          <w:rFonts w:hint="eastAsia"/>
          <w:bCs/>
          <w:sz w:val="24"/>
        </w:rPr>
        <w:t>”。</w:t>
      </w:r>
    </w:p>
    <w:p w:rsidR="00DB009B" w:rsidRPr="005E3E9F" w:rsidRDefault="00DB009B" w:rsidP="00DB009B">
      <w:pPr>
        <w:spacing w:line="360" w:lineRule="auto"/>
        <w:ind w:firstLineChars="200" w:firstLine="480"/>
        <w:rPr>
          <w:bCs/>
          <w:sz w:val="24"/>
        </w:rPr>
      </w:pPr>
      <w:r w:rsidRPr="005E3E9F">
        <w:rPr>
          <w:bCs/>
          <w:sz w:val="24"/>
        </w:rPr>
        <w:t>本基金的股票资产主要投向</w:t>
      </w:r>
      <w:r w:rsidRPr="005E3E9F">
        <w:rPr>
          <w:rFonts w:hint="eastAsia"/>
          <w:bCs/>
          <w:sz w:val="24"/>
        </w:rPr>
        <w:t>本基金所界定的“创新成长”主题相关股票。</w:t>
      </w:r>
      <w:r w:rsidRPr="005E3E9F">
        <w:rPr>
          <w:bCs/>
          <w:sz w:val="24"/>
        </w:rPr>
        <w:t>原业绩比较基准</w:t>
      </w:r>
      <w:r w:rsidRPr="005E3E9F">
        <w:rPr>
          <w:rFonts w:hint="eastAsia"/>
          <w:bCs/>
          <w:sz w:val="24"/>
        </w:rPr>
        <w:t>要素“中证</w:t>
      </w:r>
      <w:r w:rsidRPr="005E3E9F">
        <w:rPr>
          <w:bCs/>
          <w:sz w:val="24"/>
        </w:rPr>
        <w:t>800</w:t>
      </w:r>
      <w:r w:rsidRPr="005E3E9F">
        <w:rPr>
          <w:bCs/>
          <w:sz w:val="24"/>
        </w:rPr>
        <w:t>指数</w:t>
      </w:r>
      <w:r w:rsidRPr="005E3E9F">
        <w:rPr>
          <w:rFonts w:hint="eastAsia"/>
          <w:bCs/>
          <w:sz w:val="24"/>
        </w:rPr>
        <w:t>”由中证</w:t>
      </w:r>
      <w:r w:rsidRPr="005E3E9F">
        <w:rPr>
          <w:bCs/>
          <w:sz w:val="24"/>
        </w:rPr>
        <w:t>500</w:t>
      </w:r>
      <w:r w:rsidRPr="005E3E9F">
        <w:rPr>
          <w:bCs/>
          <w:sz w:val="24"/>
        </w:rPr>
        <w:t>指数和沪深</w:t>
      </w:r>
      <w:r w:rsidRPr="005E3E9F">
        <w:rPr>
          <w:bCs/>
          <w:sz w:val="24"/>
        </w:rPr>
        <w:t>300</w:t>
      </w:r>
      <w:r w:rsidRPr="005E3E9F">
        <w:rPr>
          <w:bCs/>
          <w:sz w:val="24"/>
        </w:rPr>
        <w:t>指数成份股组成，综合反映中国</w:t>
      </w:r>
      <w:r w:rsidRPr="005E3E9F">
        <w:rPr>
          <w:bCs/>
          <w:sz w:val="24"/>
        </w:rPr>
        <w:t>A</w:t>
      </w:r>
      <w:r w:rsidRPr="005E3E9F">
        <w:rPr>
          <w:bCs/>
          <w:sz w:val="24"/>
        </w:rPr>
        <w:t>股市场大中小市值公司的股票价格表现</w:t>
      </w:r>
      <w:r w:rsidRPr="005E3E9F">
        <w:rPr>
          <w:rFonts w:hint="eastAsia"/>
          <w:bCs/>
          <w:sz w:val="24"/>
        </w:rPr>
        <w:t>。</w:t>
      </w:r>
      <w:r w:rsidRPr="005E3E9F">
        <w:rPr>
          <w:bCs/>
          <w:sz w:val="24"/>
        </w:rPr>
        <w:t>调整后的新业绩比较基准</w:t>
      </w:r>
      <w:r w:rsidRPr="005E3E9F">
        <w:rPr>
          <w:rFonts w:hint="eastAsia"/>
          <w:bCs/>
          <w:sz w:val="24"/>
        </w:rPr>
        <w:t>要素“中证</w:t>
      </w:r>
      <w:r w:rsidRPr="005E3E9F">
        <w:rPr>
          <w:rFonts w:hint="eastAsia"/>
          <w:bCs/>
          <w:sz w:val="24"/>
        </w:rPr>
        <w:t>800</w:t>
      </w:r>
      <w:r w:rsidRPr="005E3E9F">
        <w:rPr>
          <w:rFonts w:hint="eastAsia"/>
          <w:bCs/>
          <w:sz w:val="24"/>
        </w:rPr>
        <w:t>成长指数”从中证</w:t>
      </w:r>
      <w:r w:rsidRPr="005E3E9F">
        <w:rPr>
          <w:bCs/>
          <w:sz w:val="24"/>
        </w:rPr>
        <w:t>800</w:t>
      </w:r>
      <w:r w:rsidRPr="005E3E9F">
        <w:rPr>
          <w:bCs/>
          <w:sz w:val="24"/>
        </w:rPr>
        <w:t>指数样本中，选取成长因子得分最高的</w:t>
      </w:r>
      <w:r w:rsidRPr="005E3E9F">
        <w:rPr>
          <w:bCs/>
          <w:sz w:val="24"/>
        </w:rPr>
        <w:t>150</w:t>
      </w:r>
      <w:r w:rsidRPr="005E3E9F">
        <w:rPr>
          <w:bCs/>
          <w:sz w:val="24"/>
        </w:rPr>
        <w:t>只证券作为指数样本，并采用成长因子得分调整后的自由流通市值加权，反映中证</w:t>
      </w:r>
      <w:r w:rsidRPr="005E3E9F">
        <w:rPr>
          <w:bCs/>
          <w:sz w:val="24"/>
        </w:rPr>
        <w:t>800</w:t>
      </w:r>
      <w:r w:rsidRPr="005E3E9F">
        <w:rPr>
          <w:bCs/>
          <w:sz w:val="24"/>
        </w:rPr>
        <w:t>指数样本中具有成长特征的上市公司证券的整体表现，</w:t>
      </w:r>
      <w:r w:rsidRPr="005E3E9F">
        <w:rPr>
          <w:rFonts w:hint="eastAsia"/>
          <w:bCs/>
          <w:sz w:val="24"/>
        </w:rPr>
        <w:t>符合本基金投资主题，</w:t>
      </w:r>
      <w:r w:rsidRPr="005E3E9F">
        <w:rPr>
          <w:rFonts w:hint="eastAsia"/>
          <w:sz w:val="24"/>
        </w:rPr>
        <w:t>适合作为本基金</w:t>
      </w:r>
      <w:r w:rsidRPr="005E3E9F">
        <w:rPr>
          <w:rFonts w:hint="eastAsia"/>
          <w:sz w:val="24"/>
        </w:rPr>
        <w:t>A</w:t>
      </w:r>
      <w:r w:rsidRPr="005E3E9F">
        <w:rPr>
          <w:rFonts w:hint="eastAsia"/>
          <w:sz w:val="24"/>
        </w:rPr>
        <w:t>股股票部分的业绩比较基准要素</w:t>
      </w:r>
      <w:r w:rsidRPr="005E3E9F">
        <w:rPr>
          <w:bCs/>
          <w:sz w:val="24"/>
        </w:rPr>
        <w:t>。</w:t>
      </w:r>
    </w:p>
    <w:p w:rsidR="00DB009B" w:rsidRPr="005E3E9F" w:rsidRDefault="00DB009B" w:rsidP="00DB009B">
      <w:pPr>
        <w:spacing w:line="360" w:lineRule="auto"/>
        <w:ind w:firstLineChars="200" w:firstLine="480"/>
        <w:rPr>
          <w:bCs/>
          <w:sz w:val="24"/>
        </w:rPr>
      </w:pPr>
      <w:r w:rsidRPr="005E3E9F">
        <w:rPr>
          <w:rFonts w:ascii="宋体" w:hAnsi="宋体" w:cs="宋体" w:hint="eastAsia"/>
          <w:color w:val="000000"/>
          <w:kern w:val="0"/>
          <w:sz w:val="24"/>
        </w:rPr>
        <w:t>本基金的债券资产采用全市场策略，主要通过类属配置与券种选择进行投资管理，预期组合久期整体偏向于中短久期。</w:t>
      </w:r>
      <w:r w:rsidRPr="005E3E9F">
        <w:rPr>
          <w:rFonts w:hint="eastAsia"/>
          <w:bCs/>
          <w:sz w:val="24"/>
        </w:rPr>
        <w:t>原业绩比较基准要素“中证综合债券指数”</w:t>
      </w:r>
      <w:r w:rsidRPr="005E3E9F">
        <w:rPr>
          <w:rFonts w:ascii="宋体" w:hAnsi="宋体" w:cs="宋体" w:hint="eastAsia"/>
          <w:color w:val="000000"/>
          <w:kern w:val="0"/>
          <w:sz w:val="24"/>
        </w:rPr>
        <w:t>由在沪深证券交易所及银行间市场上市的剩余期限1个月以上的国债、金融债、企业债、央行票据及企业短期融资券构成，久</w:t>
      </w:r>
      <w:r w:rsidRPr="005E3E9F">
        <w:rPr>
          <w:rFonts w:hint="eastAsia"/>
          <w:bCs/>
          <w:sz w:val="24"/>
        </w:rPr>
        <w:t>期较长</w:t>
      </w:r>
      <w:r w:rsidRPr="005E3E9F">
        <w:rPr>
          <w:bCs/>
          <w:sz w:val="24"/>
        </w:rPr>
        <w:t>。</w:t>
      </w:r>
      <w:r w:rsidRPr="005E3E9F">
        <w:rPr>
          <w:rFonts w:hint="eastAsia"/>
          <w:bCs/>
          <w:sz w:val="24"/>
        </w:rPr>
        <w:t>调整后的新业绩比较基准要素“中债</w:t>
      </w:r>
      <w:r w:rsidRPr="005E3E9F">
        <w:rPr>
          <w:bCs/>
          <w:sz w:val="24"/>
        </w:rPr>
        <w:t>-</w:t>
      </w:r>
      <w:r w:rsidRPr="005E3E9F">
        <w:rPr>
          <w:bCs/>
          <w:sz w:val="24"/>
        </w:rPr>
        <w:t>综合财富</w:t>
      </w:r>
      <w:r w:rsidRPr="005E3E9F">
        <w:rPr>
          <w:bCs/>
          <w:sz w:val="24"/>
        </w:rPr>
        <w:t>(1-3</w:t>
      </w:r>
      <w:r w:rsidRPr="005E3E9F">
        <w:rPr>
          <w:bCs/>
          <w:sz w:val="24"/>
        </w:rPr>
        <w:t>年</w:t>
      </w:r>
      <w:r w:rsidRPr="005E3E9F">
        <w:rPr>
          <w:bCs/>
          <w:sz w:val="24"/>
        </w:rPr>
        <w:t>)</w:t>
      </w:r>
      <w:r w:rsidRPr="005E3E9F">
        <w:rPr>
          <w:bCs/>
          <w:sz w:val="24"/>
        </w:rPr>
        <w:t>指数</w:t>
      </w:r>
      <w:r w:rsidRPr="005E3E9F">
        <w:rPr>
          <w:rFonts w:hint="eastAsia"/>
          <w:bCs/>
          <w:sz w:val="24"/>
        </w:rPr>
        <w:t>”</w:t>
      </w:r>
      <w:r w:rsidRPr="005E3E9F">
        <w:rPr>
          <w:bCs/>
          <w:sz w:val="24"/>
        </w:rPr>
        <w:t>则选取中债</w:t>
      </w:r>
      <w:r w:rsidRPr="005E3E9F">
        <w:rPr>
          <w:bCs/>
          <w:sz w:val="24"/>
        </w:rPr>
        <w:t>-</w:t>
      </w:r>
      <w:r w:rsidRPr="005E3E9F">
        <w:rPr>
          <w:bCs/>
          <w:sz w:val="24"/>
        </w:rPr>
        <w:t>综合指数成分券中待偿期限为</w:t>
      </w:r>
      <w:r w:rsidRPr="005E3E9F">
        <w:rPr>
          <w:bCs/>
          <w:sz w:val="24"/>
        </w:rPr>
        <w:t>1-3</w:t>
      </w:r>
      <w:r w:rsidRPr="005E3E9F">
        <w:rPr>
          <w:bCs/>
          <w:sz w:val="24"/>
        </w:rPr>
        <w:t>年（含</w:t>
      </w:r>
      <w:r w:rsidRPr="005E3E9F">
        <w:rPr>
          <w:bCs/>
          <w:sz w:val="24"/>
        </w:rPr>
        <w:t>1</w:t>
      </w:r>
      <w:r w:rsidRPr="005E3E9F">
        <w:rPr>
          <w:bCs/>
          <w:sz w:val="24"/>
        </w:rPr>
        <w:t>年）的债券为指数成份券，与基金投资策略相匹配，</w:t>
      </w:r>
      <w:r w:rsidRPr="005E3E9F">
        <w:rPr>
          <w:rFonts w:ascii="宋体" w:hAnsi="宋体" w:cs="宋体" w:hint="eastAsia"/>
          <w:color w:val="000000"/>
          <w:kern w:val="0"/>
          <w:sz w:val="24"/>
        </w:rPr>
        <w:t>适合作为本基金债券部分的业绩比较基准要素</w:t>
      </w:r>
      <w:r>
        <w:rPr>
          <w:rFonts w:ascii="宋体" w:hAnsi="宋体" w:cs="宋体" w:hint="eastAsia"/>
          <w:color w:val="000000"/>
          <w:kern w:val="0"/>
          <w:sz w:val="24"/>
        </w:rPr>
        <w:t>。</w:t>
      </w:r>
    </w:p>
    <w:p w:rsidR="00DB009B" w:rsidRPr="005E3E9F" w:rsidRDefault="00DB009B" w:rsidP="00DB009B">
      <w:pPr>
        <w:spacing w:line="360" w:lineRule="auto"/>
        <w:ind w:firstLineChars="200" w:firstLine="480"/>
        <w:rPr>
          <w:bCs/>
          <w:sz w:val="24"/>
        </w:rPr>
      </w:pPr>
      <w:r w:rsidRPr="005E3E9F">
        <w:rPr>
          <w:rFonts w:hint="eastAsia"/>
          <w:bCs/>
          <w:sz w:val="24"/>
        </w:rPr>
        <w:lastRenderedPageBreak/>
        <w:t>此外，基于本基金历史持仓，并结合基金合同约定的投资比例限制以及本基金预期的资产配置比例中枢，将业绩比较基准中的股票资产所对应的基准要素权重从</w:t>
      </w:r>
      <w:r w:rsidRPr="005E3E9F">
        <w:rPr>
          <w:bCs/>
          <w:sz w:val="24"/>
        </w:rPr>
        <w:t>70%</w:t>
      </w:r>
      <w:r w:rsidRPr="005E3E9F">
        <w:rPr>
          <w:bCs/>
          <w:sz w:val="24"/>
        </w:rPr>
        <w:t>提高至</w:t>
      </w:r>
      <w:r w:rsidRPr="005E3E9F">
        <w:rPr>
          <w:bCs/>
          <w:sz w:val="24"/>
        </w:rPr>
        <w:t>90%</w:t>
      </w:r>
      <w:r w:rsidRPr="005E3E9F">
        <w:rPr>
          <w:bCs/>
          <w:sz w:val="24"/>
        </w:rPr>
        <w:t>（其中</w:t>
      </w:r>
      <w:r w:rsidRPr="005E3E9F">
        <w:rPr>
          <w:bCs/>
          <w:sz w:val="24"/>
        </w:rPr>
        <w:t>A</w:t>
      </w:r>
      <w:r w:rsidRPr="005E3E9F">
        <w:rPr>
          <w:bCs/>
          <w:sz w:val="24"/>
        </w:rPr>
        <w:t>股股票部分的基准要素权重相应从</w:t>
      </w:r>
      <w:r w:rsidRPr="005E3E9F">
        <w:rPr>
          <w:bCs/>
          <w:sz w:val="24"/>
        </w:rPr>
        <w:t>50%</w:t>
      </w:r>
      <w:r w:rsidRPr="005E3E9F">
        <w:rPr>
          <w:bCs/>
          <w:sz w:val="24"/>
        </w:rPr>
        <w:t>提高至</w:t>
      </w:r>
      <w:r w:rsidRPr="005E3E9F">
        <w:rPr>
          <w:bCs/>
          <w:sz w:val="24"/>
        </w:rPr>
        <w:t>80%</w:t>
      </w:r>
      <w:r w:rsidRPr="005E3E9F">
        <w:rPr>
          <w:bCs/>
          <w:sz w:val="24"/>
        </w:rPr>
        <w:t>，港股通标的股票部分的基准要素</w:t>
      </w:r>
      <w:r w:rsidRPr="005E3E9F">
        <w:rPr>
          <w:rFonts w:hint="eastAsia"/>
          <w:bCs/>
          <w:sz w:val="24"/>
        </w:rPr>
        <w:t>权重从</w:t>
      </w:r>
      <w:r w:rsidRPr="005E3E9F">
        <w:rPr>
          <w:bCs/>
          <w:sz w:val="24"/>
        </w:rPr>
        <w:t>20%</w:t>
      </w:r>
      <w:r w:rsidRPr="005E3E9F">
        <w:rPr>
          <w:bCs/>
          <w:sz w:val="24"/>
        </w:rPr>
        <w:t>降低至</w:t>
      </w:r>
      <w:r w:rsidRPr="005E3E9F">
        <w:rPr>
          <w:bCs/>
          <w:sz w:val="24"/>
        </w:rPr>
        <w:t>10%</w:t>
      </w:r>
      <w:r w:rsidRPr="005E3E9F">
        <w:rPr>
          <w:bCs/>
          <w:sz w:val="24"/>
        </w:rPr>
        <w:t>），将业绩比较基准中的债券资产所对应的基准要素权重从</w:t>
      </w:r>
      <w:r w:rsidRPr="005E3E9F">
        <w:rPr>
          <w:bCs/>
          <w:sz w:val="24"/>
        </w:rPr>
        <w:t>30%</w:t>
      </w:r>
      <w:r w:rsidRPr="005E3E9F">
        <w:rPr>
          <w:bCs/>
          <w:sz w:val="24"/>
        </w:rPr>
        <w:t>降低至</w:t>
      </w:r>
      <w:r w:rsidRPr="005E3E9F">
        <w:rPr>
          <w:bCs/>
          <w:sz w:val="24"/>
        </w:rPr>
        <w:t>10%</w:t>
      </w:r>
      <w:r w:rsidRPr="005E3E9F">
        <w:rPr>
          <w:bCs/>
          <w:sz w:val="24"/>
        </w:rPr>
        <w:t>，从而使得新业绩比较基准中各大资产类别所对应的基准要素权重与基金</w:t>
      </w:r>
      <w:r w:rsidRPr="005E3E9F">
        <w:rPr>
          <w:rFonts w:hint="eastAsia"/>
          <w:bCs/>
          <w:sz w:val="24"/>
        </w:rPr>
        <w:t>投资策略</w:t>
      </w:r>
      <w:r w:rsidRPr="005E3E9F">
        <w:rPr>
          <w:bCs/>
          <w:sz w:val="24"/>
        </w:rPr>
        <w:t>和基金过往实际投资运作等相匹配。</w:t>
      </w:r>
    </w:p>
    <w:p w:rsidR="00DB009B" w:rsidRPr="005E3E9F" w:rsidRDefault="00DB009B" w:rsidP="00DB009B">
      <w:pPr>
        <w:spacing w:line="360" w:lineRule="auto"/>
        <w:ind w:firstLineChars="200" w:firstLine="480"/>
        <w:rPr>
          <w:bCs/>
          <w:sz w:val="24"/>
        </w:rPr>
      </w:pPr>
      <w:r w:rsidRPr="005E3E9F">
        <w:rPr>
          <w:bCs/>
          <w:sz w:val="24"/>
        </w:rPr>
        <w:t>上述调整</w:t>
      </w:r>
      <w:r w:rsidRPr="005E3E9F">
        <w:rPr>
          <w:rFonts w:hint="eastAsia"/>
          <w:bCs/>
          <w:sz w:val="24"/>
        </w:rPr>
        <w:t>符合《公开募集证券投资基金业绩比较基准指引》和《公开募集证券投资基金业绩比较基准操作细则》的要求，</w:t>
      </w:r>
      <w:r w:rsidRPr="005E3E9F">
        <w:rPr>
          <w:bCs/>
          <w:sz w:val="24"/>
        </w:rPr>
        <w:t>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景顺长城电子信息产业股票型证券投资基金</w:t>
      </w:r>
    </w:p>
    <w:p w:rsidR="00DB009B" w:rsidRPr="005E3E9F" w:rsidRDefault="00DB009B" w:rsidP="00DB009B">
      <w:pPr>
        <w:spacing w:line="360" w:lineRule="auto"/>
        <w:ind w:firstLineChars="200" w:firstLine="480"/>
        <w:rPr>
          <w:bCs/>
          <w:sz w:val="24"/>
        </w:rPr>
      </w:pPr>
      <w:r w:rsidRPr="005E3E9F">
        <w:rPr>
          <w:bCs/>
          <w:sz w:val="24"/>
        </w:rPr>
        <w:t>此次本基金业绩比较基准调整同时涉及</w:t>
      </w:r>
      <w:r w:rsidRPr="005E3E9F">
        <w:rPr>
          <w:rFonts w:hint="eastAsia"/>
          <w:bCs/>
          <w:sz w:val="24"/>
        </w:rPr>
        <w:t>更换业绩比较基准要素和调整业绩比较基准的要素权重</w:t>
      </w:r>
      <w:r w:rsidRPr="005E3E9F">
        <w:rPr>
          <w:bCs/>
          <w:sz w:val="24"/>
        </w:rPr>
        <w:t>。</w:t>
      </w:r>
      <w:r w:rsidRPr="005E3E9F">
        <w:rPr>
          <w:bCs/>
          <w:sz w:val="24"/>
        </w:rPr>
        <w:t xml:space="preserve"> </w:t>
      </w:r>
    </w:p>
    <w:p w:rsidR="00DB009B" w:rsidRPr="005E3E9F" w:rsidRDefault="00DB009B" w:rsidP="00DB009B">
      <w:pPr>
        <w:spacing w:line="360" w:lineRule="auto"/>
        <w:ind w:firstLineChars="200" w:firstLine="480"/>
        <w:rPr>
          <w:bCs/>
          <w:sz w:val="24"/>
        </w:rPr>
      </w:pPr>
      <w:r w:rsidRPr="005E3E9F">
        <w:rPr>
          <w:bCs/>
          <w:sz w:val="24"/>
        </w:rPr>
        <w:t>本基金将</w:t>
      </w:r>
      <w:r w:rsidRPr="005E3E9F">
        <w:rPr>
          <w:rFonts w:hint="eastAsia"/>
          <w:bCs/>
          <w:sz w:val="24"/>
        </w:rPr>
        <w:t>代表</w:t>
      </w:r>
      <w:r w:rsidRPr="005E3E9F">
        <w:rPr>
          <w:rFonts w:hint="eastAsia"/>
          <w:bCs/>
          <w:sz w:val="24"/>
        </w:rPr>
        <w:t>A</w:t>
      </w:r>
      <w:r w:rsidRPr="005E3E9F">
        <w:rPr>
          <w:rFonts w:hint="eastAsia"/>
          <w:bCs/>
          <w:sz w:val="24"/>
        </w:rPr>
        <w:t>股股票资产的</w:t>
      </w:r>
      <w:r w:rsidRPr="005E3E9F">
        <w:rPr>
          <w:bCs/>
          <w:sz w:val="24"/>
        </w:rPr>
        <w:t>业绩比较基准</w:t>
      </w:r>
      <w:r w:rsidRPr="005E3E9F">
        <w:rPr>
          <w:rFonts w:hint="eastAsia"/>
          <w:bCs/>
          <w:sz w:val="24"/>
        </w:rPr>
        <w:t>要素由“中证</w:t>
      </w:r>
      <w:r w:rsidRPr="005E3E9F">
        <w:rPr>
          <w:rFonts w:hint="eastAsia"/>
          <w:bCs/>
          <w:sz w:val="24"/>
        </w:rPr>
        <w:t>TMT</w:t>
      </w:r>
      <w:r w:rsidRPr="005E3E9F">
        <w:rPr>
          <w:rFonts w:hint="eastAsia"/>
          <w:bCs/>
          <w:sz w:val="24"/>
        </w:rPr>
        <w:t>产业主题指数”</w:t>
      </w:r>
      <w:r w:rsidRPr="005E3E9F">
        <w:rPr>
          <w:bCs/>
          <w:sz w:val="24"/>
        </w:rPr>
        <w:t>调整为</w:t>
      </w:r>
      <w:r w:rsidRPr="005E3E9F">
        <w:rPr>
          <w:rFonts w:hint="eastAsia"/>
          <w:bCs/>
          <w:sz w:val="24"/>
        </w:rPr>
        <w:t>“中证全指信息技术指数”，并增加代表债券资产的业绩比较基准要素“中债</w:t>
      </w:r>
      <w:r w:rsidRPr="005E3E9F">
        <w:rPr>
          <w:rFonts w:hint="eastAsia"/>
          <w:bCs/>
          <w:sz w:val="24"/>
        </w:rPr>
        <w:t>-</w:t>
      </w:r>
      <w:r w:rsidRPr="005E3E9F">
        <w:rPr>
          <w:rFonts w:hint="eastAsia"/>
          <w:bCs/>
          <w:sz w:val="24"/>
        </w:rPr>
        <w:t>综合全价</w:t>
      </w:r>
      <w:r w:rsidRPr="005E3E9F">
        <w:rPr>
          <w:rFonts w:hint="eastAsia"/>
          <w:bCs/>
          <w:sz w:val="24"/>
        </w:rPr>
        <w:t>(1-3</w:t>
      </w:r>
      <w:r w:rsidRPr="005E3E9F">
        <w:rPr>
          <w:rFonts w:hint="eastAsia"/>
          <w:bCs/>
          <w:sz w:val="24"/>
        </w:rPr>
        <w:t>年</w:t>
      </w:r>
      <w:r w:rsidRPr="005E3E9F">
        <w:rPr>
          <w:rFonts w:hint="eastAsia"/>
          <w:bCs/>
          <w:sz w:val="24"/>
        </w:rPr>
        <w:t>)</w:t>
      </w:r>
      <w:r w:rsidRPr="005E3E9F">
        <w:rPr>
          <w:rFonts w:hint="eastAsia"/>
          <w:bCs/>
          <w:sz w:val="24"/>
        </w:rPr>
        <w:t>指数”。</w:t>
      </w:r>
    </w:p>
    <w:p w:rsidR="00DB009B" w:rsidRPr="005E3E9F" w:rsidRDefault="00DB009B" w:rsidP="00DB009B">
      <w:pPr>
        <w:spacing w:line="360" w:lineRule="auto"/>
        <w:ind w:firstLineChars="200" w:firstLine="480"/>
        <w:rPr>
          <w:bCs/>
          <w:sz w:val="24"/>
        </w:rPr>
      </w:pPr>
      <w:r w:rsidRPr="005E3E9F">
        <w:rPr>
          <w:bCs/>
          <w:sz w:val="24"/>
        </w:rPr>
        <w:t>本基金的股票资产主要投向</w:t>
      </w:r>
      <w:r w:rsidRPr="005E3E9F">
        <w:rPr>
          <w:rFonts w:hint="eastAsia"/>
          <w:bCs/>
          <w:sz w:val="24"/>
        </w:rPr>
        <w:t>本基金所界定的“电子信息产业”主题相关股票。</w:t>
      </w:r>
      <w:r w:rsidRPr="005E3E9F">
        <w:rPr>
          <w:bCs/>
          <w:sz w:val="24"/>
        </w:rPr>
        <w:t>原业绩比较基准</w:t>
      </w:r>
      <w:r w:rsidRPr="005E3E9F">
        <w:rPr>
          <w:rFonts w:hint="eastAsia"/>
          <w:bCs/>
          <w:sz w:val="24"/>
        </w:rPr>
        <w:t>要素“中证</w:t>
      </w:r>
      <w:r w:rsidRPr="005E3E9F">
        <w:rPr>
          <w:rFonts w:hint="eastAsia"/>
          <w:bCs/>
          <w:sz w:val="24"/>
        </w:rPr>
        <w:t>TMT</w:t>
      </w:r>
      <w:r w:rsidRPr="005E3E9F">
        <w:rPr>
          <w:rFonts w:hint="eastAsia"/>
          <w:bCs/>
          <w:sz w:val="24"/>
        </w:rPr>
        <w:t>产业主题指数”</w:t>
      </w:r>
      <w:r w:rsidRPr="005E3E9F">
        <w:rPr>
          <w:bCs/>
          <w:sz w:val="24"/>
        </w:rPr>
        <w:t>选取信息技术、通信服务中与</w:t>
      </w:r>
      <w:r w:rsidRPr="005E3E9F">
        <w:rPr>
          <w:bCs/>
          <w:sz w:val="24"/>
        </w:rPr>
        <w:t>TMT</w:t>
      </w:r>
      <w:r w:rsidRPr="005E3E9F">
        <w:rPr>
          <w:bCs/>
          <w:sz w:val="24"/>
        </w:rPr>
        <w:t>产业相关的代表性上市公司证券作为指数样本，以反映</w:t>
      </w:r>
      <w:r w:rsidRPr="005E3E9F">
        <w:rPr>
          <w:bCs/>
          <w:sz w:val="24"/>
        </w:rPr>
        <w:t>TMT</w:t>
      </w:r>
      <w:r w:rsidRPr="005E3E9F">
        <w:rPr>
          <w:bCs/>
          <w:sz w:val="24"/>
        </w:rPr>
        <w:t>产业公司的整体表现</w:t>
      </w:r>
      <w:r w:rsidRPr="005E3E9F">
        <w:rPr>
          <w:rFonts w:hint="eastAsia"/>
          <w:bCs/>
          <w:sz w:val="24"/>
        </w:rPr>
        <w:t>。</w:t>
      </w:r>
      <w:r w:rsidRPr="005E3E9F">
        <w:rPr>
          <w:bCs/>
          <w:sz w:val="24"/>
        </w:rPr>
        <w:t>调整后的新业绩比较基准</w:t>
      </w:r>
      <w:r w:rsidRPr="005E3E9F">
        <w:rPr>
          <w:rFonts w:hint="eastAsia"/>
          <w:bCs/>
          <w:sz w:val="24"/>
        </w:rPr>
        <w:t>要素“中证全指信息技术指数”中证全指对应信息技术一级行业中选取符合一定流动性与市值筛选条件的上市公司作为指数样本，以反映信息技术行业内较具代表性与可投资性的上市公司证券的整体表现</w:t>
      </w:r>
      <w:r w:rsidRPr="005E3E9F">
        <w:rPr>
          <w:bCs/>
          <w:sz w:val="24"/>
        </w:rPr>
        <w:t>，</w:t>
      </w:r>
      <w:r w:rsidRPr="005E3E9F">
        <w:rPr>
          <w:rFonts w:hint="eastAsia"/>
          <w:bCs/>
          <w:sz w:val="24"/>
        </w:rPr>
        <w:t>覆盖信息技术行业更全面，</w:t>
      </w:r>
      <w:r w:rsidRPr="005E3E9F">
        <w:rPr>
          <w:rFonts w:hint="eastAsia"/>
          <w:sz w:val="24"/>
        </w:rPr>
        <w:t>适合作为本基金</w:t>
      </w:r>
      <w:r w:rsidRPr="005E3E9F">
        <w:rPr>
          <w:rFonts w:hint="eastAsia"/>
          <w:sz w:val="24"/>
        </w:rPr>
        <w:t>A</w:t>
      </w:r>
      <w:r w:rsidRPr="005E3E9F">
        <w:rPr>
          <w:rFonts w:hint="eastAsia"/>
          <w:sz w:val="24"/>
        </w:rPr>
        <w:t>股股票部分的业绩比较基准要素</w:t>
      </w:r>
      <w:r w:rsidRPr="005E3E9F">
        <w:rPr>
          <w:bCs/>
          <w:sz w:val="24"/>
        </w:rPr>
        <w:t>。</w:t>
      </w:r>
    </w:p>
    <w:p w:rsidR="00DB009B" w:rsidRPr="005E3E9F" w:rsidRDefault="00DB009B" w:rsidP="00DB009B">
      <w:pPr>
        <w:spacing w:line="360" w:lineRule="auto"/>
        <w:ind w:firstLineChars="200" w:firstLine="480"/>
        <w:rPr>
          <w:bCs/>
          <w:sz w:val="24"/>
        </w:rPr>
      </w:pPr>
      <w:r w:rsidRPr="005E3E9F">
        <w:rPr>
          <w:rFonts w:hint="eastAsia"/>
          <w:bCs/>
          <w:sz w:val="24"/>
        </w:rPr>
        <w:t>本基金的债券资产采用全市场策略，主要通过类属配置与券种选择进行投资管理，预期组合久期整体偏向于中短久期。新增的代表债券资产的</w:t>
      </w:r>
      <w:r w:rsidRPr="005E3E9F">
        <w:rPr>
          <w:bCs/>
          <w:sz w:val="24"/>
        </w:rPr>
        <w:t>新业绩比较基准</w:t>
      </w:r>
      <w:r w:rsidRPr="005E3E9F">
        <w:rPr>
          <w:rFonts w:hint="eastAsia"/>
          <w:bCs/>
          <w:sz w:val="24"/>
        </w:rPr>
        <w:t>要素“中债</w:t>
      </w:r>
      <w:r w:rsidRPr="005E3E9F">
        <w:rPr>
          <w:rFonts w:hint="eastAsia"/>
          <w:bCs/>
          <w:sz w:val="24"/>
        </w:rPr>
        <w:t>-</w:t>
      </w:r>
      <w:r w:rsidRPr="005E3E9F">
        <w:rPr>
          <w:rFonts w:hint="eastAsia"/>
          <w:bCs/>
          <w:sz w:val="24"/>
        </w:rPr>
        <w:t>综合全价</w:t>
      </w:r>
      <w:r w:rsidRPr="005E3E9F">
        <w:rPr>
          <w:rFonts w:hint="eastAsia"/>
          <w:bCs/>
          <w:sz w:val="24"/>
        </w:rPr>
        <w:t>(1-3</w:t>
      </w:r>
      <w:r w:rsidRPr="005E3E9F">
        <w:rPr>
          <w:rFonts w:hint="eastAsia"/>
          <w:bCs/>
          <w:sz w:val="24"/>
        </w:rPr>
        <w:t>年</w:t>
      </w:r>
      <w:r w:rsidRPr="005E3E9F">
        <w:rPr>
          <w:rFonts w:hint="eastAsia"/>
          <w:bCs/>
          <w:sz w:val="24"/>
        </w:rPr>
        <w:t>)</w:t>
      </w:r>
      <w:r w:rsidRPr="005E3E9F">
        <w:rPr>
          <w:rFonts w:hint="eastAsia"/>
          <w:bCs/>
          <w:sz w:val="24"/>
        </w:rPr>
        <w:t>指数”</w:t>
      </w:r>
      <w:r w:rsidRPr="005E3E9F">
        <w:rPr>
          <w:bCs/>
          <w:sz w:val="24"/>
        </w:rPr>
        <w:t xml:space="preserve"> </w:t>
      </w:r>
      <w:r w:rsidRPr="005E3E9F">
        <w:rPr>
          <w:bCs/>
          <w:sz w:val="24"/>
        </w:rPr>
        <w:t>选取中债</w:t>
      </w:r>
      <w:r w:rsidRPr="005E3E9F">
        <w:rPr>
          <w:bCs/>
          <w:sz w:val="24"/>
        </w:rPr>
        <w:t>-</w:t>
      </w:r>
      <w:r w:rsidRPr="005E3E9F">
        <w:rPr>
          <w:bCs/>
          <w:sz w:val="24"/>
        </w:rPr>
        <w:t>综合指数成分券</w:t>
      </w:r>
      <w:r w:rsidRPr="005E3E9F">
        <w:rPr>
          <w:rFonts w:hint="eastAsia"/>
          <w:bCs/>
          <w:sz w:val="24"/>
        </w:rPr>
        <w:t>中待偿期限为</w:t>
      </w:r>
      <w:r w:rsidRPr="005E3E9F">
        <w:rPr>
          <w:bCs/>
          <w:sz w:val="24"/>
        </w:rPr>
        <w:t>1-3</w:t>
      </w:r>
      <w:r w:rsidRPr="005E3E9F">
        <w:rPr>
          <w:rFonts w:hint="eastAsia"/>
          <w:bCs/>
          <w:sz w:val="24"/>
        </w:rPr>
        <w:t>年（含</w:t>
      </w:r>
      <w:r w:rsidRPr="005E3E9F">
        <w:rPr>
          <w:bCs/>
          <w:sz w:val="24"/>
        </w:rPr>
        <w:t>1</w:t>
      </w:r>
      <w:r w:rsidRPr="005E3E9F">
        <w:rPr>
          <w:rFonts w:hint="eastAsia"/>
          <w:bCs/>
          <w:sz w:val="24"/>
        </w:rPr>
        <w:t>年）的债券为指数成份券，与基金投资策略相匹配，</w:t>
      </w:r>
      <w:r w:rsidRPr="005E3E9F">
        <w:rPr>
          <w:rFonts w:ascii="宋体" w:hAnsi="宋体" w:cs="宋体" w:hint="eastAsia"/>
          <w:color w:val="000000"/>
          <w:kern w:val="0"/>
          <w:sz w:val="24"/>
        </w:rPr>
        <w:t>适合作为本基金债券部分的业绩比较基准要素</w:t>
      </w:r>
      <w:r w:rsidRPr="005E3E9F">
        <w:rPr>
          <w:rFonts w:hint="eastAsia"/>
          <w:bCs/>
          <w:sz w:val="24"/>
        </w:rPr>
        <w:t>。</w:t>
      </w:r>
    </w:p>
    <w:p w:rsidR="00DB009B" w:rsidRPr="005E3E9F" w:rsidRDefault="00DB009B" w:rsidP="00DB009B">
      <w:pPr>
        <w:spacing w:line="360" w:lineRule="auto"/>
        <w:ind w:firstLine="420"/>
        <w:rPr>
          <w:bCs/>
          <w:sz w:val="24"/>
        </w:rPr>
      </w:pPr>
      <w:r w:rsidRPr="005E3E9F">
        <w:rPr>
          <w:bCs/>
          <w:sz w:val="24"/>
        </w:rPr>
        <w:t>此外，基于本基金</w:t>
      </w:r>
      <w:r w:rsidRPr="005E3E9F">
        <w:rPr>
          <w:rFonts w:hint="eastAsia"/>
          <w:bCs/>
          <w:sz w:val="24"/>
        </w:rPr>
        <w:t>历史持仓</w:t>
      </w:r>
      <w:r w:rsidRPr="005E3E9F">
        <w:rPr>
          <w:bCs/>
          <w:sz w:val="24"/>
        </w:rPr>
        <w:t>，并结合基金合同约定的投资比例限制</w:t>
      </w:r>
      <w:r w:rsidRPr="005E3E9F">
        <w:rPr>
          <w:rFonts w:hint="eastAsia"/>
          <w:bCs/>
          <w:sz w:val="24"/>
        </w:rPr>
        <w:t>以及本基</w:t>
      </w:r>
      <w:r w:rsidRPr="005E3E9F">
        <w:rPr>
          <w:rFonts w:hint="eastAsia"/>
          <w:bCs/>
          <w:sz w:val="24"/>
        </w:rPr>
        <w:lastRenderedPageBreak/>
        <w:t>金预期的资产配置比例中枢</w:t>
      </w:r>
      <w:r w:rsidRPr="005E3E9F">
        <w:rPr>
          <w:bCs/>
          <w:sz w:val="24"/>
        </w:rPr>
        <w:t>，将业绩比较基准中的股票资产所对应的基准要素权重从</w:t>
      </w:r>
      <w:r w:rsidRPr="005E3E9F">
        <w:rPr>
          <w:bCs/>
          <w:sz w:val="24"/>
        </w:rPr>
        <w:t>100%</w:t>
      </w:r>
      <w:r w:rsidRPr="005E3E9F">
        <w:rPr>
          <w:rFonts w:hint="eastAsia"/>
          <w:bCs/>
          <w:sz w:val="24"/>
        </w:rPr>
        <w:t>降低</w:t>
      </w:r>
      <w:r w:rsidRPr="005E3E9F">
        <w:rPr>
          <w:bCs/>
          <w:sz w:val="24"/>
        </w:rPr>
        <w:t>至</w:t>
      </w:r>
      <w:r w:rsidRPr="005E3E9F">
        <w:rPr>
          <w:rFonts w:hint="eastAsia"/>
          <w:bCs/>
          <w:sz w:val="24"/>
        </w:rPr>
        <w:t>90</w:t>
      </w:r>
      <w:r w:rsidRPr="005E3E9F">
        <w:rPr>
          <w:bCs/>
          <w:sz w:val="24"/>
        </w:rPr>
        <w:t>%</w:t>
      </w:r>
      <w:r w:rsidRPr="005E3E9F">
        <w:rPr>
          <w:bCs/>
          <w:sz w:val="24"/>
        </w:rPr>
        <w:t>（其中</w:t>
      </w:r>
      <w:r w:rsidRPr="005E3E9F">
        <w:rPr>
          <w:bCs/>
          <w:sz w:val="24"/>
        </w:rPr>
        <w:t>A</w:t>
      </w:r>
      <w:r w:rsidRPr="005E3E9F">
        <w:rPr>
          <w:bCs/>
          <w:sz w:val="24"/>
        </w:rPr>
        <w:t>股股票部分的基准要素权重</w:t>
      </w:r>
      <w:r w:rsidRPr="005E3E9F">
        <w:rPr>
          <w:rFonts w:hint="eastAsia"/>
          <w:bCs/>
          <w:sz w:val="24"/>
        </w:rPr>
        <w:t>不变</w:t>
      </w:r>
      <w:r w:rsidRPr="005E3E9F">
        <w:rPr>
          <w:bCs/>
          <w:sz w:val="24"/>
        </w:rPr>
        <w:t>，港股通标的股票部分的基准要素相应从</w:t>
      </w:r>
      <w:r w:rsidRPr="005E3E9F">
        <w:rPr>
          <w:bCs/>
          <w:sz w:val="24"/>
        </w:rPr>
        <w:t>20%</w:t>
      </w:r>
      <w:r w:rsidRPr="005E3E9F">
        <w:rPr>
          <w:rFonts w:hint="eastAsia"/>
          <w:bCs/>
          <w:sz w:val="24"/>
        </w:rPr>
        <w:t>降低</w:t>
      </w:r>
      <w:r w:rsidRPr="005E3E9F">
        <w:rPr>
          <w:bCs/>
          <w:sz w:val="24"/>
        </w:rPr>
        <w:t>至</w:t>
      </w:r>
      <w:r w:rsidRPr="005E3E9F">
        <w:rPr>
          <w:bCs/>
          <w:sz w:val="24"/>
        </w:rPr>
        <w:t>1</w:t>
      </w:r>
      <w:r w:rsidRPr="005E3E9F">
        <w:rPr>
          <w:rFonts w:hint="eastAsia"/>
          <w:bCs/>
          <w:sz w:val="24"/>
        </w:rPr>
        <w:t>0</w:t>
      </w:r>
      <w:r w:rsidRPr="005E3E9F">
        <w:rPr>
          <w:bCs/>
          <w:sz w:val="24"/>
        </w:rPr>
        <w:t>%</w:t>
      </w:r>
      <w:r w:rsidRPr="005E3E9F">
        <w:rPr>
          <w:bCs/>
          <w:sz w:val="24"/>
        </w:rPr>
        <w:t>），将业绩比较基准中的</w:t>
      </w:r>
      <w:r w:rsidRPr="005E3E9F">
        <w:rPr>
          <w:rFonts w:hint="eastAsia"/>
          <w:bCs/>
          <w:sz w:val="24"/>
        </w:rPr>
        <w:t>债券</w:t>
      </w:r>
      <w:r w:rsidRPr="005E3E9F">
        <w:rPr>
          <w:bCs/>
          <w:sz w:val="24"/>
        </w:rPr>
        <w:t>资产所对应的基准要素权重从</w:t>
      </w:r>
      <w:r w:rsidRPr="005E3E9F">
        <w:rPr>
          <w:bCs/>
          <w:sz w:val="24"/>
        </w:rPr>
        <w:t>0%</w:t>
      </w:r>
      <w:r w:rsidRPr="005E3E9F">
        <w:rPr>
          <w:rFonts w:hint="eastAsia"/>
          <w:bCs/>
          <w:sz w:val="24"/>
        </w:rPr>
        <w:t>提高</w:t>
      </w:r>
      <w:r w:rsidRPr="005E3E9F">
        <w:rPr>
          <w:bCs/>
          <w:sz w:val="24"/>
        </w:rPr>
        <w:t>至</w:t>
      </w:r>
      <w:r w:rsidRPr="005E3E9F">
        <w:rPr>
          <w:rFonts w:hint="eastAsia"/>
          <w:bCs/>
          <w:sz w:val="24"/>
        </w:rPr>
        <w:t>10</w:t>
      </w:r>
      <w:r w:rsidRPr="005E3E9F">
        <w:rPr>
          <w:bCs/>
          <w:sz w:val="24"/>
        </w:rPr>
        <w:t>%</w:t>
      </w:r>
      <w:r w:rsidRPr="005E3E9F">
        <w:rPr>
          <w:bCs/>
          <w:sz w:val="24"/>
        </w:rPr>
        <w:t>，从而使得新业绩比较基准中各大资产类别所对应的基准要素权重与</w:t>
      </w:r>
      <w:r w:rsidRPr="005E3E9F">
        <w:rPr>
          <w:rFonts w:hint="eastAsia"/>
          <w:bCs/>
          <w:sz w:val="24"/>
        </w:rPr>
        <w:t>基金投资策略和</w:t>
      </w:r>
      <w:r w:rsidRPr="005E3E9F">
        <w:rPr>
          <w:bCs/>
          <w:sz w:val="24"/>
        </w:rPr>
        <w:t>基金过往实际投资运作等相匹配。</w:t>
      </w:r>
    </w:p>
    <w:p w:rsidR="00DB009B" w:rsidRPr="005E3E9F" w:rsidRDefault="00DB009B" w:rsidP="00DB009B">
      <w:pPr>
        <w:pStyle w:val="a8"/>
        <w:spacing w:line="360" w:lineRule="auto"/>
        <w:ind w:firstLineChars="200" w:firstLine="480"/>
        <w:rPr>
          <w:rFonts w:ascii="Times New Roman" w:hAnsi="Times New Roman" w:cs="Times New Roman"/>
          <w:bCs/>
          <w:sz w:val="24"/>
          <w:szCs w:val="24"/>
        </w:rPr>
      </w:pPr>
      <w:r w:rsidRPr="005E3E9F">
        <w:rPr>
          <w:rFonts w:ascii="Times New Roman" w:hAnsi="Times New Roman" w:cs="Times New Roman"/>
          <w:bCs/>
          <w:sz w:val="24"/>
          <w:szCs w:val="24"/>
        </w:rPr>
        <w:t>上述调整</w:t>
      </w:r>
      <w:r w:rsidRPr="005E3E9F">
        <w:rPr>
          <w:rFonts w:ascii="Times New Roman" w:hAnsi="Times New Roman" w:cs="Times New Roman" w:hint="eastAsia"/>
          <w:bCs/>
          <w:sz w:val="24"/>
          <w:szCs w:val="24"/>
        </w:rPr>
        <w:t>符合《公开募集证券投资基金业绩比较基准指引》和《公开募集证券投资基金业绩比较基准操作细则》的要求，</w:t>
      </w:r>
      <w:r w:rsidRPr="005E3E9F">
        <w:rPr>
          <w:rFonts w:ascii="Times New Roman" w:hAnsi="Times New Roman" w:cs="Times New Roman"/>
          <w:bCs/>
          <w:sz w:val="24"/>
          <w:szCs w:val="24"/>
        </w:rPr>
        <w:t>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景顺长城成长领航混合型证券投资基金</w:t>
      </w:r>
    </w:p>
    <w:p w:rsidR="00DB009B" w:rsidRPr="005E3E9F" w:rsidRDefault="00DB009B" w:rsidP="00DB009B">
      <w:pPr>
        <w:pStyle w:val="a8"/>
        <w:spacing w:line="360" w:lineRule="auto"/>
        <w:ind w:firstLineChars="200" w:firstLine="480"/>
        <w:rPr>
          <w:sz w:val="24"/>
        </w:rPr>
      </w:pPr>
      <w:r w:rsidRPr="005E3E9F">
        <w:rPr>
          <w:rFonts w:ascii="Times New Roman" w:hAnsi="Times New Roman" w:cs="Times New Roman" w:hint="eastAsia"/>
          <w:sz w:val="24"/>
          <w:szCs w:val="24"/>
        </w:rPr>
        <w:t>此次本基金业绩比较基准调整同时涉及更换业绩比较基准要素和调整业绩比较基准的要素权重。</w:t>
      </w:r>
      <w:r w:rsidRPr="005E3E9F">
        <w:rPr>
          <w:rFonts w:ascii="Times New Roman" w:hAnsi="Times New Roman" w:cs="Times New Roman"/>
          <w:sz w:val="24"/>
          <w:szCs w:val="24"/>
        </w:rPr>
        <w:t xml:space="preserve"> </w:t>
      </w:r>
    </w:p>
    <w:p w:rsidR="00DB009B" w:rsidRPr="005E3E9F" w:rsidRDefault="00DB009B" w:rsidP="00DB009B">
      <w:pPr>
        <w:pStyle w:val="a8"/>
        <w:spacing w:line="360" w:lineRule="auto"/>
        <w:ind w:firstLineChars="200" w:firstLine="480"/>
        <w:rPr>
          <w:sz w:val="24"/>
        </w:rPr>
      </w:pPr>
      <w:r w:rsidRPr="005E3E9F">
        <w:rPr>
          <w:rFonts w:ascii="Times New Roman" w:hAnsi="Times New Roman" w:cs="Times New Roman" w:hint="eastAsia"/>
          <w:sz w:val="24"/>
          <w:szCs w:val="24"/>
        </w:rPr>
        <w:t>本基金将代表</w:t>
      </w:r>
      <w:r w:rsidRPr="005E3E9F">
        <w:rPr>
          <w:rFonts w:ascii="Times New Roman" w:hAnsi="Times New Roman" w:cs="Times New Roman"/>
          <w:sz w:val="24"/>
          <w:szCs w:val="24"/>
        </w:rPr>
        <w:t>A</w:t>
      </w:r>
      <w:r w:rsidRPr="005E3E9F">
        <w:rPr>
          <w:rFonts w:ascii="Times New Roman" w:hAnsi="Times New Roman" w:cs="Times New Roman" w:hint="eastAsia"/>
          <w:sz w:val="24"/>
          <w:szCs w:val="24"/>
        </w:rPr>
        <w:t>股股票资产的业绩比较基准要素由“中证</w:t>
      </w:r>
      <w:r w:rsidRPr="005E3E9F">
        <w:rPr>
          <w:rFonts w:ascii="Times New Roman" w:hAnsi="Times New Roman" w:cs="Times New Roman"/>
          <w:sz w:val="24"/>
          <w:szCs w:val="24"/>
        </w:rPr>
        <w:t>800</w:t>
      </w:r>
      <w:r w:rsidRPr="005E3E9F">
        <w:rPr>
          <w:rFonts w:ascii="Times New Roman" w:hAnsi="Times New Roman" w:cs="Times New Roman" w:hint="eastAsia"/>
          <w:sz w:val="24"/>
          <w:szCs w:val="24"/>
        </w:rPr>
        <w:t>指数”调整为“中证</w:t>
      </w:r>
      <w:r w:rsidRPr="005E3E9F">
        <w:rPr>
          <w:rFonts w:ascii="Times New Roman" w:hAnsi="Times New Roman" w:cs="Times New Roman"/>
          <w:sz w:val="24"/>
          <w:szCs w:val="24"/>
        </w:rPr>
        <w:t>800</w:t>
      </w:r>
      <w:r w:rsidRPr="005E3E9F">
        <w:rPr>
          <w:rFonts w:ascii="Times New Roman" w:hAnsi="Times New Roman" w:cs="Times New Roman" w:hint="eastAsia"/>
          <w:sz w:val="24"/>
          <w:szCs w:val="24"/>
        </w:rPr>
        <w:t>成长指数”，将代表债券资产部分的业绩比较基准要素由“中证全债指数”调整为“中债</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综合财富</w:t>
      </w:r>
      <w:r w:rsidRPr="005E3E9F">
        <w:rPr>
          <w:rFonts w:ascii="Times New Roman" w:hAnsi="Times New Roman" w:cs="Times New Roman"/>
          <w:sz w:val="24"/>
          <w:szCs w:val="24"/>
        </w:rPr>
        <w:t>(1-3</w:t>
      </w:r>
      <w:r w:rsidRPr="005E3E9F">
        <w:rPr>
          <w:rFonts w:ascii="Times New Roman" w:hAnsi="Times New Roman" w:cs="Times New Roman" w:hint="eastAsia"/>
          <w:sz w:val="24"/>
          <w:szCs w:val="24"/>
        </w:rPr>
        <w:t>年</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指数”。</w:t>
      </w:r>
    </w:p>
    <w:p w:rsidR="00DB009B" w:rsidRPr="005E3E9F" w:rsidRDefault="00DB009B" w:rsidP="00DB009B">
      <w:pPr>
        <w:pStyle w:val="a8"/>
        <w:spacing w:line="360" w:lineRule="auto"/>
        <w:ind w:firstLineChars="200" w:firstLine="480"/>
        <w:rPr>
          <w:sz w:val="24"/>
        </w:rPr>
      </w:pPr>
      <w:r w:rsidRPr="005E3E9F">
        <w:rPr>
          <w:rFonts w:hint="eastAsia"/>
          <w:sz w:val="24"/>
          <w:szCs w:val="24"/>
        </w:rPr>
        <w:t>本基金的股票资产采用全市场选股策略，通过定性分析和定量分析相结合的方法对公司基本面进行持续跟踪分析，挖掘A股与港股通范围内的基本面指标领先，成长前景确定的优质公司，从而在严格控制风险的前提下追求超越业绩比较基准的投资回报，预期整体偏向于成长投资风格。</w:t>
      </w:r>
      <w:r w:rsidRPr="005E3E9F">
        <w:rPr>
          <w:rFonts w:ascii="Times New Roman" w:hAnsi="Times New Roman" w:cs="Times New Roman" w:hint="eastAsia"/>
          <w:sz w:val="24"/>
          <w:szCs w:val="24"/>
        </w:rPr>
        <w:t>原业绩比较基准要素“中证</w:t>
      </w:r>
      <w:r w:rsidRPr="005E3E9F">
        <w:rPr>
          <w:rFonts w:ascii="Times New Roman" w:hAnsi="Times New Roman" w:cs="Times New Roman"/>
          <w:sz w:val="24"/>
          <w:szCs w:val="24"/>
        </w:rPr>
        <w:t>800</w:t>
      </w:r>
      <w:r w:rsidRPr="005E3E9F">
        <w:rPr>
          <w:rFonts w:ascii="Times New Roman" w:hAnsi="Times New Roman" w:cs="Times New Roman" w:hint="eastAsia"/>
          <w:sz w:val="24"/>
          <w:szCs w:val="24"/>
        </w:rPr>
        <w:t>指数”由中证</w:t>
      </w:r>
      <w:r w:rsidRPr="005E3E9F">
        <w:rPr>
          <w:rFonts w:ascii="Times New Roman" w:hAnsi="Times New Roman" w:cs="Times New Roman"/>
          <w:sz w:val="24"/>
          <w:szCs w:val="24"/>
        </w:rPr>
        <w:t>500</w:t>
      </w:r>
      <w:r w:rsidRPr="005E3E9F">
        <w:rPr>
          <w:rFonts w:ascii="Times New Roman" w:hAnsi="Times New Roman" w:cs="Times New Roman" w:hint="eastAsia"/>
          <w:sz w:val="24"/>
          <w:szCs w:val="24"/>
        </w:rPr>
        <w:t>指数和沪深</w:t>
      </w:r>
      <w:r w:rsidRPr="005E3E9F">
        <w:rPr>
          <w:rFonts w:ascii="Times New Roman" w:hAnsi="Times New Roman" w:cs="Times New Roman"/>
          <w:sz w:val="24"/>
          <w:szCs w:val="24"/>
        </w:rPr>
        <w:t>300</w:t>
      </w:r>
      <w:r w:rsidRPr="005E3E9F">
        <w:rPr>
          <w:rFonts w:ascii="Times New Roman" w:hAnsi="Times New Roman" w:cs="Times New Roman" w:hint="eastAsia"/>
          <w:sz w:val="24"/>
          <w:szCs w:val="24"/>
        </w:rPr>
        <w:t>指数成份股组成，综合反映中国</w:t>
      </w:r>
      <w:r w:rsidRPr="005E3E9F">
        <w:rPr>
          <w:rFonts w:ascii="Times New Roman" w:hAnsi="Times New Roman" w:cs="Times New Roman"/>
          <w:sz w:val="24"/>
          <w:szCs w:val="24"/>
        </w:rPr>
        <w:t>A</w:t>
      </w:r>
      <w:r w:rsidRPr="005E3E9F">
        <w:rPr>
          <w:rFonts w:ascii="Times New Roman" w:hAnsi="Times New Roman" w:cs="Times New Roman" w:hint="eastAsia"/>
          <w:sz w:val="24"/>
          <w:szCs w:val="24"/>
        </w:rPr>
        <w:t>股市场大中小市值公司的股票价格表现。调整后的新业绩比较基准要素“中证</w:t>
      </w:r>
      <w:r w:rsidRPr="005E3E9F">
        <w:rPr>
          <w:rFonts w:ascii="Times New Roman" w:hAnsi="Times New Roman" w:cs="Times New Roman"/>
          <w:sz w:val="24"/>
          <w:szCs w:val="24"/>
        </w:rPr>
        <w:t>800</w:t>
      </w:r>
      <w:r w:rsidRPr="005E3E9F">
        <w:rPr>
          <w:rFonts w:ascii="Times New Roman" w:hAnsi="Times New Roman" w:cs="Times New Roman" w:hint="eastAsia"/>
          <w:sz w:val="24"/>
          <w:szCs w:val="24"/>
        </w:rPr>
        <w:t>成长指数”从中证</w:t>
      </w:r>
      <w:r w:rsidRPr="005E3E9F">
        <w:rPr>
          <w:rFonts w:ascii="Times New Roman" w:hAnsi="Times New Roman" w:cs="Times New Roman"/>
          <w:sz w:val="24"/>
          <w:szCs w:val="24"/>
        </w:rPr>
        <w:t>800</w:t>
      </w:r>
      <w:r w:rsidRPr="005E3E9F">
        <w:rPr>
          <w:rFonts w:ascii="Times New Roman" w:hAnsi="Times New Roman" w:cs="Times New Roman" w:hint="eastAsia"/>
          <w:sz w:val="24"/>
          <w:szCs w:val="24"/>
        </w:rPr>
        <w:t>指数样本中，选取成长因子得分最高的</w:t>
      </w:r>
      <w:r w:rsidRPr="005E3E9F">
        <w:rPr>
          <w:rFonts w:ascii="Times New Roman" w:hAnsi="Times New Roman" w:cs="Times New Roman"/>
          <w:sz w:val="24"/>
          <w:szCs w:val="24"/>
        </w:rPr>
        <w:t>150</w:t>
      </w:r>
      <w:r w:rsidRPr="005E3E9F">
        <w:rPr>
          <w:rFonts w:ascii="Times New Roman" w:hAnsi="Times New Roman" w:cs="Times New Roman" w:hint="eastAsia"/>
          <w:sz w:val="24"/>
          <w:szCs w:val="24"/>
        </w:rPr>
        <w:t>只证券作为指数样本，并采用成长因子得分调整后的自由流通市值加权，反映中证</w:t>
      </w:r>
      <w:r w:rsidRPr="005E3E9F">
        <w:rPr>
          <w:rFonts w:ascii="Times New Roman" w:hAnsi="Times New Roman" w:cs="Times New Roman"/>
          <w:sz w:val="24"/>
          <w:szCs w:val="24"/>
        </w:rPr>
        <w:t>800</w:t>
      </w:r>
      <w:r w:rsidRPr="005E3E9F">
        <w:rPr>
          <w:rFonts w:ascii="Times New Roman" w:hAnsi="Times New Roman" w:cs="Times New Roman" w:hint="eastAsia"/>
          <w:sz w:val="24"/>
          <w:szCs w:val="24"/>
        </w:rPr>
        <w:t>指数样本中具有成长特征的上市公司证券的整体表现，与本基金投资风格相匹配，</w:t>
      </w:r>
      <w:r w:rsidRPr="005E3E9F">
        <w:rPr>
          <w:rFonts w:hint="eastAsia"/>
          <w:sz w:val="24"/>
          <w:szCs w:val="24"/>
        </w:rPr>
        <w:t>适合作为本基金A股股票部分的业绩比较基准要素</w:t>
      </w:r>
      <w:r w:rsidRPr="005E3E9F">
        <w:rPr>
          <w:rFonts w:ascii="Times New Roman" w:hAnsi="Times New Roman" w:cs="Times New Roman" w:hint="eastAsia"/>
          <w:sz w:val="24"/>
          <w:szCs w:val="24"/>
        </w:rPr>
        <w:t>。</w:t>
      </w:r>
    </w:p>
    <w:p w:rsidR="00DB009B" w:rsidRPr="005E3E9F" w:rsidRDefault="00DB009B" w:rsidP="00DB009B">
      <w:pPr>
        <w:pStyle w:val="a8"/>
        <w:spacing w:line="360" w:lineRule="auto"/>
        <w:ind w:firstLineChars="200" w:firstLine="480"/>
        <w:rPr>
          <w:sz w:val="24"/>
        </w:rPr>
      </w:pPr>
      <w:r w:rsidRPr="005E3E9F">
        <w:rPr>
          <w:rFonts w:hAnsi="宋体" w:cs="宋体" w:hint="eastAsia"/>
          <w:color w:val="000000"/>
          <w:kern w:val="0"/>
          <w:sz w:val="24"/>
          <w:szCs w:val="24"/>
        </w:rPr>
        <w:t>本基金的债券资产采用全市场策略，主要通过类属配置与券种选择进行投资管理，预期组合久期整体偏向于中短久期。</w:t>
      </w:r>
      <w:r w:rsidRPr="005E3E9F">
        <w:rPr>
          <w:rFonts w:ascii="Times New Roman" w:hAnsi="Times New Roman" w:cs="Times New Roman" w:hint="eastAsia"/>
          <w:sz w:val="24"/>
          <w:szCs w:val="24"/>
        </w:rPr>
        <w:t>原业绩比较基准要素“中证全债指数”是综合反映银行间债券市场和沪深交易所债券市场的跨市场债券指数，该指数的样本由银行间市场和沪深交易所市场的国债、金融债券及企业债券组成，久期较长。调整后的新业绩比较基准要素“中债</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综合财富</w:t>
      </w:r>
      <w:r w:rsidRPr="005E3E9F">
        <w:rPr>
          <w:rFonts w:ascii="Times New Roman" w:hAnsi="Times New Roman" w:cs="Times New Roman"/>
          <w:sz w:val="24"/>
          <w:szCs w:val="24"/>
        </w:rPr>
        <w:t>(1-3</w:t>
      </w:r>
      <w:r w:rsidRPr="005E3E9F">
        <w:rPr>
          <w:rFonts w:ascii="Times New Roman" w:hAnsi="Times New Roman" w:cs="Times New Roman" w:hint="eastAsia"/>
          <w:sz w:val="24"/>
          <w:szCs w:val="24"/>
        </w:rPr>
        <w:t>年</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指数”则选取</w:t>
      </w:r>
      <w:r w:rsidRPr="005E3E9F">
        <w:rPr>
          <w:rFonts w:ascii="Times New Roman" w:hAnsi="Times New Roman" w:cs="Times New Roman"/>
          <w:bCs/>
          <w:sz w:val="24"/>
          <w:szCs w:val="24"/>
        </w:rPr>
        <w:t>中债</w:t>
      </w:r>
      <w:r w:rsidRPr="005E3E9F">
        <w:rPr>
          <w:rFonts w:ascii="Times New Roman" w:hAnsi="Times New Roman" w:cs="Times New Roman"/>
          <w:bCs/>
          <w:sz w:val="24"/>
          <w:szCs w:val="24"/>
        </w:rPr>
        <w:t>-</w:t>
      </w:r>
      <w:r w:rsidRPr="005E3E9F">
        <w:rPr>
          <w:rFonts w:ascii="Times New Roman" w:hAnsi="Times New Roman" w:cs="Times New Roman"/>
          <w:bCs/>
          <w:sz w:val="24"/>
          <w:szCs w:val="24"/>
        </w:rPr>
        <w:lastRenderedPageBreak/>
        <w:t>综合</w:t>
      </w:r>
      <w:r w:rsidRPr="005E3E9F">
        <w:rPr>
          <w:rFonts w:ascii="Times New Roman" w:hAnsi="Times New Roman" w:cs="Times New Roman" w:hint="eastAsia"/>
          <w:sz w:val="24"/>
          <w:szCs w:val="24"/>
        </w:rPr>
        <w:t>指数成分券中待偿期限为</w:t>
      </w:r>
      <w:r w:rsidRPr="005E3E9F">
        <w:rPr>
          <w:rFonts w:ascii="Times New Roman" w:hAnsi="Times New Roman" w:cs="Times New Roman"/>
          <w:sz w:val="24"/>
          <w:szCs w:val="24"/>
        </w:rPr>
        <w:t>1-3</w:t>
      </w:r>
      <w:r w:rsidRPr="005E3E9F">
        <w:rPr>
          <w:rFonts w:ascii="Times New Roman" w:hAnsi="Times New Roman" w:cs="Times New Roman" w:hint="eastAsia"/>
          <w:sz w:val="24"/>
          <w:szCs w:val="24"/>
        </w:rPr>
        <w:t>年（含</w:t>
      </w:r>
      <w:r w:rsidRPr="005E3E9F">
        <w:rPr>
          <w:rFonts w:ascii="Times New Roman" w:hAnsi="Times New Roman" w:cs="Times New Roman"/>
          <w:sz w:val="24"/>
          <w:szCs w:val="24"/>
        </w:rPr>
        <w:t>1</w:t>
      </w:r>
      <w:r w:rsidRPr="005E3E9F">
        <w:rPr>
          <w:rFonts w:ascii="Times New Roman" w:hAnsi="Times New Roman" w:cs="Times New Roman" w:hint="eastAsia"/>
          <w:sz w:val="24"/>
          <w:szCs w:val="24"/>
        </w:rPr>
        <w:t>年）的债券为指数成份券，与基金投资策略相匹配，</w:t>
      </w:r>
      <w:r w:rsidRPr="005E3E9F">
        <w:rPr>
          <w:rFonts w:hAnsi="宋体" w:cs="宋体" w:hint="eastAsia"/>
          <w:color w:val="000000"/>
          <w:kern w:val="0"/>
          <w:sz w:val="24"/>
          <w:szCs w:val="24"/>
        </w:rPr>
        <w:t>适合作为本基金债券部分的业绩比较基准要素</w:t>
      </w:r>
      <w:r w:rsidRPr="005E3E9F">
        <w:rPr>
          <w:rFonts w:ascii="Times New Roman" w:hAnsi="Times New Roman" w:cs="Times New Roman" w:hint="eastAsia"/>
          <w:sz w:val="24"/>
          <w:szCs w:val="24"/>
        </w:rPr>
        <w:t>。</w:t>
      </w:r>
    </w:p>
    <w:p w:rsidR="00DB009B" w:rsidRPr="005E3E9F" w:rsidRDefault="00DB009B" w:rsidP="00DB009B">
      <w:pPr>
        <w:pStyle w:val="a8"/>
        <w:spacing w:line="360" w:lineRule="auto"/>
        <w:ind w:firstLineChars="200" w:firstLine="480"/>
        <w:rPr>
          <w:sz w:val="24"/>
        </w:rPr>
      </w:pPr>
      <w:r w:rsidRPr="005E3E9F">
        <w:rPr>
          <w:rFonts w:ascii="Times New Roman" w:hAnsi="Times New Roman" w:cs="Times New Roman" w:hint="eastAsia"/>
          <w:sz w:val="24"/>
          <w:szCs w:val="24"/>
        </w:rPr>
        <w:t>此外，基于本基金历史持仓，并结合基金合同约定的投资比例限制以及本基金预期的资产配置比例中枢，将业绩比较基准中的股票资产所对应的基准要素权重从</w:t>
      </w:r>
      <w:r w:rsidRPr="005E3E9F">
        <w:rPr>
          <w:rFonts w:ascii="Times New Roman" w:hAnsi="Times New Roman" w:cs="Times New Roman"/>
          <w:sz w:val="24"/>
          <w:szCs w:val="24"/>
        </w:rPr>
        <w:t>80%</w:t>
      </w:r>
      <w:r w:rsidRPr="005E3E9F">
        <w:rPr>
          <w:rFonts w:ascii="Times New Roman" w:hAnsi="Times New Roman" w:cs="Times New Roman" w:hint="eastAsia"/>
          <w:sz w:val="24"/>
          <w:szCs w:val="24"/>
        </w:rPr>
        <w:t>提高至</w:t>
      </w:r>
      <w:r w:rsidRPr="005E3E9F">
        <w:rPr>
          <w:rFonts w:ascii="Times New Roman" w:hAnsi="Times New Roman" w:cs="Times New Roman"/>
          <w:sz w:val="24"/>
          <w:szCs w:val="24"/>
        </w:rPr>
        <w:t>90%</w:t>
      </w:r>
      <w:r w:rsidRPr="005E3E9F">
        <w:rPr>
          <w:rFonts w:ascii="Times New Roman" w:hAnsi="Times New Roman" w:cs="Times New Roman" w:hint="eastAsia"/>
          <w:sz w:val="24"/>
          <w:szCs w:val="24"/>
        </w:rPr>
        <w:t>（其中</w:t>
      </w:r>
      <w:r w:rsidRPr="005E3E9F">
        <w:rPr>
          <w:rFonts w:ascii="Times New Roman" w:hAnsi="Times New Roman" w:cs="Times New Roman"/>
          <w:sz w:val="24"/>
          <w:szCs w:val="24"/>
        </w:rPr>
        <w:t>A</w:t>
      </w:r>
      <w:r w:rsidRPr="005E3E9F">
        <w:rPr>
          <w:rFonts w:ascii="Times New Roman" w:hAnsi="Times New Roman" w:cs="Times New Roman" w:hint="eastAsia"/>
          <w:sz w:val="24"/>
          <w:szCs w:val="24"/>
        </w:rPr>
        <w:t>股股票部分的基准要素权重相应从</w:t>
      </w:r>
      <w:r w:rsidRPr="005E3E9F">
        <w:rPr>
          <w:rFonts w:ascii="Times New Roman" w:hAnsi="Times New Roman" w:cs="Times New Roman"/>
          <w:sz w:val="24"/>
          <w:szCs w:val="24"/>
        </w:rPr>
        <w:t>50%</w:t>
      </w:r>
      <w:r w:rsidRPr="005E3E9F">
        <w:rPr>
          <w:rFonts w:ascii="Times New Roman" w:hAnsi="Times New Roman" w:cs="Times New Roman" w:hint="eastAsia"/>
          <w:sz w:val="24"/>
          <w:szCs w:val="24"/>
        </w:rPr>
        <w:t>提高至</w:t>
      </w:r>
      <w:r w:rsidRPr="005E3E9F">
        <w:rPr>
          <w:rFonts w:ascii="Times New Roman" w:hAnsi="Times New Roman" w:cs="Times New Roman"/>
          <w:sz w:val="24"/>
          <w:szCs w:val="24"/>
        </w:rPr>
        <w:t>80%</w:t>
      </w:r>
      <w:r w:rsidRPr="005E3E9F">
        <w:rPr>
          <w:rFonts w:ascii="Times New Roman" w:hAnsi="Times New Roman" w:cs="Times New Roman" w:hint="eastAsia"/>
          <w:sz w:val="24"/>
          <w:szCs w:val="24"/>
        </w:rPr>
        <w:t>，港股通标的股票部分的基准要素权重从</w:t>
      </w:r>
      <w:r w:rsidRPr="005E3E9F">
        <w:rPr>
          <w:rFonts w:ascii="Times New Roman" w:hAnsi="Times New Roman" w:cs="Times New Roman"/>
          <w:sz w:val="24"/>
          <w:szCs w:val="24"/>
        </w:rPr>
        <w:t>30%</w:t>
      </w:r>
      <w:r w:rsidRPr="005E3E9F">
        <w:rPr>
          <w:rFonts w:ascii="Times New Roman" w:hAnsi="Times New Roman" w:cs="Times New Roman" w:hint="eastAsia"/>
          <w:sz w:val="24"/>
          <w:szCs w:val="24"/>
        </w:rPr>
        <w:t>降低至</w:t>
      </w:r>
      <w:r w:rsidRPr="005E3E9F">
        <w:rPr>
          <w:rFonts w:ascii="Times New Roman" w:hAnsi="Times New Roman" w:cs="Times New Roman"/>
          <w:sz w:val="24"/>
          <w:szCs w:val="24"/>
        </w:rPr>
        <w:t>10%</w:t>
      </w:r>
      <w:r w:rsidRPr="005E3E9F">
        <w:rPr>
          <w:rFonts w:ascii="Times New Roman" w:hAnsi="Times New Roman" w:cs="Times New Roman" w:hint="eastAsia"/>
          <w:sz w:val="24"/>
          <w:szCs w:val="24"/>
        </w:rPr>
        <w:t>），将业绩比较基准中的债券资产所对应的基准要素权重从</w:t>
      </w:r>
      <w:r w:rsidRPr="005E3E9F">
        <w:rPr>
          <w:rFonts w:ascii="Times New Roman" w:hAnsi="Times New Roman" w:cs="Times New Roman"/>
          <w:sz w:val="24"/>
          <w:szCs w:val="24"/>
        </w:rPr>
        <w:t>20%</w:t>
      </w:r>
      <w:r w:rsidRPr="005E3E9F">
        <w:rPr>
          <w:rFonts w:ascii="Times New Roman" w:hAnsi="Times New Roman" w:cs="Times New Roman" w:hint="eastAsia"/>
          <w:sz w:val="24"/>
          <w:szCs w:val="24"/>
        </w:rPr>
        <w:t>降低至</w:t>
      </w:r>
      <w:r w:rsidRPr="005E3E9F">
        <w:rPr>
          <w:rFonts w:ascii="Times New Roman" w:hAnsi="Times New Roman" w:cs="Times New Roman"/>
          <w:sz w:val="24"/>
          <w:szCs w:val="24"/>
        </w:rPr>
        <w:t>10%</w:t>
      </w:r>
      <w:r w:rsidRPr="005E3E9F">
        <w:rPr>
          <w:rFonts w:ascii="Times New Roman" w:hAnsi="Times New Roman" w:cs="Times New Roman" w:hint="eastAsia"/>
          <w:sz w:val="24"/>
          <w:szCs w:val="24"/>
        </w:rPr>
        <w:t>，从而使得新业绩比较基准中各大资产类别所对应的基准要素权重与基金</w:t>
      </w:r>
      <w:r w:rsidRPr="005E3E9F">
        <w:rPr>
          <w:rFonts w:ascii="Times New Roman" w:hAnsi="Times New Roman" w:cs="Times New Roman" w:hint="eastAsia"/>
          <w:bCs/>
          <w:sz w:val="24"/>
          <w:szCs w:val="24"/>
        </w:rPr>
        <w:t>投资策略</w:t>
      </w:r>
      <w:r w:rsidRPr="005E3E9F">
        <w:rPr>
          <w:rFonts w:ascii="Times New Roman" w:hAnsi="Times New Roman" w:cs="Times New Roman" w:hint="eastAsia"/>
          <w:sz w:val="24"/>
          <w:szCs w:val="24"/>
        </w:rPr>
        <w:t>和基金过往实际投资运作等相匹配。</w:t>
      </w:r>
    </w:p>
    <w:p w:rsidR="00DB009B" w:rsidRPr="005E3E9F" w:rsidRDefault="00DB009B" w:rsidP="00DB009B">
      <w:pPr>
        <w:pStyle w:val="a8"/>
        <w:spacing w:line="360" w:lineRule="auto"/>
        <w:ind w:firstLineChars="200" w:firstLine="480"/>
        <w:rPr>
          <w:rFonts w:ascii="Times New Roman" w:hAnsi="Times New Roman" w:cs="Times New Roman"/>
          <w:sz w:val="24"/>
          <w:szCs w:val="24"/>
        </w:rPr>
      </w:pPr>
      <w:r w:rsidRPr="005E3E9F">
        <w:rPr>
          <w:rFonts w:ascii="Times New Roman" w:hAnsi="Times New Roman" w:cs="Times New Roman" w:hint="eastAsia"/>
          <w:sz w:val="24"/>
          <w:szCs w:val="24"/>
        </w:rPr>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景顺长城价值驱动一年持有期灵活配置混合型证券投资基金</w:t>
      </w:r>
    </w:p>
    <w:p w:rsidR="00DB009B" w:rsidRPr="005E3E9F" w:rsidRDefault="00DB009B" w:rsidP="00DB009B">
      <w:pPr>
        <w:pStyle w:val="a8"/>
        <w:spacing w:line="360" w:lineRule="auto"/>
        <w:ind w:firstLineChars="200" w:firstLine="480"/>
        <w:rPr>
          <w:rFonts w:ascii="Times New Roman" w:hAnsi="Times New Roman" w:cs="Times New Roman"/>
          <w:sz w:val="24"/>
          <w:szCs w:val="24"/>
        </w:rPr>
      </w:pPr>
      <w:r w:rsidRPr="005E3E9F">
        <w:rPr>
          <w:rFonts w:ascii="Times New Roman" w:hAnsi="Times New Roman" w:cs="Times New Roman" w:hint="eastAsia"/>
          <w:sz w:val="24"/>
          <w:szCs w:val="24"/>
        </w:rPr>
        <w:t>此次本基金业绩比较基准调整同时涉及更换业绩比较基准要素和调整业绩比较基准的要素权重。</w:t>
      </w:r>
      <w:r w:rsidRPr="005E3E9F">
        <w:rPr>
          <w:rFonts w:ascii="Times New Roman" w:hAnsi="Times New Roman" w:cs="Times New Roman"/>
          <w:sz w:val="24"/>
          <w:szCs w:val="24"/>
        </w:rPr>
        <w:t xml:space="preserve"> </w:t>
      </w:r>
    </w:p>
    <w:p w:rsidR="00DB009B" w:rsidRPr="005E3E9F" w:rsidRDefault="00DB009B" w:rsidP="00DB009B">
      <w:pPr>
        <w:pStyle w:val="a8"/>
        <w:spacing w:line="360" w:lineRule="auto"/>
        <w:ind w:firstLineChars="200" w:firstLine="480"/>
        <w:rPr>
          <w:rFonts w:ascii="Times New Roman" w:hAnsi="Times New Roman" w:cs="Times New Roman"/>
          <w:sz w:val="24"/>
          <w:szCs w:val="24"/>
        </w:rPr>
      </w:pPr>
      <w:r w:rsidRPr="005E3E9F">
        <w:rPr>
          <w:rFonts w:ascii="Times New Roman" w:hAnsi="Times New Roman" w:cs="Times New Roman" w:hint="eastAsia"/>
          <w:sz w:val="24"/>
          <w:szCs w:val="24"/>
        </w:rPr>
        <w:t>本基金将代表债券资产部分的业绩比较基准要素由“中债综合指数”调整为“中债</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综合全价（</w:t>
      </w:r>
      <w:r w:rsidRPr="005E3E9F">
        <w:rPr>
          <w:rFonts w:ascii="Times New Roman" w:hAnsi="Times New Roman" w:cs="Times New Roman"/>
          <w:sz w:val="24"/>
          <w:szCs w:val="24"/>
        </w:rPr>
        <w:t>1-3</w:t>
      </w:r>
      <w:r w:rsidRPr="005E3E9F">
        <w:rPr>
          <w:rFonts w:ascii="Times New Roman" w:hAnsi="Times New Roman" w:cs="Times New Roman" w:hint="eastAsia"/>
          <w:sz w:val="24"/>
          <w:szCs w:val="24"/>
        </w:rPr>
        <w:t>年）指数”。</w:t>
      </w:r>
    </w:p>
    <w:p w:rsidR="00DB009B" w:rsidRPr="005E3E9F" w:rsidRDefault="00DB009B" w:rsidP="00DB009B">
      <w:pPr>
        <w:pStyle w:val="a8"/>
        <w:spacing w:line="360" w:lineRule="auto"/>
        <w:ind w:firstLineChars="200" w:firstLine="480"/>
        <w:rPr>
          <w:rFonts w:ascii="Times New Roman" w:hAnsi="Times New Roman" w:cs="Times New Roman"/>
          <w:sz w:val="24"/>
          <w:szCs w:val="24"/>
        </w:rPr>
      </w:pPr>
      <w:r w:rsidRPr="005E3E9F">
        <w:rPr>
          <w:rFonts w:ascii="Times New Roman" w:hAnsi="Times New Roman" w:cs="Times New Roman" w:hint="eastAsia"/>
          <w:sz w:val="24"/>
          <w:szCs w:val="24"/>
        </w:rPr>
        <w:t>本基金的债券资产采用全市场策略，主要通过类属配置与券种选择进行投资管理，预期组合久期整体偏向于中短久期。原业绩比较基准要素“中债综合指数”覆盖境内人民币债券市场各期限债券，久期较长。调整后的新业绩比较基准要素“中债</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综合全价（</w:t>
      </w:r>
      <w:r w:rsidRPr="005E3E9F">
        <w:rPr>
          <w:rFonts w:ascii="Times New Roman" w:hAnsi="Times New Roman" w:cs="Times New Roman"/>
          <w:sz w:val="24"/>
          <w:szCs w:val="24"/>
        </w:rPr>
        <w:t>1-3</w:t>
      </w:r>
      <w:r w:rsidRPr="005E3E9F">
        <w:rPr>
          <w:rFonts w:ascii="Times New Roman" w:hAnsi="Times New Roman" w:cs="Times New Roman" w:hint="eastAsia"/>
          <w:sz w:val="24"/>
          <w:szCs w:val="24"/>
        </w:rPr>
        <w:t>年）指数”则选取中债</w:t>
      </w:r>
      <w:r w:rsidRPr="005E3E9F">
        <w:rPr>
          <w:rFonts w:ascii="Times New Roman" w:hAnsi="Times New Roman" w:cs="Times New Roman" w:hint="eastAsia"/>
          <w:sz w:val="24"/>
          <w:szCs w:val="24"/>
        </w:rPr>
        <w:t>-</w:t>
      </w:r>
      <w:r w:rsidRPr="005E3E9F">
        <w:rPr>
          <w:rFonts w:ascii="Times New Roman" w:hAnsi="Times New Roman" w:cs="Times New Roman" w:hint="eastAsia"/>
          <w:sz w:val="24"/>
          <w:szCs w:val="24"/>
        </w:rPr>
        <w:t>综合指数成分券中待偿期限为</w:t>
      </w:r>
      <w:r w:rsidRPr="005E3E9F">
        <w:rPr>
          <w:rFonts w:ascii="Times New Roman" w:hAnsi="Times New Roman" w:cs="Times New Roman"/>
          <w:sz w:val="24"/>
          <w:szCs w:val="24"/>
        </w:rPr>
        <w:t>1-3</w:t>
      </w:r>
      <w:r w:rsidRPr="005E3E9F">
        <w:rPr>
          <w:rFonts w:ascii="Times New Roman" w:hAnsi="Times New Roman" w:cs="Times New Roman" w:hint="eastAsia"/>
          <w:sz w:val="24"/>
          <w:szCs w:val="24"/>
        </w:rPr>
        <w:t>年（含</w:t>
      </w:r>
      <w:r w:rsidRPr="005E3E9F">
        <w:rPr>
          <w:rFonts w:ascii="Times New Roman" w:hAnsi="Times New Roman" w:cs="Times New Roman"/>
          <w:sz w:val="24"/>
          <w:szCs w:val="24"/>
        </w:rPr>
        <w:t>1</w:t>
      </w:r>
      <w:r w:rsidRPr="005E3E9F">
        <w:rPr>
          <w:rFonts w:ascii="Times New Roman" w:hAnsi="Times New Roman" w:cs="Times New Roman" w:hint="eastAsia"/>
          <w:sz w:val="24"/>
          <w:szCs w:val="24"/>
        </w:rPr>
        <w:t>年）的债券为指数成份券，与基金投资策略相匹配，</w:t>
      </w:r>
      <w:r w:rsidRPr="005E3E9F">
        <w:rPr>
          <w:rFonts w:hAnsi="宋体" w:cs="宋体" w:hint="eastAsia"/>
          <w:color w:val="000000"/>
          <w:kern w:val="0"/>
          <w:sz w:val="24"/>
          <w:szCs w:val="24"/>
        </w:rPr>
        <w:t>适合作为本基金债券部分的业绩比较基准要素</w:t>
      </w:r>
      <w:r w:rsidRPr="005E3E9F">
        <w:rPr>
          <w:rFonts w:ascii="Times New Roman" w:hAnsi="Times New Roman" w:cs="Times New Roman" w:hint="eastAsia"/>
          <w:sz w:val="24"/>
          <w:szCs w:val="24"/>
        </w:rPr>
        <w:t>。</w:t>
      </w:r>
    </w:p>
    <w:p w:rsidR="00DB009B" w:rsidRPr="005E3E9F" w:rsidRDefault="00DB009B" w:rsidP="00DB009B">
      <w:pPr>
        <w:pStyle w:val="a8"/>
        <w:spacing w:line="360" w:lineRule="auto"/>
        <w:ind w:firstLineChars="200" w:firstLine="480"/>
        <w:rPr>
          <w:rFonts w:ascii="Times New Roman" w:hAnsi="Times New Roman" w:cs="Times New Roman"/>
          <w:sz w:val="24"/>
          <w:szCs w:val="24"/>
        </w:rPr>
      </w:pPr>
      <w:r w:rsidRPr="005E3E9F">
        <w:rPr>
          <w:rFonts w:ascii="Times New Roman" w:hAnsi="Times New Roman" w:cs="Times New Roman" w:hint="eastAsia"/>
          <w:sz w:val="24"/>
          <w:szCs w:val="24"/>
        </w:rPr>
        <w:t>此外，基于本基金</w:t>
      </w:r>
      <w:r w:rsidRPr="005E3E9F">
        <w:rPr>
          <w:rFonts w:ascii="Times New Roman" w:hAnsi="Times New Roman" w:cs="Times New Roman" w:hint="eastAsia"/>
          <w:bCs/>
          <w:sz w:val="24"/>
          <w:szCs w:val="24"/>
        </w:rPr>
        <w:t>历史持仓</w:t>
      </w:r>
      <w:r w:rsidRPr="005E3E9F">
        <w:rPr>
          <w:rFonts w:ascii="Times New Roman" w:hAnsi="Times New Roman" w:cs="Times New Roman" w:hint="eastAsia"/>
          <w:sz w:val="24"/>
          <w:szCs w:val="24"/>
        </w:rPr>
        <w:t>，并结合基金合同约定的投资比例限制以及本基金预期的资产配置比例中枢，将业绩比较基准中的股票资产所对应的基准要素权重从</w:t>
      </w:r>
      <w:r w:rsidRPr="005E3E9F">
        <w:rPr>
          <w:rFonts w:ascii="Times New Roman" w:hAnsi="Times New Roman" w:cs="Times New Roman"/>
          <w:sz w:val="24"/>
          <w:szCs w:val="24"/>
        </w:rPr>
        <w:t>60%</w:t>
      </w:r>
      <w:r w:rsidRPr="005E3E9F">
        <w:rPr>
          <w:rFonts w:ascii="Times New Roman" w:hAnsi="Times New Roman" w:cs="Times New Roman" w:hint="eastAsia"/>
          <w:sz w:val="24"/>
          <w:szCs w:val="24"/>
        </w:rPr>
        <w:t>提高至</w:t>
      </w:r>
      <w:r w:rsidRPr="005E3E9F">
        <w:rPr>
          <w:rFonts w:ascii="Times New Roman" w:hAnsi="Times New Roman" w:cs="Times New Roman"/>
          <w:sz w:val="24"/>
          <w:szCs w:val="24"/>
        </w:rPr>
        <w:t>8</w:t>
      </w:r>
      <w:r w:rsidRPr="005E3E9F">
        <w:rPr>
          <w:rFonts w:ascii="Times New Roman" w:hAnsi="Times New Roman" w:cs="Times New Roman" w:hint="eastAsia"/>
          <w:sz w:val="24"/>
          <w:szCs w:val="24"/>
        </w:rPr>
        <w:t>0</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（其中</w:t>
      </w:r>
      <w:r w:rsidRPr="005E3E9F">
        <w:rPr>
          <w:rFonts w:ascii="Times New Roman" w:hAnsi="Times New Roman" w:cs="Times New Roman"/>
          <w:sz w:val="24"/>
          <w:szCs w:val="24"/>
        </w:rPr>
        <w:t>A</w:t>
      </w:r>
      <w:r w:rsidRPr="005E3E9F">
        <w:rPr>
          <w:rFonts w:ascii="Times New Roman" w:hAnsi="Times New Roman" w:cs="Times New Roman" w:hint="eastAsia"/>
          <w:sz w:val="24"/>
          <w:szCs w:val="24"/>
        </w:rPr>
        <w:t>股股票部分的基准要素权重相应从</w:t>
      </w:r>
      <w:r w:rsidRPr="005E3E9F">
        <w:rPr>
          <w:rFonts w:ascii="Times New Roman" w:hAnsi="Times New Roman" w:cs="Times New Roman" w:hint="eastAsia"/>
          <w:sz w:val="24"/>
          <w:szCs w:val="24"/>
        </w:rPr>
        <w:t>30</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提高至</w:t>
      </w:r>
      <w:r w:rsidRPr="005E3E9F">
        <w:rPr>
          <w:rFonts w:ascii="Times New Roman" w:hAnsi="Times New Roman" w:cs="Times New Roman"/>
          <w:sz w:val="24"/>
          <w:szCs w:val="24"/>
        </w:rPr>
        <w:t>5</w:t>
      </w:r>
      <w:r w:rsidRPr="005E3E9F">
        <w:rPr>
          <w:rFonts w:ascii="Times New Roman" w:hAnsi="Times New Roman" w:cs="Times New Roman" w:hint="eastAsia"/>
          <w:sz w:val="24"/>
          <w:szCs w:val="24"/>
        </w:rPr>
        <w:t>0</w:t>
      </w:r>
      <w:r w:rsidRPr="005E3E9F">
        <w:rPr>
          <w:rFonts w:ascii="Times New Roman" w:hAnsi="Times New Roman" w:cs="Times New Roman"/>
          <w:sz w:val="24"/>
          <w:szCs w:val="24"/>
        </w:rPr>
        <w:t>%</w:t>
      </w:r>
      <w:r>
        <w:rPr>
          <w:rFonts w:ascii="Times New Roman" w:hAnsi="Times New Roman" w:cs="Times New Roman" w:hint="eastAsia"/>
          <w:sz w:val="24"/>
          <w:szCs w:val="24"/>
        </w:rPr>
        <w:t>，</w:t>
      </w:r>
      <w:r w:rsidRPr="00065A6E">
        <w:rPr>
          <w:rFonts w:ascii="Times New Roman" w:hAnsi="Times New Roman" w:cs="Times New Roman" w:hint="eastAsia"/>
          <w:sz w:val="24"/>
          <w:szCs w:val="24"/>
        </w:rPr>
        <w:t>港股通标的股票部分的基准要素权重不变</w:t>
      </w:r>
      <w:r w:rsidRPr="005E3E9F">
        <w:rPr>
          <w:rFonts w:ascii="Times New Roman" w:hAnsi="Times New Roman" w:cs="Times New Roman" w:hint="eastAsia"/>
          <w:sz w:val="24"/>
          <w:szCs w:val="24"/>
        </w:rPr>
        <w:t>），将业绩比较基准中的债券资产所对应的基准要素权重从</w:t>
      </w:r>
      <w:r w:rsidRPr="005E3E9F">
        <w:rPr>
          <w:rFonts w:ascii="Times New Roman" w:hAnsi="Times New Roman" w:cs="Times New Roman"/>
          <w:sz w:val="24"/>
          <w:szCs w:val="24"/>
        </w:rPr>
        <w:t>40%</w:t>
      </w:r>
      <w:r w:rsidRPr="005E3E9F">
        <w:rPr>
          <w:rFonts w:ascii="Times New Roman" w:hAnsi="Times New Roman" w:cs="Times New Roman" w:hint="eastAsia"/>
          <w:sz w:val="24"/>
          <w:szCs w:val="24"/>
        </w:rPr>
        <w:t>降低至</w:t>
      </w:r>
      <w:r w:rsidRPr="005E3E9F">
        <w:rPr>
          <w:rFonts w:ascii="Times New Roman" w:hAnsi="Times New Roman" w:cs="Times New Roman" w:hint="eastAsia"/>
          <w:sz w:val="24"/>
          <w:szCs w:val="24"/>
        </w:rPr>
        <w:t>20</w:t>
      </w:r>
      <w:r w:rsidRPr="005E3E9F">
        <w:rPr>
          <w:rFonts w:ascii="Times New Roman" w:hAnsi="Times New Roman" w:cs="Times New Roman"/>
          <w:sz w:val="24"/>
          <w:szCs w:val="24"/>
        </w:rPr>
        <w:t>%</w:t>
      </w:r>
      <w:r w:rsidRPr="005E3E9F">
        <w:rPr>
          <w:rFonts w:ascii="Times New Roman" w:hAnsi="Times New Roman" w:cs="Times New Roman" w:hint="eastAsia"/>
          <w:sz w:val="24"/>
          <w:szCs w:val="24"/>
        </w:rPr>
        <w:t>，从而使得新业绩比较基准中各大资产类别所对应的基准要素权重与基金的定位和基金过往实际投资运作等相匹配。</w:t>
      </w:r>
    </w:p>
    <w:p w:rsidR="00DB009B" w:rsidRPr="005E3E9F" w:rsidRDefault="00DB009B" w:rsidP="00DB009B">
      <w:pPr>
        <w:pStyle w:val="a8"/>
        <w:spacing w:line="360" w:lineRule="auto"/>
        <w:ind w:firstLineChars="200" w:firstLine="480"/>
        <w:rPr>
          <w:rFonts w:ascii="Times New Roman" w:hAnsi="Times New Roman" w:cs="Times New Roman"/>
          <w:b/>
          <w:bCs/>
          <w:sz w:val="24"/>
          <w:szCs w:val="24"/>
        </w:rPr>
      </w:pPr>
      <w:r w:rsidRPr="005E3E9F">
        <w:rPr>
          <w:rFonts w:ascii="Times New Roman" w:hAnsi="Times New Roman" w:cs="Times New Roman" w:hint="eastAsia"/>
          <w:sz w:val="24"/>
          <w:szCs w:val="24"/>
        </w:rPr>
        <w:lastRenderedPageBreak/>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景顺长城全球半导体芯片产业股票型证券投资基金</w:t>
      </w:r>
      <w:r w:rsidRPr="005E3E9F">
        <w:rPr>
          <w:rFonts w:ascii="Times New Roman" w:hAnsi="Times New Roman" w:cs="Times New Roman"/>
          <w:b/>
          <w:bCs/>
          <w:sz w:val="24"/>
          <w:szCs w:val="24"/>
        </w:rPr>
        <w:t>(QDII-LOF)</w:t>
      </w:r>
    </w:p>
    <w:p w:rsidR="00DB009B" w:rsidRPr="005E3E9F" w:rsidRDefault="00DB009B" w:rsidP="00DB009B">
      <w:pPr>
        <w:spacing w:line="360" w:lineRule="auto"/>
        <w:ind w:firstLineChars="200" w:firstLine="480"/>
        <w:rPr>
          <w:bCs/>
          <w:sz w:val="24"/>
        </w:rPr>
      </w:pPr>
      <w:r w:rsidRPr="005E3E9F">
        <w:rPr>
          <w:rFonts w:hint="eastAsia"/>
          <w:bCs/>
          <w:sz w:val="24"/>
        </w:rPr>
        <w:t>此次本基金业绩比较基准调整涉及调整业绩比较基准的要素权重。</w:t>
      </w:r>
      <w:r w:rsidRPr="005E3E9F">
        <w:rPr>
          <w:bCs/>
          <w:sz w:val="24"/>
        </w:rPr>
        <w:t xml:space="preserve"> </w:t>
      </w:r>
    </w:p>
    <w:p w:rsidR="00DB009B" w:rsidRPr="005E3E9F" w:rsidRDefault="00DB009B" w:rsidP="00DB009B">
      <w:pPr>
        <w:spacing w:line="360" w:lineRule="auto"/>
        <w:ind w:firstLineChars="200" w:firstLine="480"/>
        <w:rPr>
          <w:bCs/>
          <w:sz w:val="24"/>
        </w:rPr>
      </w:pPr>
      <w:r w:rsidRPr="005E3E9F">
        <w:rPr>
          <w:rFonts w:hint="eastAsia"/>
          <w:bCs/>
          <w:sz w:val="24"/>
        </w:rPr>
        <w:t>基于本基金历史持仓，并结合基金合同约定的投资比例限制以及本基金预期的资产配置比例中枢，将业绩比较基准中的境外权益类资产所对应的基准要素权重从</w:t>
      </w:r>
      <w:r w:rsidRPr="005E3E9F">
        <w:rPr>
          <w:bCs/>
          <w:sz w:val="24"/>
        </w:rPr>
        <w:t>75%</w:t>
      </w:r>
      <w:r w:rsidRPr="005E3E9F">
        <w:rPr>
          <w:rFonts w:hint="eastAsia"/>
          <w:bCs/>
          <w:sz w:val="24"/>
        </w:rPr>
        <w:t>降低</w:t>
      </w:r>
      <w:r w:rsidRPr="005E3E9F">
        <w:rPr>
          <w:bCs/>
          <w:sz w:val="24"/>
        </w:rPr>
        <w:t>至</w:t>
      </w:r>
      <w:r w:rsidRPr="005E3E9F">
        <w:rPr>
          <w:rFonts w:hint="eastAsia"/>
          <w:bCs/>
          <w:sz w:val="24"/>
        </w:rPr>
        <w:t>7</w:t>
      </w:r>
      <w:r w:rsidRPr="005E3E9F">
        <w:rPr>
          <w:bCs/>
          <w:sz w:val="24"/>
        </w:rPr>
        <w:t>0%</w:t>
      </w:r>
      <w:r w:rsidRPr="005E3E9F">
        <w:rPr>
          <w:bCs/>
          <w:sz w:val="24"/>
        </w:rPr>
        <w:t>，将业绩比较基准中的</w:t>
      </w:r>
      <w:r w:rsidRPr="005E3E9F">
        <w:rPr>
          <w:rFonts w:hint="eastAsia"/>
          <w:bCs/>
          <w:sz w:val="24"/>
        </w:rPr>
        <w:t>境内权益类</w:t>
      </w:r>
      <w:r w:rsidRPr="005E3E9F">
        <w:rPr>
          <w:bCs/>
          <w:sz w:val="24"/>
        </w:rPr>
        <w:t>资产所对应的基准要素权重从</w:t>
      </w:r>
      <w:r w:rsidRPr="005E3E9F">
        <w:rPr>
          <w:rFonts w:hint="eastAsia"/>
          <w:bCs/>
          <w:sz w:val="24"/>
        </w:rPr>
        <w:t>1</w:t>
      </w:r>
      <w:r w:rsidRPr="005E3E9F">
        <w:rPr>
          <w:bCs/>
          <w:sz w:val="24"/>
        </w:rPr>
        <w:t>5%</w:t>
      </w:r>
      <w:r w:rsidRPr="005E3E9F">
        <w:rPr>
          <w:rFonts w:hint="eastAsia"/>
          <w:bCs/>
          <w:sz w:val="24"/>
        </w:rPr>
        <w:t>提高</w:t>
      </w:r>
      <w:r w:rsidRPr="005E3E9F">
        <w:rPr>
          <w:bCs/>
          <w:sz w:val="24"/>
        </w:rPr>
        <w:t>至</w:t>
      </w:r>
      <w:r w:rsidRPr="005E3E9F">
        <w:rPr>
          <w:rFonts w:hint="eastAsia"/>
          <w:bCs/>
          <w:sz w:val="24"/>
        </w:rPr>
        <w:t>2</w:t>
      </w:r>
      <w:r w:rsidRPr="005E3E9F">
        <w:rPr>
          <w:bCs/>
          <w:sz w:val="24"/>
        </w:rPr>
        <w:t>0%</w:t>
      </w:r>
      <w:r w:rsidRPr="005E3E9F">
        <w:rPr>
          <w:bCs/>
          <w:sz w:val="24"/>
        </w:rPr>
        <w:t>，从而使得新业绩比较基准中</w:t>
      </w:r>
      <w:r w:rsidRPr="005E3E9F">
        <w:rPr>
          <w:rFonts w:hint="eastAsia"/>
          <w:bCs/>
          <w:sz w:val="24"/>
        </w:rPr>
        <w:t>境内外权益类资产</w:t>
      </w:r>
      <w:r w:rsidRPr="005E3E9F">
        <w:rPr>
          <w:bCs/>
          <w:sz w:val="24"/>
        </w:rPr>
        <w:t>所对应的基准要素权重与基金</w:t>
      </w:r>
      <w:r w:rsidRPr="005E3E9F">
        <w:rPr>
          <w:rFonts w:hint="eastAsia"/>
          <w:bCs/>
          <w:sz w:val="24"/>
        </w:rPr>
        <w:t>投资策略</w:t>
      </w:r>
      <w:r w:rsidRPr="005E3E9F">
        <w:rPr>
          <w:bCs/>
          <w:sz w:val="24"/>
        </w:rPr>
        <w:t>和基金过往实际投资运作等相匹配。</w:t>
      </w:r>
    </w:p>
    <w:p w:rsidR="00DB009B" w:rsidRPr="005E3E9F" w:rsidRDefault="00DB009B" w:rsidP="00DB009B">
      <w:pPr>
        <w:spacing w:line="360" w:lineRule="auto"/>
        <w:ind w:firstLineChars="200" w:firstLine="480"/>
        <w:rPr>
          <w:bCs/>
          <w:sz w:val="24"/>
        </w:rPr>
      </w:pPr>
      <w:r w:rsidRPr="005E3E9F">
        <w:rPr>
          <w:bCs/>
          <w:sz w:val="24"/>
        </w:rPr>
        <w:t>上述调整</w:t>
      </w:r>
      <w:r w:rsidRPr="005E3E9F">
        <w:rPr>
          <w:rFonts w:hint="eastAsia"/>
          <w:bCs/>
          <w:sz w:val="24"/>
        </w:rPr>
        <w:t>符合《公开募集证券投资基金业绩比较基准指引》和《公开募集证券投资基金业绩比较基准操作细则》的要求，</w:t>
      </w:r>
      <w:r w:rsidRPr="005E3E9F">
        <w:rPr>
          <w:bCs/>
          <w:sz w:val="24"/>
        </w:rPr>
        <w:t>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景顺长城稳定收益债券型证券投资基金</w:t>
      </w:r>
    </w:p>
    <w:p w:rsidR="00DB009B" w:rsidRPr="005E3E9F" w:rsidRDefault="00DB009B" w:rsidP="00DB009B">
      <w:pPr>
        <w:spacing w:line="360" w:lineRule="auto"/>
        <w:ind w:firstLineChars="200" w:firstLine="480"/>
        <w:rPr>
          <w:bCs/>
          <w:sz w:val="24"/>
        </w:rPr>
      </w:pPr>
      <w:r w:rsidRPr="005E3E9F">
        <w:rPr>
          <w:rFonts w:hint="eastAsia"/>
          <w:bCs/>
          <w:sz w:val="24"/>
        </w:rPr>
        <w:t>此次本基金业绩比较基准调整同时涉及更换业绩比较基准要素和调整业绩比较基准的要素权重。</w:t>
      </w:r>
      <w:r w:rsidRPr="005E3E9F">
        <w:rPr>
          <w:rFonts w:hint="eastAsia"/>
          <w:bCs/>
          <w:sz w:val="24"/>
        </w:rPr>
        <w:t xml:space="preserve"> </w:t>
      </w:r>
    </w:p>
    <w:p w:rsidR="00DB009B" w:rsidRPr="005E3E9F" w:rsidRDefault="00DB009B" w:rsidP="00DB009B">
      <w:pPr>
        <w:spacing w:line="360" w:lineRule="auto"/>
        <w:ind w:firstLineChars="200" w:firstLine="480"/>
        <w:rPr>
          <w:bCs/>
          <w:sz w:val="24"/>
        </w:rPr>
      </w:pPr>
      <w:r w:rsidRPr="005E3E9F">
        <w:rPr>
          <w:rFonts w:hint="eastAsia"/>
          <w:bCs/>
          <w:sz w:val="24"/>
        </w:rPr>
        <w:t>本基金将代表债券资产部分的业绩比较基准要素由“中证综合债指数”调整为“中债</w:t>
      </w:r>
      <w:r w:rsidRPr="005E3E9F">
        <w:rPr>
          <w:bCs/>
          <w:sz w:val="24"/>
        </w:rPr>
        <w:t>-</w:t>
      </w:r>
      <w:r w:rsidRPr="005E3E9F">
        <w:rPr>
          <w:rFonts w:hint="eastAsia"/>
          <w:bCs/>
          <w:sz w:val="24"/>
        </w:rPr>
        <w:t>综合财富</w:t>
      </w:r>
      <w:r w:rsidRPr="005E3E9F">
        <w:rPr>
          <w:bCs/>
          <w:sz w:val="24"/>
        </w:rPr>
        <w:t>(1-3</w:t>
      </w:r>
      <w:r w:rsidRPr="005E3E9F">
        <w:rPr>
          <w:rFonts w:hint="eastAsia"/>
          <w:bCs/>
          <w:sz w:val="24"/>
        </w:rPr>
        <w:t>年</w:t>
      </w:r>
      <w:r w:rsidRPr="005E3E9F">
        <w:rPr>
          <w:bCs/>
          <w:sz w:val="24"/>
        </w:rPr>
        <w:t>)</w:t>
      </w:r>
      <w:r w:rsidRPr="005E3E9F">
        <w:rPr>
          <w:rFonts w:hint="eastAsia"/>
          <w:bCs/>
          <w:sz w:val="24"/>
        </w:rPr>
        <w:t>指数”和“中证可转换债券指数”。</w:t>
      </w:r>
    </w:p>
    <w:p w:rsidR="00DB009B" w:rsidRPr="005E3E9F" w:rsidRDefault="00DB009B" w:rsidP="00DB009B">
      <w:pPr>
        <w:spacing w:line="360" w:lineRule="auto"/>
        <w:ind w:firstLineChars="200" w:firstLine="480"/>
        <w:rPr>
          <w:bCs/>
          <w:sz w:val="24"/>
        </w:rPr>
      </w:pPr>
      <w:r w:rsidRPr="005E3E9F">
        <w:rPr>
          <w:rFonts w:hint="eastAsia"/>
          <w:bCs/>
          <w:sz w:val="24"/>
        </w:rPr>
        <w:t>本基金的债券资产采用全市场策略，主要通过类属配置与券种选择进行投资管理，组合主要配置中短期债券，结合预期市场利率水平变动趋势，灵活把握长债的交易机会。原业绩比较基准要素“中证综合债指数”由在沪深证券交易所及银行间市场上市的剩余期限</w:t>
      </w:r>
      <w:r w:rsidRPr="005E3E9F">
        <w:rPr>
          <w:rFonts w:hint="eastAsia"/>
          <w:bCs/>
          <w:sz w:val="24"/>
        </w:rPr>
        <w:t>1</w:t>
      </w:r>
      <w:r w:rsidRPr="005E3E9F">
        <w:rPr>
          <w:rFonts w:hint="eastAsia"/>
          <w:bCs/>
          <w:sz w:val="24"/>
        </w:rPr>
        <w:t>个月以上的国债、金融债、企业债、央行票据及企业短期融资券构成，久期较长。调整后的新业绩比较基准要素“中债</w:t>
      </w:r>
      <w:r w:rsidRPr="005E3E9F">
        <w:rPr>
          <w:bCs/>
          <w:sz w:val="24"/>
        </w:rPr>
        <w:t>-</w:t>
      </w:r>
      <w:r w:rsidRPr="005E3E9F">
        <w:rPr>
          <w:rFonts w:hint="eastAsia"/>
          <w:bCs/>
          <w:sz w:val="24"/>
        </w:rPr>
        <w:t>综合财富</w:t>
      </w:r>
      <w:r w:rsidRPr="005E3E9F">
        <w:rPr>
          <w:bCs/>
          <w:sz w:val="24"/>
        </w:rPr>
        <w:t>(1-3</w:t>
      </w:r>
      <w:r w:rsidRPr="005E3E9F">
        <w:rPr>
          <w:rFonts w:hint="eastAsia"/>
          <w:bCs/>
          <w:sz w:val="24"/>
        </w:rPr>
        <w:t>年</w:t>
      </w:r>
      <w:r w:rsidRPr="005E3E9F">
        <w:rPr>
          <w:bCs/>
          <w:sz w:val="24"/>
        </w:rPr>
        <w:t>)</w:t>
      </w:r>
      <w:r w:rsidRPr="005E3E9F">
        <w:rPr>
          <w:rFonts w:hint="eastAsia"/>
          <w:bCs/>
          <w:sz w:val="24"/>
        </w:rPr>
        <w:t>指数”则选取中债</w:t>
      </w:r>
      <w:r w:rsidRPr="005E3E9F">
        <w:rPr>
          <w:bCs/>
          <w:sz w:val="24"/>
        </w:rPr>
        <w:t>-</w:t>
      </w:r>
      <w:r w:rsidRPr="005E3E9F">
        <w:rPr>
          <w:rFonts w:hint="eastAsia"/>
          <w:bCs/>
          <w:sz w:val="24"/>
        </w:rPr>
        <w:t>综合指数成分券中待偿期限为</w:t>
      </w:r>
      <w:r w:rsidRPr="005E3E9F">
        <w:rPr>
          <w:bCs/>
          <w:sz w:val="24"/>
        </w:rPr>
        <w:t>1-3</w:t>
      </w:r>
      <w:r w:rsidRPr="005E3E9F">
        <w:rPr>
          <w:rFonts w:hint="eastAsia"/>
          <w:bCs/>
          <w:sz w:val="24"/>
        </w:rPr>
        <w:t>年（含</w:t>
      </w:r>
      <w:r w:rsidRPr="005E3E9F">
        <w:rPr>
          <w:bCs/>
          <w:sz w:val="24"/>
        </w:rPr>
        <w:t>1</w:t>
      </w:r>
      <w:r w:rsidRPr="005E3E9F">
        <w:rPr>
          <w:rFonts w:hint="eastAsia"/>
          <w:bCs/>
          <w:sz w:val="24"/>
        </w:rPr>
        <w:t>年）的债券为指数成份券，与基金投资策略相匹配，</w:t>
      </w:r>
      <w:r w:rsidRPr="005E3E9F">
        <w:rPr>
          <w:rFonts w:ascii="宋体" w:hAnsi="宋体" w:cs="宋体" w:hint="eastAsia"/>
          <w:color w:val="000000"/>
          <w:kern w:val="0"/>
          <w:sz w:val="24"/>
        </w:rPr>
        <w:t>适合作为本基金债券部分的业绩比较基准要素</w:t>
      </w:r>
      <w:r w:rsidRPr="005E3E9F">
        <w:rPr>
          <w:rFonts w:hint="eastAsia"/>
          <w:bCs/>
          <w:sz w:val="24"/>
        </w:rPr>
        <w:t>。</w:t>
      </w:r>
    </w:p>
    <w:p w:rsidR="00DB009B" w:rsidRPr="005E3E9F" w:rsidRDefault="00DB009B" w:rsidP="00DB009B">
      <w:pPr>
        <w:spacing w:line="360" w:lineRule="auto"/>
        <w:ind w:firstLineChars="200" w:firstLine="480"/>
        <w:rPr>
          <w:bCs/>
          <w:sz w:val="24"/>
        </w:rPr>
      </w:pPr>
      <w:r w:rsidRPr="005E3E9F">
        <w:rPr>
          <w:rFonts w:hint="eastAsia"/>
          <w:bCs/>
          <w:sz w:val="24"/>
        </w:rPr>
        <w:t>本基金投资范围</w:t>
      </w:r>
      <w:r w:rsidRPr="005E3E9F">
        <w:rPr>
          <w:rFonts w:hint="eastAsia"/>
          <w:sz w:val="24"/>
        </w:rPr>
        <w:t>和</w:t>
      </w:r>
      <w:r w:rsidRPr="005E3E9F">
        <w:rPr>
          <w:rFonts w:ascii="宋体" w:hAnsi="宋体" w:cs="宋体" w:hint="eastAsia"/>
          <w:color w:val="000000"/>
          <w:kern w:val="0"/>
          <w:sz w:val="24"/>
        </w:rPr>
        <w:t>预期投资的主要资产类别</w:t>
      </w:r>
      <w:r w:rsidRPr="005E3E9F">
        <w:rPr>
          <w:rFonts w:hint="eastAsia"/>
          <w:bCs/>
          <w:sz w:val="24"/>
        </w:rPr>
        <w:t>包含可转债。调整后的新业绩比较基准要素“中证可转换债券指数”的样本券由在沪深交易所上市的可转换债券组成，指数采用市值加权计算，以反映沪深交易所可转换债券的整体表现，适合</w:t>
      </w:r>
      <w:r w:rsidRPr="005E3E9F">
        <w:rPr>
          <w:rFonts w:hint="eastAsia"/>
          <w:bCs/>
          <w:sz w:val="24"/>
        </w:rPr>
        <w:lastRenderedPageBreak/>
        <w:t>作为本基金可转债部分的业绩比较基准要素。</w:t>
      </w:r>
    </w:p>
    <w:p w:rsidR="00DB009B" w:rsidRPr="005E3E9F" w:rsidRDefault="00DB009B" w:rsidP="00DB009B">
      <w:pPr>
        <w:spacing w:line="360" w:lineRule="auto"/>
        <w:ind w:firstLineChars="200" w:firstLine="480"/>
        <w:rPr>
          <w:bCs/>
          <w:sz w:val="24"/>
        </w:rPr>
      </w:pPr>
      <w:r w:rsidRPr="005E3E9F">
        <w:rPr>
          <w:rFonts w:hint="eastAsia"/>
          <w:bCs/>
          <w:sz w:val="24"/>
        </w:rPr>
        <w:t>此外，基于本基金历史持仓</w:t>
      </w:r>
      <w:r w:rsidRPr="005E3E9F">
        <w:rPr>
          <w:rFonts w:hint="eastAsia"/>
          <w:sz w:val="24"/>
        </w:rPr>
        <w:t>，并结合基金合同约定的投资比例限制以及本基金预期的资产配置比例中枢</w:t>
      </w:r>
      <w:r w:rsidRPr="005E3E9F">
        <w:rPr>
          <w:rFonts w:hint="eastAsia"/>
          <w:bCs/>
          <w:sz w:val="24"/>
        </w:rPr>
        <w:t>，本基金将可转换债券（含分离型可转换债券）及其他债券资产部分所对应的基准要素权重分别设置为</w:t>
      </w:r>
      <w:r w:rsidRPr="005E3E9F">
        <w:rPr>
          <w:rFonts w:hint="eastAsia"/>
          <w:bCs/>
          <w:sz w:val="24"/>
        </w:rPr>
        <w:t>40%</w:t>
      </w:r>
      <w:r w:rsidRPr="005E3E9F">
        <w:rPr>
          <w:rFonts w:hint="eastAsia"/>
          <w:bCs/>
          <w:sz w:val="24"/>
        </w:rPr>
        <w:t>和</w:t>
      </w:r>
      <w:r w:rsidRPr="005E3E9F">
        <w:rPr>
          <w:rFonts w:hint="eastAsia"/>
          <w:bCs/>
          <w:sz w:val="24"/>
        </w:rPr>
        <w:t>60%</w:t>
      </w:r>
      <w:r w:rsidRPr="005E3E9F">
        <w:rPr>
          <w:rFonts w:hint="eastAsia"/>
          <w:bCs/>
          <w:sz w:val="24"/>
        </w:rPr>
        <w:t>，从而使得新业绩比较基准中各大资产类别所对应的基准要素权重与基金投资策略和基金过往实际投资运作等相匹配。</w:t>
      </w:r>
    </w:p>
    <w:p w:rsidR="00DB009B" w:rsidRPr="005E3E9F" w:rsidRDefault="00DB009B" w:rsidP="00DB009B">
      <w:pPr>
        <w:spacing w:line="360" w:lineRule="auto"/>
        <w:ind w:firstLineChars="200" w:firstLine="480"/>
        <w:rPr>
          <w:b/>
          <w:bCs/>
          <w:sz w:val="24"/>
        </w:rPr>
      </w:pPr>
      <w:r w:rsidRPr="005E3E9F">
        <w:rPr>
          <w:rFonts w:hint="eastAsia"/>
          <w:bCs/>
          <w:sz w:val="24"/>
        </w:rPr>
        <w:t>上述调整符合《公开募集证券投资基金业绩比较基准指引》和《公开募集证券投资基金业绩比较基准操作细则》的要求，对本基金投资运作、基金份额持有人利益无实质性不利影响。</w:t>
      </w:r>
    </w:p>
    <w:p w:rsidR="00DB009B" w:rsidRPr="005E3E9F" w:rsidRDefault="00DB009B" w:rsidP="00DB009B">
      <w:pPr>
        <w:pStyle w:val="a8"/>
        <w:numPr>
          <w:ilvl w:val="0"/>
          <w:numId w:val="1"/>
        </w:numPr>
        <w:spacing w:line="360" w:lineRule="auto"/>
        <w:ind w:left="0" w:firstLineChars="200" w:firstLine="482"/>
        <w:rPr>
          <w:rFonts w:ascii="Times New Roman" w:hAnsi="Times New Roman" w:cs="Times New Roman"/>
          <w:b/>
          <w:bCs/>
          <w:sz w:val="24"/>
          <w:szCs w:val="24"/>
        </w:rPr>
      </w:pPr>
      <w:r w:rsidRPr="005E3E9F">
        <w:rPr>
          <w:rFonts w:ascii="Times New Roman" w:hAnsi="Times New Roman" w:cs="Times New Roman" w:hint="eastAsia"/>
          <w:b/>
          <w:bCs/>
          <w:sz w:val="24"/>
          <w:szCs w:val="24"/>
        </w:rPr>
        <w:t>景顺长城保守养老目标一年持有期混合型基金中基金</w:t>
      </w:r>
      <w:r w:rsidRPr="005E3E9F">
        <w:rPr>
          <w:rFonts w:ascii="Times New Roman" w:hAnsi="Times New Roman" w:cs="Times New Roman"/>
          <w:b/>
          <w:bCs/>
          <w:sz w:val="24"/>
          <w:szCs w:val="24"/>
        </w:rPr>
        <w:t>(FOF)</w:t>
      </w:r>
    </w:p>
    <w:p w:rsidR="00DB009B" w:rsidRPr="005E3E9F" w:rsidRDefault="00DB009B" w:rsidP="00DB009B">
      <w:pPr>
        <w:spacing w:line="360" w:lineRule="auto"/>
        <w:ind w:firstLineChars="200" w:firstLine="480"/>
        <w:rPr>
          <w:bCs/>
          <w:sz w:val="24"/>
        </w:rPr>
      </w:pPr>
      <w:r w:rsidRPr="005E3E9F">
        <w:rPr>
          <w:rFonts w:hint="eastAsia"/>
          <w:bCs/>
          <w:sz w:val="24"/>
        </w:rPr>
        <w:t>此次本基金业绩比较基准调整同时涉及更换业绩比较基准要素和调整业绩比较基准的要素权重。</w:t>
      </w:r>
      <w:r w:rsidRPr="005E3E9F">
        <w:rPr>
          <w:rFonts w:hint="eastAsia"/>
          <w:bCs/>
          <w:sz w:val="24"/>
        </w:rPr>
        <w:t xml:space="preserve"> </w:t>
      </w:r>
    </w:p>
    <w:p w:rsidR="00DB009B" w:rsidRPr="005E3E9F" w:rsidRDefault="00DB009B" w:rsidP="00DB009B">
      <w:pPr>
        <w:spacing w:line="360" w:lineRule="auto"/>
        <w:ind w:firstLineChars="200" w:firstLine="480"/>
        <w:rPr>
          <w:bCs/>
          <w:sz w:val="24"/>
        </w:rPr>
      </w:pPr>
      <w:bookmarkStart w:id="5" w:name="_Hlk228283349"/>
      <w:r w:rsidRPr="005E3E9F">
        <w:rPr>
          <w:rFonts w:hint="eastAsia"/>
          <w:bCs/>
          <w:sz w:val="24"/>
        </w:rPr>
        <w:t>本基金将代表固定收益类资产的业绩比较基准要素由“中证全债指数”调整为“中证纯债债券型基金指数”，将代表境内权益类资产的业绩比较基准要素由“中证</w:t>
      </w:r>
      <w:r w:rsidRPr="005E3E9F">
        <w:rPr>
          <w:rFonts w:hint="eastAsia"/>
          <w:bCs/>
          <w:sz w:val="24"/>
        </w:rPr>
        <w:t>800</w:t>
      </w:r>
      <w:r w:rsidRPr="005E3E9F">
        <w:rPr>
          <w:rFonts w:hint="eastAsia"/>
          <w:bCs/>
          <w:sz w:val="24"/>
        </w:rPr>
        <w:t>指数”调整为“中证偏股型基金指数”，将代表境外权益类资产的业绩比较基准要素由“恒生指数”调整为“</w:t>
      </w:r>
      <w:r w:rsidRPr="005E3E9F">
        <w:rPr>
          <w:rFonts w:hint="eastAsia"/>
          <w:bCs/>
          <w:sz w:val="24"/>
        </w:rPr>
        <w:t>MSCI</w:t>
      </w:r>
      <w:r w:rsidRPr="005E3E9F">
        <w:rPr>
          <w:rFonts w:hint="eastAsia"/>
          <w:bCs/>
          <w:sz w:val="24"/>
        </w:rPr>
        <w:t>发达市场指数（</w:t>
      </w:r>
      <w:r w:rsidRPr="005E3E9F">
        <w:rPr>
          <w:rFonts w:hint="eastAsia"/>
          <w:bCs/>
          <w:sz w:val="24"/>
        </w:rPr>
        <w:t>MSCI World Index</w:t>
      </w:r>
      <w:r w:rsidRPr="005E3E9F">
        <w:rPr>
          <w:rFonts w:hint="eastAsia"/>
          <w:bCs/>
          <w:sz w:val="24"/>
        </w:rPr>
        <w:t>）”。</w:t>
      </w:r>
    </w:p>
    <w:bookmarkEnd w:id="5"/>
    <w:p w:rsidR="00DB009B" w:rsidRPr="005E3E9F" w:rsidRDefault="00DB009B" w:rsidP="00DB009B">
      <w:pPr>
        <w:spacing w:line="360" w:lineRule="auto"/>
        <w:ind w:firstLineChars="200" w:firstLine="480"/>
        <w:rPr>
          <w:bCs/>
          <w:sz w:val="24"/>
        </w:rPr>
      </w:pPr>
      <w:r w:rsidRPr="005E3E9F">
        <w:rPr>
          <w:rFonts w:hint="eastAsia"/>
          <w:bCs/>
          <w:sz w:val="24"/>
        </w:rPr>
        <w:t>本基金固定收益类资产主要通过基金规模、历史业绩表现等指标进行筛选，优先选长期业绩相对较好、投资风格稳定、盈利模式可持续的固定收益类基金。原业绩比较基准要素“中证全债指数”选取在沪深交易所或银行间市场上市的</w:t>
      </w:r>
      <w:r w:rsidRPr="005E3E9F">
        <w:rPr>
          <w:rFonts w:hint="eastAsia"/>
          <w:bCs/>
          <w:sz w:val="24"/>
        </w:rPr>
        <w:t xml:space="preserve"> BBB </w:t>
      </w:r>
      <w:r w:rsidRPr="005E3E9F">
        <w:rPr>
          <w:rFonts w:hint="eastAsia"/>
          <w:bCs/>
          <w:sz w:val="24"/>
        </w:rPr>
        <w:t>及以上、且剩余期限</w:t>
      </w:r>
      <w:r w:rsidRPr="005E3E9F">
        <w:rPr>
          <w:rFonts w:hint="eastAsia"/>
          <w:bCs/>
          <w:sz w:val="24"/>
        </w:rPr>
        <w:t>1</w:t>
      </w:r>
      <w:r w:rsidRPr="005E3E9F">
        <w:rPr>
          <w:rFonts w:hint="eastAsia"/>
          <w:bCs/>
          <w:sz w:val="24"/>
        </w:rPr>
        <w:t>年及以上的国债、金融债、企业债等债券作为成份券，反映全市场相应期限债券的整体表现。调整后的新业绩比较基准要素“中证纯债债券型基金指数”由按基金合同规定只投资债券的基金组成，且排除可转债基金、定期开放式基金、</w:t>
      </w:r>
      <w:r w:rsidRPr="005E3E9F">
        <w:rPr>
          <w:rFonts w:hint="eastAsia"/>
          <w:bCs/>
          <w:sz w:val="24"/>
        </w:rPr>
        <w:t>ETF</w:t>
      </w:r>
      <w:r w:rsidRPr="005E3E9F">
        <w:rPr>
          <w:rFonts w:hint="eastAsia"/>
          <w:bCs/>
          <w:sz w:val="24"/>
        </w:rPr>
        <w:t>、</w:t>
      </w:r>
      <w:r w:rsidRPr="005E3E9F">
        <w:rPr>
          <w:rFonts w:hint="eastAsia"/>
          <w:bCs/>
          <w:sz w:val="24"/>
        </w:rPr>
        <w:t>LOF</w:t>
      </w:r>
      <w:r w:rsidRPr="005E3E9F">
        <w:rPr>
          <w:rFonts w:hint="eastAsia"/>
          <w:bCs/>
          <w:sz w:val="24"/>
        </w:rPr>
        <w:t>，采用净值规模加权，以反映所有纯债开放式证券投资基金的整体走势。基于本基金历史持仓，本基金固定收益类资产主要投资于纯债型基金，中证纯债债券型基金指数适合作为本基金固定收益部分的业绩比较基准要素。</w:t>
      </w:r>
    </w:p>
    <w:p w:rsidR="00DB009B" w:rsidRPr="005E3E9F" w:rsidRDefault="00DB009B" w:rsidP="00DB009B">
      <w:pPr>
        <w:spacing w:line="360" w:lineRule="auto"/>
        <w:ind w:firstLineChars="200" w:firstLine="480"/>
        <w:rPr>
          <w:bCs/>
          <w:sz w:val="24"/>
        </w:rPr>
      </w:pPr>
      <w:r w:rsidRPr="005E3E9F">
        <w:rPr>
          <w:bCs/>
          <w:sz w:val="24"/>
        </w:rPr>
        <w:t>本基金</w:t>
      </w:r>
      <w:r w:rsidRPr="005E3E9F">
        <w:rPr>
          <w:rFonts w:hint="eastAsia"/>
          <w:bCs/>
          <w:sz w:val="24"/>
        </w:rPr>
        <w:t>境内权益资产</w:t>
      </w:r>
      <w:r w:rsidRPr="005E3E9F">
        <w:rPr>
          <w:bCs/>
          <w:sz w:val="24"/>
        </w:rPr>
        <w:t>主要通过基金规模、历史业绩表现等指标进行筛选，优先选长期业绩相对较好、投资风格稳定、盈利模式可持续的</w:t>
      </w:r>
      <w:r w:rsidRPr="005E3E9F">
        <w:rPr>
          <w:rFonts w:hint="eastAsia"/>
          <w:bCs/>
          <w:sz w:val="24"/>
        </w:rPr>
        <w:t>权益</w:t>
      </w:r>
      <w:r w:rsidRPr="005E3E9F">
        <w:rPr>
          <w:bCs/>
          <w:sz w:val="24"/>
        </w:rPr>
        <w:t>类基金。</w:t>
      </w:r>
      <w:r w:rsidRPr="005E3E9F">
        <w:rPr>
          <w:rFonts w:hint="eastAsia"/>
          <w:bCs/>
          <w:sz w:val="24"/>
        </w:rPr>
        <w:t>原业绩比较基准要素“中证</w:t>
      </w:r>
      <w:r w:rsidRPr="005E3E9F">
        <w:rPr>
          <w:rFonts w:hint="eastAsia"/>
          <w:bCs/>
          <w:sz w:val="24"/>
        </w:rPr>
        <w:t>800</w:t>
      </w:r>
      <w:r w:rsidRPr="005E3E9F">
        <w:rPr>
          <w:rFonts w:hint="eastAsia"/>
          <w:bCs/>
          <w:sz w:val="24"/>
        </w:rPr>
        <w:t>指数”由中证</w:t>
      </w:r>
      <w:r w:rsidRPr="005E3E9F">
        <w:rPr>
          <w:rFonts w:hint="eastAsia"/>
          <w:bCs/>
          <w:sz w:val="24"/>
        </w:rPr>
        <w:t>500</w:t>
      </w:r>
      <w:r w:rsidRPr="005E3E9F">
        <w:rPr>
          <w:rFonts w:hint="eastAsia"/>
          <w:bCs/>
          <w:sz w:val="24"/>
        </w:rPr>
        <w:t>指数和沪深</w:t>
      </w:r>
      <w:r w:rsidRPr="005E3E9F">
        <w:rPr>
          <w:rFonts w:hint="eastAsia"/>
          <w:bCs/>
          <w:sz w:val="24"/>
        </w:rPr>
        <w:t>300</w:t>
      </w:r>
      <w:r w:rsidRPr="005E3E9F">
        <w:rPr>
          <w:rFonts w:hint="eastAsia"/>
          <w:bCs/>
          <w:sz w:val="24"/>
        </w:rPr>
        <w:t>指数成份股组成，反</w:t>
      </w:r>
      <w:r w:rsidRPr="005E3E9F">
        <w:rPr>
          <w:rFonts w:hint="eastAsia"/>
          <w:bCs/>
          <w:sz w:val="24"/>
        </w:rPr>
        <w:lastRenderedPageBreak/>
        <w:t>映沪深市场大中盘上市公司证券的整体表现。调整后的新业绩比较基准要素“中证偏股型基金指数“选取内地上市的所有股票型基金以及混合型基金中以股票为主要投资对象的基金（取基金合同中约定股票投资范围下限在</w:t>
      </w:r>
      <w:r w:rsidRPr="005E3E9F">
        <w:rPr>
          <w:rFonts w:hint="eastAsia"/>
          <w:bCs/>
          <w:sz w:val="24"/>
        </w:rPr>
        <w:t xml:space="preserve"> 60%</w:t>
      </w:r>
      <w:r w:rsidRPr="005E3E9F">
        <w:rPr>
          <w:rFonts w:hint="eastAsia"/>
          <w:bCs/>
          <w:sz w:val="24"/>
        </w:rPr>
        <w:t>以上）作为样本，采用净值规模加权，以反映所有偏股型开放式证券投资基金的整体走势。调整后的业绩比较基准要素与基金投资策略相匹配，适合作为本基金境内权益部分的业绩比较基准要素。</w:t>
      </w:r>
    </w:p>
    <w:p w:rsidR="00DB009B" w:rsidRPr="005E3E9F" w:rsidRDefault="00DB009B" w:rsidP="00DB009B">
      <w:pPr>
        <w:spacing w:line="360" w:lineRule="auto"/>
        <w:ind w:firstLineChars="200" w:firstLine="480"/>
        <w:rPr>
          <w:bCs/>
          <w:sz w:val="24"/>
        </w:rPr>
      </w:pPr>
      <w:r w:rsidRPr="005E3E9F">
        <w:rPr>
          <w:rFonts w:hint="eastAsia"/>
          <w:bCs/>
          <w:sz w:val="24"/>
        </w:rPr>
        <w:t>本基金境外权益资产主要通过基金规模、历史业绩表现等指标进行筛选，优先选长期业绩相对较好、投资风格稳定、盈利模式可持续的</w:t>
      </w:r>
      <w:r w:rsidRPr="005E3E9F">
        <w:rPr>
          <w:rFonts w:hint="eastAsia"/>
          <w:bCs/>
          <w:sz w:val="24"/>
        </w:rPr>
        <w:t>QDII</w:t>
      </w:r>
      <w:r w:rsidRPr="005E3E9F">
        <w:rPr>
          <w:rFonts w:hint="eastAsia"/>
          <w:bCs/>
          <w:sz w:val="24"/>
        </w:rPr>
        <w:t>基金、香港互认基金。原业绩比较基准“恒生指数”包括市值最大及成交最活跃并在香港联合交易所主板上市的公司。但指数仅覆盖香港市场。调整后的新业绩比较基准要素“</w:t>
      </w:r>
      <w:r w:rsidRPr="005E3E9F">
        <w:rPr>
          <w:rFonts w:hint="eastAsia"/>
          <w:bCs/>
          <w:sz w:val="24"/>
        </w:rPr>
        <w:t>MSCI</w:t>
      </w:r>
      <w:r w:rsidRPr="005E3E9F">
        <w:rPr>
          <w:rFonts w:hint="eastAsia"/>
          <w:bCs/>
          <w:sz w:val="24"/>
        </w:rPr>
        <w:t>发达市场指数”涵盖了发达市场国家的大中盘股代表，且覆盖了各市场约</w:t>
      </w:r>
      <w:r w:rsidRPr="005E3E9F">
        <w:rPr>
          <w:bCs/>
          <w:sz w:val="24"/>
        </w:rPr>
        <w:t>85%</w:t>
      </w:r>
      <w:r w:rsidRPr="005E3E9F">
        <w:rPr>
          <w:rFonts w:ascii="Microsoft JhengHei" w:eastAsia="Microsoft JhengHei" w:hAnsi="Microsoft JhengHei" w:cs="Microsoft JhengHei" w:hint="eastAsia"/>
          <w:bCs/>
          <w:sz w:val="24"/>
        </w:rPr>
        <w:t>⾃</w:t>
      </w:r>
      <w:r w:rsidRPr="005E3E9F">
        <w:rPr>
          <w:rFonts w:hint="eastAsia"/>
          <w:bCs/>
          <w:sz w:val="24"/>
        </w:rPr>
        <w:t>由流通调整后的市值，适合作为本基金境外权益部分的业绩比较基准要素。</w:t>
      </w:r>
    </w:p>
    <w:p w:rsidR="00DB009B" w:rsidRPr="005E3E9F" w:rsidRDefault="00DB009B" w:rsidP="00DB009B">
      <w:pPr>
        <w:spacing w:line="360" w:lineRule="auto"/>
        <w:ind w:firstLineChars="200" w:firstLine="480"/>
        <w:rPr>
          <w:bCs/>
          <w:sz w:val="24"/>
        </w:rPr>
      </w:pPr>
      <w:r w:rsidRPr="005E3E9F">
        <w:rPr>
          <w:rFonts w:hint="eastAsia"/>
          <w:bCs/>
          <w:sz w:val="24"/>
        </w:rPr>
        <w:t>此外，基于本基金历史持仓，并结合基金合同约定的投资比例限制以及本基金预期的资产配置比例中枢，将业绩比较基准中的固定收益类资产所对应的基准要素权重从</w:t>
      </w:r>
      <w:r w:rsidRPr="005E3E9F">
        <w:rPr>
          <w:rFonts w:hint="eastAsia"/>
          <w:bCs/>
          <w:sz w:val="24"/>
        </w:rPr>
        <w:t>75%</w:t>
      </w:r>
      <w:r w:rsidRPr="005E3E9F">
        <w:rPr>
          <w:rFonts w:hint="eastAsia"/>
          <w:bCs/>
          <w:sz w:val="24"/>
        </w:rPr>
        <w:t>提高至</w:t>
      </w:r>
      <w:r w:rsidRPr="005E3E9F">
        <w:rPr>
          <w:rFonts w:hint="eastAsia"/>
          <w:bCs/>
          <w:sz w:val="24"/>
        </w:rPr>
        <w:t>82%</w:t>
      </w:r>
      <w:r w:rsidRPr="005E3E9F">
        <w:rPr>
          <w:rFonts w:hint="eastAsia"/>
          <w:bCs/>
          <w:sz w:val="24"/>
        </w:rPr>
        <w:t>；将业绩比较基准中的权益类资产所对应的基准要素权重从</w:t>
      </w:r>
      <w:r w:rsidRPr="005E3E9F">
        <w:rPr>
          <w:rFonts w:hint="eastAsia"/>
          <w:bCs/>
          <w:sz w:val="24"/>
        </w:rPr>
        <w:t>15%</w:t>
      </w:r>
      <w:r w:rsidRPr="005E3E9F">
        <w:rPr>
          <w:rFonts w:hint="eastAsia"/>
          <w:bCs/>
          <w:sz w:val="24"/>
        </w:rPr>
        <w:t>降低至</w:t>
      </w:r>
      <w:r w:rsidRPr="005E3E9F">
        <w:rPr>
          <w:rFonts w:hint="eastAsia"/>
          <w:bCs/>
          <w:sz w:val="24"/>
        </w:rPr>
        <w:t>10%</w:t>
      </w:r>
      <w:r w:rsidRPr="005E3E9F">
        <w:rPr>
          <w:rFonts w:hint="eastAsia"/>
          <w:bCs/>
          <w:sz w:val="24"/>
        </w:rPr>
        <w:t>；（其中境内权益资产部分的基准要素权重相应从</w:t>
      </w:r>
      <w:r w:rsidRPr="005E3E9F">
        <w:rPr>
          <w:rFonts w:hint="eastAsia"/>
          <w:bCs/>
          <w:sz w:val="24"/>
        </w:rPr>
        <w:t>12%</w:t>
      </w:r>
      <w:r w:rsidRPr="005E3E9F">
        <w:rPr>
          <w:rFonts w:hint="eastAsia"/>
          <w:bCs/>
          <w:sz w:val="24"/>
        </w:rPr>
        <w:t>降低至</w:t>
      </w:r>
      <w:r w:rsidRPr="005E3E9F">
        <w:rPr>
          <w:rFonts w:hint="eastAsia"/>
          <w:bCs/>
          <w:sz w:val="24"/>
        </w:rPr>
        <w:t>7%</w:t>
      </w:r>
      <w:r w:rsidRPr="005E3E9F">
        <w:rPr>
          <w:rFonts w:hint="eastAsia"/>
          <w:bCs/>
          <w:sz w:val="24"/>
        </w:rPr>
        <w:t>，境外权益资产权重不变），将业绩比较基准中表征商品资产的基准要素上海黄金交易所</w:t>
      </w:r>
      <w:r w:rsidRPr="005E3E9F">
        <w:rPr>
          <w:rFonts w:hint="eastAsia"/>
          <w:bCs/>
          <w:sz w:val="24"/>
        </w:rPr>
        <w:t>AU 99.99</w:t>
      </w:r>
      <w:r w:rsidRPr="005E3E9F">
        <w:rPr>
          <w:rFonts w:hint="eastAsia"/>
          <w:bCs/>
          <w:sz w:val="24"/>
        </w:rPr>
        <w:t>现货实盘合约的权重从</w:t>
      </w:r>
      <w:r w:rsidRPr="005E3E9F">
        <w:rPr>
          <w:rFonts w:hint="eastAsia"/>
          <w:bCs/>
          <w:sz w:val="24"/>
        </w:rPr>
        <w:t>5%</w:t>
      </w:r>
      <w:r w:rsidRPr="005E3E9F">
        <w:rPr>
          <w:rFonts w:hint="eastAsia"/>
          <w:bCs/>
          <w:sz w:val="24"/>
        </w:rPr>
        <w:t>降低到</w:t>
      </w:r>
      <w:r w:rsidRPr="005E3E9F">
        <w:rPr>
          <w:rFonts w:hint="eastAsia"/>
          <w:bCs/>
          <w:sz w:val="24"/>
        </w:rPr>
        <w:t>3%</w:t>
      </w:r>
      <w:r w:rsidRPr="005E3E9F">
        <w:rPr>
          <w:rFonts w:hint="eastAsia"/>
          <w:bCs/>
          <w:sz w:val="24"/>
        </w:rPr>
        <w:t>，从而使得新业绩比较基准中各大资产类别所对应的基准要素权重与基金投资策略和基金过往实际投资运作等相匹配。</w:t>
      </w:r>
    </w:p>
    <w:p w:rsidR="00DB009B" w:rsidRPr="00BD43FF" w:rsidRDefault="00DB009B" w:rsidP="00DB009B">
      <w:pPr>
        <w:spacing w:line="360" w:lineRule="auto"/>
        <w:ind w:firstLineChars="200" w:firstLine="480"/>
        <w:rPr>
          <w:bCs/>
          <w:sz w:val="24"/>
        </w:rPr>
      </w:pPr>
      <w:r w:rsidRPr="005E3E9F">
        <w:rPr>
          <w:rFonts w:hint="eastAsia"/>
          <w:bCs/>
          <w:sz w:val="24"/>
        </w:rPr>
        <w:t>上述调整符合《公开募集证券投资基金业绩比较基准指引》和《公开募集证券投资基金业绩比较基准操作细则》的要求，对本基金投资运作、基金份额持有人利益无实质性不利影响。</w:t>
      </w:r>
    </w:p>
    <w:p w:rsidR="00DB009B" w:rsidRPr="00BD43FF" w:rsidRDefault="00DB009B" w:rsidP="00DB009B">
      <w:pPr>
        <w:spacing w:line="360" w:lineRule="auto"/>
        <w:ind w:firstLineChars="200" w:firstLine="420"/>
      </w:pPr>
    </w:p>
    <w:p w:rsidR="00DB009B" w:rsidRPr="00DB009B" w:rsidRDefault="00DB009B">
      <w:pPr>
        <w:spacing w:line="360" w:lineRule="auto"/>
        <w:ind w:right="240" w:firstLine="480"/>
        <w:jc w:val="left"/>
        <w:rPr>
          <w:sz w:val="24"/>
        </w:rPr>
      </w:pPr>
    </w:p>
    <w:sectPr w:rsidR="00DB009B" w:rsidRPr="00DB009B" w:rsidSect="00CD46B9">
      <w:footerReference w:type="default" r:id="rId7"/>
      <w:type w:val="continuous"/>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CB9910" w16cid:durableId="2D9C904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CF7" w:rsidRDefault="00555CF7">
      <w:r>
        <w:separator/>
      </w:r>
    </w:p>
  </w:endnote>
  <w:endnote w:type="continuationSeparator" w:id="0">
    <w:p w:rsidR="00555CF7" w:rsidRDefault="0055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D4" w:rsidRDefault="00CD46B9">
    <w:pPr>
      <w:jc w:val="center"/>
    </w:pPr>
    <w:r>
      <w:fldChar w:fldCharType="begin"/>
    </w:r>
    <w:r w:rsidR="006D1E1C">
      <w:instrText xml:space="preserve"> PAGE   \* MERGEFORMAT </w:instrText>
    </w:r>
    <w:r>
      <w:fldChar w:fldCharType="separate"/>
    </w:r>
    <w:r w:rsidR="0039531A" w:rsidRPr="0039531A">
      <w:rPr>
        <w:noProof/>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CF7" w:rsidRDefault="00555CF7">
      <w:r>
        <w:separator/>
      </w:r>
    </w:p>
  </w:footnote>
  <w:footnote w:type="continuationSeparator" w:id="0">
    <w:p w:rsidR="00555CF7" w:rsidRDefault="00555C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2220B"/>
    <w:multiLevelType w:val="hybridMultilevel"/>
    <w:tmpl w:val="F23A5604"/>
    <w:lvl w:ilvl="0" w:tplc="021AF008">
      <w:start w:val="1"/>
      <w:numFmt w:val="chineseCountingThousand"/>
      <w:suff w:val="nothing"/>
      <w:lvlText w:val="%1、"/>
      <w:lvlJc w:val="left"/>
      <w:pPr>
        <w:ind w:left="420" w:hanging="420"/>
      </w:pPr>
      <w:rPr>
        <w:rFonts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BC"/>
    <w:rsid w:val="D1C56AA3"/>
    <w:rsid w:val="DE6A1415"/>
    <w:rsid w:val="E3EE09E8"/>
    <w:rsid w:val="F47EEBC3"/>
    <w:rsid w:val="FB6FC1AB"/>
    <w:rsid w:val="FE7E496E"/>
    <w:rsid w:val="00000065"/>
    <w:rsid w:val="00003C93"/>
    <w:rsid w:val="00005EBA"/>
    <w:rsid w:val="00013779"/>
    <w:rsid w:val="000173F2"/>
    <w:rsid w:val="00022A7C"/>
    <w:rsid w:val="00032918"/>
    <w:rsid w:val="00035613"/>
    <w:rsid w:val="00040DA8"/>
    <w:rsid w:val="00045C6B"/>
    <w:rsid w:val="00047A24"/>
    <w:rsid w:val="000526A9"/>
    <w:rsid w:val="00064FFA"/>
    <w:rsid w:val="00071145"/>
    <w:rsid w:val="00074BC1"/>
    <w:rsid w:val="00077A43"/>
    <w:rsid w:val="0008647F"/>
    <w:rsid w:val="000874DA"/>
    <w:rsid w:val="00087ACA"/>
    <w:rsid w:val="00087FA5"/>
    <w:rsid w:val="000977E1"/>
    <w:rsid w:val="000B4FA9"/>
    <w:rsid w:val="000D0CD0"/>
    <w:rsid w:val="000D1E80"/>
    <w:rsid w:val="000D5D62"/>
    <w:rsid w:val="000D72F4"/>
    <w:rsid w:val="000F6254"/>
    <w:rsid w:val="0010006D"/>
    <w:rsid w:val="00106AE1"/>
    <w:rsid w:val="00112A1A"/>
    <w:rsid w:val="00112DE1"/>
    <w:rsid w:val="001145EC"/>
    <w:rsid w:val="0011579C"/>
    <w:rsid w:val="00116734"/>
    <w:rsid w:val="001233DA"/>
    <w:rsid w:val="00126592"/>
    <w:rsid w:val="00137EE5"/>
    <w:rsid w:val="001412A7"/>
    <w:rsid w:val="00143314"/>
    <w:rsid w:val="0014725D"/>
    <w:rsid w:val="00147497"/>
    <w:rsid w:val="00160556"/>
    <w:rsid w:val="00164BC0"/>
    <w:rsid w:val="00177E74"/>
    <w:rsid w:val="00180381"/>
    <w:rsid w:val="00181FA8"/>
    <w:rsid w:val="00182296"/>
    <w:rsid w:val="00186F1C"/>
    <w:rsid w:val="001A3497"/>
    <w:rsid w:val="001A38BC"/>
    <w:rsid w:val="001A4A68"/>
    <w:rsid w:val="001B063A"/>
    <w:rsid w:val="001B6821"/>
    <w:rsid w:val="001B7AA4"/>
    <w:rsid w:val="001C1B29"/>
    <w:rsid w:val="001C3BAE"/>
    <w:rsid w:val="001D1583"/>
    <w:rsid w:val="001D22F3"/>
    <w:rsid w:val="001D4017"/>
    <w:rsid w:val="001D430D"/>
    <w:rsid w:val="001D467B"/>
    <w:rsid w:val="001F4DB1"/>
    <w:rsid w:val="001F6B75"/>
    <w:rsid w:val="00200221"/>
    <w:rsid w:val="0021251F"/>
    <w:rsid w:val="002151DD"/>
    <w:rsid w:val="00221A80"/>
    <w:rsid w:val="00223F7F"/>
    <w:rsid w:val="00226BF3"/>
    <w:rsid w:val="00231437"/>
    <w:rsid w:val="00234A16"/>
    <w:rsid w:val="00240DEF"/>
    <w:rsid w:val="002630DD"/>
    <w:rsid w:val="00265C95"/>
    <w:rsid w:val="002760F2"/>
    <w:rsid w:val="002C0F74"/>
    <w:rsid w:val="002C5DA6"/>
    <w:rsid w:val="002D1FCF"/>
    <w:rsid w:val="002D4E66"/>
    <w:rsid w:val="002D77DB"/>
    <w:rsid w:val="002E2CD8"/>
    <w:rsid w:val="002E5AD9"/>
    <w:rsid w:val="002E63BF"/>
    <w:rsid w:val="002F3650"/>
    <w:rsid w:val="003005D8"/>
    <w:rsid w:val="00301FBB"/>
    <w:rsid w:val="00303620"/>
    <w:rsid w:val="00306FDD"/>
    <w:rsid w:val="003137EC"/>
    <w:rsid w:val="0031786C"/>
    <w:rsid w:val="00320A20"/>
    <w:rsid w:val="003237EE"/>
    <w:rsid w:val="00327BA2"/>
    <w:rsid w:val="00333045"/>
    <w:rsid w:val="00344D40"/>
    <w:rsid w:val="003560CF"/>
    <w:rsid w:val="00366842"/>
    <w:rsid w:val="003763E5"/>
    <w:rsid w:val="0038716C"/>
    <w:rsid w:val="003923B0"/>
    <w:rsid w:val="00392D72"/>
    <w:rsid w:val="0039355A"/>
    <w:rsid w:val="0039531A"/>
    <w:rsid w:val="00396394"/>
    <w:rsid w:val="003A4492"/>
    <w:rsid w:val="003B0D46"/>
    <w:rsid w:val="003B1934"/>
    <w:rsid w:val="003B2154"/>
    <w:rsid w:val="003B2AA9"/>
    <w:rsid w:val="003B3FD0"/>
    <w:rsid w:val="003D181D"/>
    <w:rsid w:val="003D2828"/>
    <w:rsid w:val="003D5676"/>
    <w:rsid w:val="003D70BD"/>
    <w:rsid w:val="003E0ACD"/>
    <w:rsid w:val="003E1945"/>
    <w:rsid w:val="003E377F"/>
    <w:rsid w:val="003E6CFE"/>
    <w:rsid w:val="003F2516"/>
    <w:rsid w:val="003F2D9D"/>
    <w:rsid w:val="003F6134"/>
    <w:rsid w:val="00401C46"/>
    <w:rsid w:val="00404BDF"/>
    <w:rsid w:val="00416947"/>
    <w:rsid w:val="00424B48"/>
    <w:rsid w:val="00430206"/>
    <w:rsid w:val="0044610C"/>
    <w:rsid w:val="004539F0"/>
    <w:rsid w:val="004541CE"/>
    <w:rsid w:val="00455EFC"/>
    <w:rsid w:val="00457D61"/>
    <w:rsid w:val="004611AF"/>
    <w:rsid w:val="0046258C"/>
    <w:rsid w:val="00463263"/>
    <w:rsid w:val="0046356D"/>
    <w:rsid w:val="00465FE0"/>
    <w:rsid w:val="00467A03"/>
    <w:rsid w:val="004736FE"/>
    <w:rsid w:val="00475415"/>
    <w:rsid w:val="00476701"/>
    <w:rsid w:val="00484870"/>
    <w:rsid w:val="004A2494"/>
    <w:rsid w:val="004A2A90"/>
    <w:rsid w:val="004A3919"/>
    <w:rsid w:val="004A42AE"/>
    <w:rsid w:val="004B2A7C"/>
    <w:rsid w:val="004E42C4"/>
    <w:rsid w:val="004E7AA1"/>
    <w:rsid w:val="005023B3"/>
    <w:rsid w:val="0050644F"/>
    <w:rsid w:val="00510CA4"/>
    <w:rsid w:val="00511CBE"/>
    <w:rsid w:val="00515D6B"/>
    <w:rsid w:val="00520E79"/>
    <w:rsid w:val="00524B80"/>
    <w:rsid w:val="005271B2"/>
    <w:rsid w:val="0053161A"/>
    <w:rsid w:val="00536913"/>
    <w:rsid w:val="005414E3"/>
    <w:rsid w:val="00542D6F"/>
    <w:rsid w:val="00545B70"/>
    <w:rsid w:val="00546235"/>
    <w:rsid w:val="00555CF7"/>
    <w:rsid w:val="00564483"/>
    <w:rsid w:val="00570B03"/>
    <w:rsid w:val="00571200"/>
    <w:rsid w:val="00583235"/>
    <w:rsid w:val="00585C51"/>
    <w:rsid w:val="00587DB6"/>
    <w:rsid w:val="00587FB9"/>
    <w:rsid w:val="00593D62"/>
    <w:rsid w:val="00593EA0"/>
    <w:rsid w:val="005A3A17"/>
    <w:rsid w:val="005A73C1"/>
    <w:rsid w:val="005A7FB6"/>
    <w:rsid w:val="005B6CD3"/>
    <w:rsid w:val="005C0CA5"/>
    <w:rsid w:val="005C3FCB"/>
    <w:rsid w:val="005D1704"/>
    <w:rsid w:val="005D34D4"/>
    <w:rsid w:val="005D38C0"/>
    <w:rsid w:val="005D555D"/>
    <w:rsid w:val="005D7BA1"/>
    <w:rsid w:val="005D7D73"/>
    <w:rsid w:val="005E0D3D"/>
    <w:rsid w:val="005E2BB8"/>
    <w:rsid w:val="005F5C25"/>
    <w:rsid w:val="005F64F6"/>
    <w:rsid w:val="0060686C"/>
    <w:rsid w:val="00606EEF"/>
    <w:rsid w:val="00611A11"/>
    <w:rsid w:val="0061234E"/>
    <w:rsid w:val="00614CBC"/>
    <w:rsid w:val="006213CC"/>
    <w:rsid w:val="006237A4"/>
    <w:rsid w:val="006256BC"/>
    <w:rsid w:val="00631464"/>
    <w:rsid w:val="00647A51"/>
    <w:rsid w:val="00647D13"/>
    <w:rsid w:val="006601FB"/>
    <w:rsid w:val="00662B50"/>
    <w:rsid w:val="00670ADC"/>
    <w:rsid w:val="006756E7"/>
    <w:rsid w:val="00685003"/>
    <w:rsid w:val="00686846"/>
    <w:rsid w:val="00687901"/>
    <w:rsid w:val="00690696"/>
    <w:rsid w:val="00691B9A"/>
    <w:rsid w:val="006A2F1F"/>
    <w:rsid w:val="006A48DC"/>
    <w:rsid w:val="006B08E5"/>
    <w:rsid w:val="006B3D19"/>
    <w:rsid w:val="006B5753"/>
    <w:rsid w:val="006B7D26"/>
    <w:rsid w:val="006C5DA8"/>
    <w:rsid w:val="006D1E1C"/>
    <w:rsid w:val="006E1721"/>
    <w:rsid w:val="006E1770"/>
    <w:rsid w:val="006E2C21"/>
    <w:rsid w:val="006E30D8"/>
    <w:rsid w:val="00702E01"/>
    <w:rsid w:val="0070320C"/>
    <w:rsid w:val="007038EB"/>
    <w:rsid w:val="00710DFA"/>
    <w:rsid w:val="0072255B"/>
    <w:rsid w:val="007252DA"/>
    <w:rsid w:val="0072556E"/>
    <w:rsid w:val="007371CD"/>
    <w:rsid w:val="00737EB2"/>
    <w:rsid w:val="00737FDD"/>
    <w:rsid w:val="007539E3"/>
    <w:rsid w:val="00754FDF"/>
    <w:rsid w:val="0076428A"/>
    <w:rsid w:val="00780E73"/>
    <w:rsid w:val="00783BBA"/>
    <w:rsid w:val="007847A3"/>
    <w:rsid w:val="0079536D"/>
    <w:rsid w:val="0079764F"/>
    <w:rsid w:val="007A0F8B"/>
    <w:rsid w:val="007B7D8D"/>
    <w:rsid w:val="007D586B"/>
    <w:rsid w:val="007E14EA"/>
    <w:rsid w:val="007F08F7"/>
    <w:rsid w:val="008019E5"/>
    <w:rsid w:val="00801DD7"/>
    <w:rsid w:val="00810D99"/>
    <w:rsid w:val="0081350F"/>
    <w:rsid w:val="00814E76"/>
    <w:rsid w:val="008229BE"/>
    <w:rsid w:val="0082398F"/>
    <w:rsid w:val="008251DD"/>
    <w:rsid w:val="00830064"/>
    <w:rsid w:val="00834F9E"/>
    <w:rsid w:val="0083516B"/>
    <w:rsid w:val="008604DF"/>
    <w:rsid w:val="00873A2B"/>
    <w:rsid w:val="00891AF5"/>
    <w:rsid w:val="00893F2E"/>
    <w:rsid w:val="008A2D58"/>
    <w:rsid w:val="008A565F"/>
    <w:rsid w:val="008A56D3"/>
    <w:rsid w:val="008A609C"/>
    <w:rsid w:val="008A7E86"/>
    <w:rsid w:val="008B1C3D"/>
    <w:rsid w:val="008B1CCE"/>
    <w:rsid w:val="008B22E0"/>
    <w:rsid w:val="008B7088"/>
    <w:rsid w:val="008C6F92"/>
    <w:rsid w:val="008D5D56"/>
    <w:rsid w:val="008D74FA"/>
    <w:rsid w:val="008E17C2"/>
    <w:rsid w:val="008E2AEA"/>
    <w:rsid w:val="008E7CE2"/>
    <w:rsid w:val="008F3050"/>
    <w:rsid w:val="00904524"/>
    <w:rsid w:val="0091353F"/>
    <w:rsid w:val="00915C5D"/>
    <w:rsid w:val="00923390"/>
    <w:rsid w:val="0092413F"/>
    <w:rsid w:val="00925049"/>
    <w:rsid w:val="00931D3E"/>
    <w:rsid w:val="009360CF"/>
    <w:rsid w:val="00941882"/>
    <w:rsid w:val="00943F34"/>
    <w:rsid w:val="00947378"/>
    <w:rsid w:val="00961071"/>
    <w:rsid w:val="00962DA7"/>
    <w:rsid w:val="0097188C"/>
    <w:rsid w:val="009731EA"/>
    <w:rsid w:val="009734B8"/>
    <w:rsid w:val="00974F97"/>
    <w:rsid w:val="009759A1"/>
    <w:rsid w:val="009770E1"/>
    <w:rsid w:val="00984E2A"/>
    <w:rsid w:val="009877E1"/>
    <w:rsid w:val="0099072C"/>
    <w:rsid w:val="00995438"/>
    <w:rsid w:val="009A158B"/>
    <w:rsid w:val="009A5F0C"/>
    <w:rsid w:val="009B2987"/>
    <w:rsid w:val="009B3544"/>
    <w:rsid w:val="009B3F82"/>
    <w:rsid w:val="009B6E39"/>
    <w:rsid w:val="009B70F5"/>
    <w:rsid w:val="009B7283"/>
    <w:rsid w:val="009C2B54"/>
    <w:rsid w:val="009C3676"/>
    <w:rsid w:val="009E27BE"/>
    <w:rsid w:val="009E5624"/>
    <w:rsid w:val="00A02732"/>
    <w:rsid w:val="00A03A21"/>
    <w:rsid w:val="00A20CE4"/>
    <w:rsid w:val="00A42004"/>
    <w:rsid w:val="00A45608"/>
    <w:rsid w:val="00A4569F"/>
    <w:rsid w:val="00A5398B"/>
    <w:rsid w:val="00A64176"/>
    <w:rsid w:val="00A70E63"/>
    <w:rsid w:val="00A73DE0"/>
    <w:rsid w:val="00A74E97"/>
    <w:rsid w:val="00A95AEF"/>
    <w:rsid w:val="00AA4B11"/>
    <w:rsid w:val="00AB3225"/>
    <w:rsid w:val="00AC0638"/>
    <w:rsid w:val="00AC51F4"/>
    <w:rsid w:val="00AC7F59"/>
    <w:rsid w:val="00AD049C"/>
    <w:rsid w:val="00AD5461"/>
    <w:rsid w:val="00AF0CBD"/>
    <w:rsid w:val="00AF391E"/>
    <w:rsid w:val="00AF3BDB"/>
    <w:rsid w:val="00B04C95"/>
    <w:rsid w:val="00B1700D"/>
    <w:rsid w:val="00B237AD"/>
    <w:rsid w:val="00B252F6"/>
    <w:rsid w:val="00B2732C"/>
    <w:rsid w:val="00B35B55"/>
    <w:rsid w:val="00B40CF9"/>
    <w:rsid w:val="00B43216"/>
    <w:rsid w:val="00B47BB2"/>
    <w:rsid w:val="00B47FA3"/>
    <w:rsid w:val="00B51E12"/>
    <w:rsid w:val="00B6494A"/>
    <w:rsid w:val="00B654B0"/>
    <w:rsid w:val="00B90F5C"/>
    <w:rsid w:val="00B93B7B"/>
    <w:rsid w:val="00B9409F"/>
    <w:rsid w:val="00BA7C2A"/>
    <w:rsid w:val="00BB08FF"/>
    <w:rsid w:val="00BB15BC"/>
    <w:rsid w:val="00BB70DD"/>
    <w:rsid w:val="00BC10E2"/>
    <w:rsid w:val="00BC3B77"/>
    <w:rsid w:val="00BE393A"/>
    <w:rsid w:val="00BF7B0A"/>
    <w:rsid w:val="00BF7F13"/>
    <w:rsid w:val="00C012B4"/>
    <w:rsid w:val="00C203FE"/>
    <w:rsid w:val="00C22C6D"/>
    <w:rsid w:val="00C27DC8"/>
    <w:rsid w:val="00C306C1"/>
    <w:rsid w:val="00C3084B"/>
    <w:rsid w:val="00C33303"/>
    <w:rsid w:val="00C37A2D"/>
    <w:rsid w:val="00C602CA"/>
    <w:rsid w:val="00C6045C"/>
    <w:rsid w:val="00C64767"/>
    <w:rsid w:val="00C65C35"/>
    <w:rsid w:val="00C706C0"/>
    <w:rsid w:val="00C70C17"/>
    <w:rsid w:val="00C74D45"/>
    <w:rsid w:val="00C81DDB"/>
    <w:rsid w:val="00C910A3"/>
    <w:rsid w:val="00C9561D"/>
    <w:rsid w:val="00C95F01"/>
    <w:rsid w:val="00CA7C1A"/>
    <w:rsid w:val="00CB0D25"/>
    <w:rsid w:val="00CB3CA5"/>
    <w:rsid w:val="00CC085C"/>
    <w:rsid w:val="00CC5144"/>
    <w:rsid w:val="00CD46B9"/>
    <w:rsid w:val="00CE28F8"/>
    <w:rsid w:val="00CF29A7"/>
    <w:rsid w:val="00CF74F8"/>
    <w:rsid w:val="00CF788E"/>
    <w:rsid w:val="00D139F2"/>
    <w:rsid w:val="00D14FCF"/>
    <w:rsid w:val="00D201C1"/>
    <w:rsid w:val="00D2297C"/>
    <w:rsid w:val="00D316C8"/>
    <w:rsid w:val="00D31F8D"/>
    <w:rsid w:val="00D3648B"/>
    <w:rsid w:val="00D40716"/>
    <w:rsid w:val="00D40F0D"/>
    <w:rsid w:val="00D46095"/>
    <w:rsid w:val="00D46A49"/>
    <w:rsid w:val="00D47B18"/>
    <w:rsid w:val="00D606DB"/>
    <w:rsid w:val="00D626B5"/>
    <w:rsid w:val="00D6341F"/>
    <w:rsid w:val="00D641C4"/>
    <w:rsid w:val="00D678B7"/>
    <w:rsid w:val="00D80B19"/>
    <w:rsid w:val="00D97DFA"/>
    <w:rsid w:val="00DB009B"/>
    <w:rsid w:val="00DB0429"/>
    <w:rsid w:val="00DB0E19"/>
    <w:rsid w:val="00DC3E49"/>
    <w:rsid w:val="00DD44D0"/>
    <w:rsid w:val="00DD580B"/>
    <w:rsid w:val="00DE16D0"/>
    <w:rsid w:val="00DE7208"/>
    <w:rsid w:val="00DF4510"/>
    <w:rsid w:val="00DF66C8"/>
    <w:rsid w:val="00DF77BE"/>
    <w:rsid w:val="00DF7DC4"/>
    <w:rsid w:val="00E121C7"/>
    <w:rsid w:val="00E15C08"/>
    <w:rsid w:val="00E165AB"/>
    <w:rsid w:val="00E20547"/>
    <w:rsid w:val="00E22A0D"/>
    <w:rsid w:val="00E2377E"/>
    <w:rsid w:val="00E310EC"/>
    <w:rsid w:val="00E40365"/>
    <w:rsid w:val="00E4489A"/>
    <w:rsid w:val="00E5109C"/>
    <w:rsid w:val="00E559F1"/>
    <w:rsid w:val="00E57C31"/>
    <w:rsid w:val="00E618D3"/>
    <w:rsid w:val="00E9242B"/>
    <w:rsid w:val="00E97154"/>
    <w:rsid w:val="00E97A09"/>
    <w:rsid w:val="00EA3890"/>
    <w:rsid w:val="00EA4CA4"/>
    <w:rsid w:val="00EA52AA"/>
    <w:rsid w:val="00EB7571"/>
    <w:rsid w:val="00EC2760"/>
    <w:rsid w:val="00ED05DF"/>
    <w:rsid w:val="00ED7792"/>
    <w:rsid w:val="00EE0F98"/>
    <w:rsid w:val="00EE20AD"/>
    <w:rsid w:val="00EE4F74"/>
    <w:rsid w:val="00EE56DC"/>
    <w:rsid w:val="00F01DE8"/>
    <w:rsid w:val="00F0396E"/>
    <w:rsid w:val="00F03CCA"/>
    <w:rsid w:val="00F12AD8"/>
    <w:rsid w:val="00F14D53"/>
    <w:rsid w:val="00F15979"/>
    <w:rsid w:val="00F25847"/>
    <w:rsid w:val="00F42C33"/>
    <w:rsid w:val="00F46D85"/>
    <w:rsid w:val="00F5561F"/>
    <w:rsid w:val="00F55F8F"/>
    <w:rsid w:val="00F72763"/>
    <w:rsid w:val="00F80000"/>
    <w:rsid w:val="00F82A59"/>
    <w:rsid w:val="00F9153B"/>
    <w:rsid w:val="00FB5350"/>
    <w:rsid w:val="00FC78F3"/>
    <w:rsid w:val="00FD131E"/>
    <w:rsid w:val="00FE4932"/>
    <w:rsid w:val="00FE70D4"/>
    <w:rsid w:val="00FF3E76"/>
    <w:rsid w:val="00FF46DA"/>
    <w:rsid w:val="00FF7774"/>
    <w:rsid w:val="27757E2F"/>
    <w:rsid w:val="6FFFDDB8"/>
    <w:rsid w:val="75EF2A88"/>
    <w:rsid w:val="7BFB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F3E9A4-9F95-4923-B5EB-78200468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6B9"/>
    <w:pPr>
      <w:widowControl w:val="0"/>
      <w:jc w:val="both"/>
    </w:pPr>
    <w:rPr>
      <w:rFonts w:ascii="Times New Roman" w:hAnsi="Times New Roman" w:cs="Times New Roman"/>
      <w:kern w:val="2"/>
      <w:sz w:val="21"/>
      <w:szCs w:val="24"/>
    </w:rPr>
  </w:style>
  <w:style w:type="paragraph" w:styleId="1">
    <w:name w:val="heading 1"/>
    <w:basedOn w:val="a"/>
    <w:next w:val="a"/>
    <w:link w:val="10"/>
    <w:qFormat/>
    <w:rsid w:val="00CD46B9"/>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0"/>
    <w:qFormat/>
    <w:rsid w:val="00CD46B9"/>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CD46B9"/>
    <w:pPr>
      <w:ind w:firstLineChars="200" w:firstLine="420"/>
    </w:pPr>
  </w:style>
  <w:style w:type="paragraph" w:styleId="a4">
    <w:name w:val="annotation text"/>
    <w:basedOn w:val="a"/>
    <w:link w:val="a5"/>
    <w:uiPriority w:val="99"/>
    <w:qFormat/>
    <w:rsid w:val="00CD46B9"/>
    <w:pPr>
      <w:jc w:val="left"/>
    </w:pPr>
  </w:style>
  <w:style w:type="paragraph" w:styleId="a6">
    <w:name w:val="Body Text Indent"/>
    <w:basedOn w:val="a"/>
    <w:link w:val="a7"/>
    <w:qFormat/>
    <w:rsid w:val="00CD46B9"/>
    <w:pPr>
      <w:spacing w:line="400" w:lineRule="exact"/>
      <w:ind w:firstLineChars="192" w:firstLine="538"/>
    </w:pPr>
    <w:rPr>
      <w:rFonts w:ascii="仿宋_GB2312" w:eastAsia="仿宋_GB2312" w:hAnsi="宋体"/>
      <w:color w:val="000000"/>
      <w:sz w:val="28"/>
    </w:rPr>
  </w:style>
  <w:style w:type="paragraph" w:styleId="a8">
    <w:name w:val="Plain Text"/>
    <w:basedOn w:val="a"/>
    <w:link w:val="a9"/>
    <w:qFormat/>
    <w:rsid w:val="00CD46B9"/>
    <w:rPr>
      <w:rFonts w:ascii="宋体" w:hAnsi="Courier New" w:cs="Courier New"/>
      <w:szCs w:val="21"/>
    </w:rPr>
  </w:style>
  <w:style w:type="paragraph" w:styleId="aa">
    <w:name w:val="Balloon Text"/>
    <w:basedOn w:val="a"/>
    <w:link w:val="ab"/>
    <w:uiPriority w:val="99"/>
    <w:qFormat/>
    <w:rsid w:val="00CD46B9"/>
    <w:rPr>
      <w:sz w:val="18"/>
      <w:szCs w:val="18"/>
    </w:rPr>
  </w:style>
  <w:style w:type="paragraph" w:styleId="ac">
    <w:name w:val="footer"/>
    <w:basedOn w:val="a"/>
    <w:link w:val="ad"/>
    <w:uiPriority w:val="99"/>
    <w:qFormat/>
    <w:rsid w:val="00CD46B9"/>
    <w:pPr>
      <w:tabs>
        <w:tab w:val="center" w:pos="4153"/>
        <w:tab w:val="right" w:pos="8306"/>
      </w:tabs>
      <w:snapToGrid w:val="0"/>
      <w:jc w:val="left"/>
    </w:pPr>
    <w:rPr>
      <w:sz w:val="18"/>
      <w:szCs w:val="18"/>
    </w:rPr>
  </w:style>
  <w:style w:type="paragraph" w:styleId="ae">
    <w:name w:val="header"/>
    <w:basedOn w:val="a"/>
    <w:link w:val="af"/>
    <w:uiPriority w:val="99"/>
    <w:qFormat/>
    <w:rsid w:val="00CD46B9"/>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CD46B9"/>
    <w:pPr>
      <w:tabs>
        <w:tab w:val="right" w:leader="dot" w:pos="8296"/>
      </w:tabs>
      <w:spacing w:line="360" w:lineRule="auto"/>
    </w:pPr>
    <w:rPr>
      <w:szCs w:val="20"/>
    </w:rPr>
  </w:style>
  <w:style w:type="paragraph" w:styleId="af0">
    <w:name w:val="Subtitle"/>
    <w:basedOn w:val="a"/>
    <w:next w:val="a"/>
    <w:link w:val="af1"/>
    <w:qFormat/>
    <w:rsid w:val="00CD46B9"/>
    <w:pPr>
      <w:spacing w:before="240" w:after="60" w:line="312" w:lineRule="auto"/>
      <w:jc w:val="center"/>
      <w:outlineLvl w:val="1"/>
    </w:pPr>
    <w:rPr>
      <w:rFonts w:ascii="Calibri Light" w:hAnsi="Calibri Light"/>
      <w:b/>
      <w:bCs/>
      <w:kern w:val="28"/>
      <w:sz w:val="32"/>
      <w:szCs w:val="32"/>
    </w:rPr>
  </w:style>
  <w:style w:type="paragraph" w:styleId="af2">
    <w:name w:val="annotation subject"/>
    <w:basedOn w:val="a4"/>
    <w:next w:val="a4"/>
    <w:link w:val="af3"/>
    <w:uiPriority w:val="99"/>
    <w:qFormat/>
    <w:rsid w:val="00CD46B9"/>
    <w:rPr>
      <w:b/>
      <w:bCs/>
    </w:rPr>
  </w:style>
  <w:style w:type="table" w:styleId="af4">
    <w:name w:val="Table Grid"/>
    <w:basedOn w:val="a1"/>
    <w:uiPriority w:val="39"/>
    <w:qFormat/>
    <w:rsid w:val="00CD4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qFormat/>
    <w:rsid w:val="00CD46B9"/>
    <w:rPr>
      <w:color w:val="0563C1"/>
      <w:u w:val="single"/>
    </w:rPr>
  </w:style>
  <w:style w:type="character" w:styleId="af6">
    <w:name w:val="annotation reference"/>
    <w:basedOn w:val="a0"/>
    <w:uiPriority w:val="99"/>
    <w:qFormat/>
    <w:rsid w:val="00CD46B9"/>
    <w:rPr>
      <w:sz w:val="21"/>
      <w:szCs w:val="21"/>
    </w:rPr>
  </w:style>
  <w:style w:type="paragraph" w:styleId="af7">
    <w:name w:val="List Paragraph"/>
    <w:basedOn w:val="a"/>
    <w:uiPriority w:val="34"/>
    <w:qFormat/>
    <w:rsid w:val="00CD46B9"/>
    <w:pPr>
      <w:ind w:firstLineChars="200" w:firstLine="420"/>
    </w:pPr>
  </w:style>
  <w:style w:type="character" w:customStyle="1" w:styleId="ab">
    <w:name w:val="批注框文本 字符"/>
    <w:basedOn w:val="a0"/>
    <w:link w:val="aa"/>
    <w:uiPriority w:val="99"/>
    <w:qFormat/>
    <w:rsid w:val="00CD46B9"/>
    <w:rPr>
      <w:rFonts w:ascii="Times New Roman" w:eastAsia="宋体" w:hAnsi="Times New Roman" w:cs="Times New Roman"/>
      <w:sz w:val="18"/>
      <w:szCs w:val="18"/>
    </w:rPr>
  </w:style>
  <w:style w:type="character" w:customStyle="1" w:styleId="a5">
    <w:name w:val="批注文字 字符"/>
    <w:basedOn w:val="a0"/>
    <w:link w:val="a4"/>
    <w:uiPriority w:val="99"/>
    <w:qFormat/>
    <w:rsid w:val="00CD46B9"/>
    <w:rPr>
      <w:rFonts w:ascii="Times New Roman" w:eastAsia="宋体" w:hAnsi="Times New Roman" w:cs="Times New Roman"/>
      <w:szCs w:val="24"/>
    </w:rPr>
  </w:style>
  <w:style w:type="character" w:customStyle="1" w:styleId="af3">
    <w:name w:val="批注主题 字符"/>
    <w:basedOn w:val="a5"/>
    <w:link w:val="af2"/>
    <w:uiPriority w:val="99"/>
    <w:qFormat/>
    <w:rsid w:val="00CD46B9"/>
    <w:rPr>
      <w:rFonts w:ascii="Times New Roman" w:eastAsia="宋体" w:hAnsi="Times New Roman" w:cs="Times New Roman"/>
      <w:b/>
      <w:bCs/>
      <w:szCs w:val="24"/>
    </w:rPr>
  </w:style>
  <w:style w:type="character" w:customStyle="1" w:styleId="af">
    <w:name w:val="页眉 字符"/>
    <w:basedOn w:val="a0"/>
    <w:link w:val="ae"/>
    <w:uiPriority w:val="99"/>
    <w:qFormat/>
    <w:rsid w:val="00CD46B9"/>
    <w:rPr>
      <w:rFonts w:ascii="Times New Roman" w:eastAsia="宋体" w:hAnsi="Times New Roman" w:cs="Times New Roman"/>
      <w:sz w:val="18"/>
      <w:szCs w:val="18"/>
    </w:rPr>
  </w:style>
  <w:style w:type="character" w:customStyle="1" w:styleId="ad">
    <w:name w:val="页脚 字符"/>
    <w:basedOn w:val="a0"/>
    <w:link w:val="ac"/>
    <w:uiPriority w:val="99"/>
    <w:qFormat/>
    <w:rsid w:val="00CD46B9"/>
    <w:rPr>
      <w:rFonts w:ascii="Times New Roman" w:eastAsia="宋体" w:hAnsi="Times New Roman" w:cs="Times New Roman"/>
      <w:sz w:val="18"/>
      <w:szCs w:val="18"/>
    </w:rPr>
  </w:style>
  <w:style w:type="character" w:customStyle="1" w:styleId="af1">
    <w:name w:val="副标题 字符"/>
    <w:basedOn w:val="a0"/>
    <w:link w:val="af0"/>
    <w:qFormat/>
    <w:rsid w:val="00CD46B9"/>
    <w:rPr>
      <w:rFonts w:ascii="Calibri Light" w:eastAsia="宋体" w:hAnsi="Calibri Light" w:cs="Times New Roman"/>
      <w:b/>
      <w:bCs/>
      <w:kern w:val="28"/>
      <w:sz w:val="32"/>
      <w:szCs w:val="32"/>
    </w:rPr>
  </w:style>
  <w:style w:type="character" w:customStyle="1" w:styleId="a9">
    <w:name w:val="纯文本 字符"/>
    <w:basedOn w:val="a0"/>
    <w:link w:val="a8"/>
    <w:qFormat/>
    <w:rsid w:val="00CD46B9"/>
    <w:rPr>
      <w:rFonts w:ascii="宋体" w:eastAsia="宋体" w:hAnsi="Courier New" w:cs="Courier New"/>
      <w:szCs w:val="21"/>
    </w:rPr>
  </w:style>
  <w:style w:type="paragraph" w:customStyle="1" w:styleId="12">
    <w:name w:val="修订1"/>
    <w:uiPriority w:val="99"/>
    <w:qFormat/>
    <w:rsid w:val="00CD46B9"/>
    <w:rPr>
      <w:rFonts w:ascii="Times New Roman" w:hAnsi="Times New Roman" w:cs="Times New Roman"/>
      <w:kern w:val="2"/>
      <w:sz w:val="21"/>
      <w:szCs w:val="24"/>
    </w:rPr>
  </w:style>
  <w:style w:type="character" w:customStyle="1" w:styleId="10">
    <w:name w:val="标题 1 字符"/>
    <w:basedOn w:val="a0"/>
    <w:link w:val="1"/>
    <w:qFormat/>
    <w:rsid w:val="00CD46B9"/>
    <w:rPr>
      <w:rFonts w:ascii="宋体" w:eastAsia="宋体" w:hAnsi="Times New Roman" w:cs="Times New Roman"/>
      <w:b/>
      <w:color w:val="000000"/>
      <w:kern w:val="0"/>
      <w:sz w:val="24"/>
      <w:szCs w:val="20"/>
    </w:rPr>
  </w:style>
  <w:style w:type="character" w:customStyle="1" w:styleId="20">
    <w:name w:val="标题 2 字符"/>
    <w:basedOn w:val="a0"/>
    <w:link w:val="2"/>
    <w:qFormat/>
    <w:rsid w:val="00CD46B9"/>
    <w:rPr>
      <w:rFonts w:ascii="Calibri Light" w:eastAsia="宋体" w:hAnsi="Calibri Light" w:cs="宋体"/>
      <w:b/>
      <w:bCs/>
      <w:sz w:val="32"/>
      <w:szCs w:val="32"/>
    </w:rPr>
  </w:style>
  <w:style w:type="character" w:customStyle="1" w:styleId="a7">
    <w:name w:val="正文文本缩进 字符"/>
    <w:basedOn w:val="a0"/>
    <w:link w:val="a6"/>
    <w:qFormat/>
    <w:rsid w:val="00CD46B9"/>
    <w:rPr>
      <w:rFonts w:ascii="仿宋_GB2312" w:eastAsia="仿宋_GB2312" w:hAnsi="宋体" w:cs="Times New Roman"/>
      <w:color w:val="000000"/>
      <w:sz w:val="28"/>
      <w:szCs w:val="24"/>
    </w:rPr>
  </w:style>
  <w:style w:type="paragraph" w:customStyle="1" w:styleId="21">
    <w:name w:val="修订2"/>
    <w:hidden/>
    <w:uiPriority w:val="99"/>
    <w:unhideWhenUsed/>
    <w:qFormat/>
    <w:rsid w:val="00CD46B9"/>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1754</Words>
  <Characters>10003</Characters>
  <Application>Microsoft Office Word</Application>
  <DocSecurity>0</DocSecurity>
  <Lines>83</Lines>
  <Paragraphs>23</Paragraphs>
  <ScaleCrop>false</ScaleCrop>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dc:creator>
  <cp:lastModifiedBy>顾雪莲</cp:lastModifiedBy>
  <cp:revision>2</cp:revision>
  <dcterms:created xsi:type="dcterms:W3CDTF">2026-05-05T23:57:00Z</dcterms:created>
  <dcterms:modified xsi:type="dcterms:W3CDTF">2026-05-05T23:57:00Z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24B04AACABF50A5DDDEDE96937A7BF74</vt:lpwstr>
  </property>
</Properties>
</file>