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89C" w:rsidRDefault="0016189C">
      <w:pPr>
        <w:adjustRightInd w:val="0"/>
        <w:snapToGrid w:val="0"/>
        <w:spacing w:line="460" w:lineRule="exact"/>
        <w:ind w:rightChars="40" w:right="84"/>
        <w:jc w:val="center"/>
        <w:rPr>
          <w:b/>
          <w:sz w:val="28"/>
          <w:szCs w:val="28"/>
        </w:rPr>
      </w:pPr>
      <w:bookmarkStart w:id="0" w:name="OLE_LINK4"/>
      <w:bookmarkStart w:id="1" w:name="OLE_LINK6"/>
      <w:bookmarkStart w:id="2" w:name="OLE_LINK5"/>
      <w:bookmarkStart w:id="3" w:name="OLE_LINK7"/>
    </w:p>
    <w:p w:rsidR="0016189C" w:rsidRDefault="00B34D58">
      <w:pPr>
        <w:adjustRightInd w:val="0"/>
        <w:snapToGrid w:val="0"/>
        <w:spacing w:line="460" w:lineRule="exact"/>
        <w:ind w:rightChars="40" w:right="84"/>
        <w:jc w:val="center"/>
        <w:rPr>
          <w:b/>
          <w:sz w:val="28"/>
          <w:szCs w:val="28"/>
        </w:rPr>
      </w:pPr>
      <w:r>
        <w:rPr>
          <w:rFonts w:hint="eastAsia"/>
          <w:b/>
          <w:sz w:val="28"/>
          <w:szCs w:val="28"/>
        </w:rPr>
        <w:t>易方达</w:t>
      </w:r>
      <w:r>
        <w:rPr>
          <w:b/>
          <w:sz w:val="28"/>
          <w:szCs w:val="28"/>
        </w:rPr>
        <w:t>基金管理有限公司关于旗下部分基金调整业绩比较基准</w:t>
      </w:r>
    </w:p>
    <w:p w:rsidR="0016189C" w:rsidRDefault="00B34D58">
      <w:pPr>
        <w:adjustRightInd w:val="0"/>
        <w:snapToGrid w:val="0"/>
        <w:spacing w:line="460" w:lineRule="exact"/>
        <w:ind w:rightChars="40" w:right="84"/>
        <w:jc w:val="center"/>
        <w:rPr>
          <w:b/>
          <w:szCs w:val="21"/>
        </w:rPr>
      </w:pPr>
      <w:r>
        <w:rPr>
          <w:b/>
          <w:kern w:val="0"/>
          <w:sz w:val="28"/>
          <w:szCs w:val="28"/>
        </w:rPr>
        <w:t>并</w:t>
      </w:r>
      <w:r>
        <w:rPr>
          <w:b/>
          <w:sz w:val="28"/>
          <w:szCs w:val="28"/>
        </w:rPr>
        <w:t>修订基金合同的公告</w:t>
      </w:r>
    </w:p>
    <w:p w:rsidR="0016189C" w:rsidRDefault="0016189C">
      <w:pPr>
        <w:pStyle w:val="af"/>
        <w:adjustRightInd w:val="0"/>
        <w:snapToGrid w:val="0"/>
        <w:spacing w:line="460" w:lineRule="exact"/>
        <w:ind w:firstLine="480"/>
        <w:rPr>
          <w:sz w:val="24"/>
        </w:rPr>
      </w:pPr>
    </w:p>
    <w:p w:rsidR="0016189C" w:rsidRDefault="00B34D58">
      <w:pPr>
        <w:adjustRightInd w:val="0"/>
        <w:snapToGrid w:val="0"/>
        <w:spacing w:line="460" w:lineRule="exact"/>
        <w:ind w:firstLineChars="200" w:firstLine="480"/>
        <w:rPr>
          <w:sz w:val="24"/>
        </w:rPr>
      </w:pPr>
      <w:r>
        <w:rPr>
          <w:rFonts w:hint="eastAsia"/>
          <w:bCs/>
          <w:sz w:val="24"/>
        </w:rPr>
        <w:t>根据</w:t>
      </w:r>
      <w:r>
        <w:rPr>
          <w:bCs/>
          <w:sz w:val="24"/>
        </w:rPr>
        <w:t>《公开募集证券投资基金业绩比较基准指引》</w:t>
      </w:r>
      <w:r>
        <w:rPr>
          <w:rFonts w:hint="eastAsia"/>
          <w:bCs/>
          <w:sz w:val="24"/>
        </w:rPr>
        <w:t>的相关规定</w:t>
      </w:r>
      <w:r>
        <w:rPr>
          <w:bCs/>
          <w:sz w:val="24"/>
        </w:rPr>
        <w:t>，</w:t>
      </w:r>
      <w:r>
        <w:rPr>
          <w:rFonts w:hint="eastAsia"/>
          <w:bCs/>
          <w:sz w:val="24"/>
        </w:rPr>
        <w:t>为</w:t>
      </w:r>
      <w:r>
        <w:rPr>
          <w:bCs/>
          <w:sz w:val="24"/>
        </w:rPr>
        <w:t>更好地反映基金</w:t>
      </w:r>
      <w:r>
        <w:rPr>
          <w:rFonts w:hint="eastAsia"/>
          <w:bCs/>
          <w:sz w:val="24"/>
        </w:rPr>
        <w:t>投资风格</w:t>
      </w:r>
      <w:r>
        <w:rPr>
          <w:bCs/>
          <w:sz w:val="24"/>
        </w:rPr>
        <w:t>，提高基金业绩表现与业绩比较基准的可比性，</w:t>
      </w:r>
      <w:r>
        <w:rPr>
          <w:sz w:val="24"/>
        </w:rPr>
        <w:t>经与各基金托管人协商一致，</w:t>
      </w:r>
      <w:r>
        <w:rPr>
          <w:rFonts w:hint="eastAsia"/>
          <w:sz w:val="24"/>
        </w:rPr>
        <w:t>易方达</w:t>
      </w:r>
      <w:r>
        <w:rPr>
          <w:sz w:val="24"/>
        </w:rPr>
        <w:t>基金管理有限公司（以下简称</w:t>
      </w:r>
      <w:r>
        <w:rPr>
          <w:rFonts w:hint="eastAsia"/>
          <w:sz w:val="24"/>
        </w:rPr>
        <w:t>“</w:t>
      </w:r>
      <w:r>
        <w:rPr>
          <w:sz w:val="24"/>
        </w:rPr>
        <w:t>基金管理人</w:t>
      </w:r>
      <w:r>
        <w:rPr>
          <w:rFonts w:hint="eastAsia"/>
          <w:sz w:val="24"/>
        </w:rPr>
        <w:t>”</w:t>
      </w:r>
      <w:r>
        <w:rPr>
          <w:sz w:val="24"/>
        </w:rPr>
        <w:t>）决定自</w:t>
      </w:r>
      <w:r>
        <w:rPr>
          <w:rFonts w:hint="eastAsia"/>
          <w:sz w:val="24"/>
        </w:rPr>
        <w:t>2</w:t>
      </w:r>
      <w:r>
        <w:rPr>
          <w:sz w:val="24"/>
        </w:rPr>
        <w:t>026</w:t>
      </w:r>
      <w:r>
        <w:rPr>
          <w:sz w:val="24"/>
        </w:rPr>
        <w:t>年</w:t>
      </w:r>
      <w:r>
        <w:rPr>
          <w:sz w:val="24"/>
        </w:rPr>
        <w:t>6</w:t>
      </w:r>
      <w:r>
        <w:rPr>
          <w:rFonts w:hint="eastAsia"/>
          <w:sz w:val="24"/>
        </w:rPr>
        <w:t>月</w:t>
      </w:r>
      <w:r>
        <w:rPr>
          <w:rFonts w:hint="eastAsia"/>
          <w:sz w:val="24"/>
        </w:rPr>
        <w:t>1</w:t>
      </w:r>
      <w:r>
        <w:rPr>
          <w:rFonts w:hint="eastAsia"/>
          <w:sz w:val="24"/>
        </w:rPr>
        <w:t>日起</w:t>
      </w:r>
      <w:r>
        <w:rPr>
          <w:sz w:val="24"/>
        </w:rPr>
        <w:t>调整旗下部分基金的</w:t>
      </w:r>
      <w:r>
        <w:rPr>
          <w:bCs/>
          <w:sz w:val="24"/>
        </w:rPr>
        <w:t>业绩比较基准并对基金合同有关条款进行修订。</w:t>
      </w:r>
      <w:r>
        <w:rPr>
          <w:sz w:val="24"/>
        </w:rPr>
        <w:t>现将相关事宜公告如下：</w:t>
      </w:r>
    </w:p>
    <w:p w:rsidR="0016189C" w:rsidRDefault="00B34D58" w:rsidP="00B34D58">
      <w:pPr>
        <w:pStyle w:val="a6"/>
        <w:adjustRightInd w:val="0"/>
        <w:snapToGrid w:val="0"/>
        <w:spacing w:line="460" w:lineRule="exact"/>
        <w:ind w:firstLineChars="200" w:firstLine="482"/>
        <w:rPr>
          <w:rFonts w:ascii="Times New Roman" w:hAnsi="Times New Roman" w:cs="Times New Roman"/>
          <w:b/>
          <w:bCs/>
          <w:sz w:val="24"/>
          <w:szCs w:val="24"/>
        </w:rPr>
      </w:pPr>
      <w:r>
        <w:rPr>
          <w:rFonts w:ascii="Times New Roman" w:hAnsi="Times New Roman" w:cs="Times New Roman"/>
          <w:b/>
          <w:bCs/>
          <w:sz w:val="24"/>
          <w:szCs w:val="24"/>
        </w:rPr>
        <w:t>一、</w:t>
      </w:r>
      <w:r>
        <w:rPr>
          <w:rFonts w:ascii="Times New Roman" w:hAnsi="Times New Roman" w:cs="Times New Roman" w:hint="eastAsia"/>
          <w:b/>
          <w:bCs/>
          <w:sz w:val="24"/>
          <w:szCs w:val="24"/>
        </w:rPr>
        <w:t>业绩比较基准调整情况</w:t>
      </w:r>
    </w:p>
    <w:p w:rsidR="0016189C" w:rsidRDefault="00B34D58">
      <w:pPr>
        <w:pStyle w:val="a6"/>
        <w:adjustRightInd w:val="0"/>
        <w:snapToGrid w:val="0"/>
        <w:spacing w:line="460" w:lineRule="exact"/>
        <w:ind w:firstLineChars="200" w:firstLine="480"/>
        <w:rPr>
          <w:rFonts w:ascii="Times New Roman" w:hAnsi="Times New Roman" w:cs="Times New Roman"/>
          <w:bCs/>
          <w:sz w:val="24"/>
          <w:szCs w:val="24"/>
        </w:rPr>
      </w:pPr>
      <w:r>
        <w:rPr>
          <w:rFonts w:ascii="Times New Roman" w:hAnsi="Times New Roman" w:cs="Times New Roman"/>
          <w:bCs/>
          <w:sz w:val="24"/>
          <w:szCs w:val="24"/>
        </w:rPr>
        <w:t>本次调整业绩比较基准的基金及调整前后的业绩比较基准情况如下：</w:t>
      </w:r>
    </w:p>
    <w:tbl>
      <w:tblPr>
        <w:tblStyle w:val="ac"/>
        <w:tblW w:w="9816" w:type="dxa"/>
        <w:jc w:val="center"/>
        <w:tblLayout w:type="fixed"/>
        <w:tblLook w:val="04A0"/>
      </w:tblPr>
      <w:tblGrid>
        <w:gridCol w:w="709"/>
        <w:gridCol w:w="2131"/>
        <w:gridCol w:w="3392"/>
        <w:gridCol w:w="3584"/>
      </w:tblGrid>
      <w:tr w:rsidR="00CF288F" w:rsidTr="000246C6">
        <w:trPr>
          <w:trHeight w:val="367"/>
          <w:jc w:val="center"/>
        </w:trPr>
        <w:tc>
          <w:tcPr>
            <w:tcW w:w="709" w:type="dxa"/>
            <w:vAlign w:val="center"/>
          </w:tcPr>
          <w:p w:rsidR="0016189C" w:rsidRDefault="00B34D58" w:rsidP="00AA54DF">
            <w:pPr>
              <w:pStyle w:val="af"/>
              <w:adjustRightInd w:val="0"/>
              <w:snapToGrid w:val="0"/>
              <w:spacing w:line="460" w:lineRule="exact"/>
              <w:ind w:firstLineChars="0" w:firstLine="0"/>
              <w:jc w:val="center"/>
              <w:rPr>
                <w:rFonts w:ascii="宋体" w:hAnsi="宋体"/>
                <w:szCs w:val="21"/>
              </w:rPr>
            </w:pPr>
            <w:r>
              <w:rPr>
                <w:rFonts w:ascii="宋体" w:hAnsi="宋体"/>
                <w:szCs w:val="21"/>
              </w:rPr>
              <w:t>序号</w:t>
            </w:r>
          </w:p>
        </w:tc>
        <w:tc>
          <w:tcPr>
            <w:tcW w:w="2131" w:type="dxa"/>
            <w:vAlign w:val="center"/>
          </w:tcPr>
          <w:p w:rsidR="0016189C" w:rsidRDefault="00B34D58">
            <w:pPr>
              <w:pStyle w:val="af"/>
              <w:adjustRightInd w:val="0"/>
              <w:snapToGrid w:val="0"/>
              <w:spacing w:line="460" w:lineRule="exact"/>
              <w:ind w:firstLineChars="0" w:firstLine="0"/>
              <w:jc w:val="center"/>
              <w:rPr>
                <w:rFonts w:ascii="宋体" w:hAnsi="宋体"/>
                <w:szCs w:val="21"/>
              </w:rPr>
            </w:pPr>
            <w:r>
              <w:rPr>
                <w:rFonts w:ascii="宋体" w:hAnsi="宋体"/>
                <w:szCs w:val="21"/>
              </w:rPr>
              <w:t>基金全称</w:t>
            </w:r>
          </w:p>
        </w:tc>
        <w:tc>
          <w:tcPr>
            <w:tcW w:w="3392" w:type="dxa"/>
            <w:vAlign w:val="center"/>
          </w:tcPr>
          <w:p w:rsidR="0016189C" w:rsidRDefault="00B34D58">
            <w:pPr>
              <w:pStyle w:val="af"/>
              <w:adjustRightInd w:val="0"/>
              <w:snapToGrid w:val="0"/>
              <w:spacing w:line="460" w:lineRule="exact"/>
              <w:ind w:firstLineChars="0" w:firstLine="0"/>
              <w:jc w:val="center"/>
              <w:rPr>
                <w:rFonts w:ascii="宋体" w:hAnsi="宋体"/>
                <w:szCs w:val="21"/>
              </w:rPr>
            </w:pPr>
            <w:r>
              <w:rPr>
                <w:rFonts w:ascii="宋体" w:hAnsi="宋体"/>
                <w:szCs w:val="21"/>
              </w:rPr>
              <w:t>原基金合同业绩比较基准</w:t>
            </w:r>
          </w:p>
        </w:tc>
        <w:tc>
          <w:tcPr>
            <w:tcW w:w="3584" w:type="dxa"/>
            <w:vAlign w:val="center"/>
          </w:tcPr>
          <w:p w:rsidR="0016189C" w:rsidRDefault="00B34D58">
            <w:pPr>
              <w:pStyle w:val="af"/>
              <w:adjustRightInd w:val="0"/>
              <w:snapToGrid w:val="0"/>
              <w:spacing w:line="460" w:lineRule="exact"/>
              <w:ind w:firstLineChars="0" w:firstLine="0"/>
              <w:jc w:val="center"/>
              <w:rPr>
                <w:rFonts w:ascii="宋体" w:hAnsi="宋体"/>
                <w:szCs w:val="21"/>
              </w:rPr>
            </w:pPr>
            <w:r>
              <w:rPr>
                <w:rFonts w:ascii="宋体" w:hAnsi="宋体"/>
                <w:szCs w:val="21"/>
              </w:rPr>
              <w:t>调整后的</w:t>
            </w:r>
            <w:r>
              <w:rPr>
                <w:rFonts w:ascii="宋体" w:hAnsi="宋体" w:hint="eastAsia"/>
                <w:szCs w:val="21"/>
              </w:rPr>
              <w:t>新</w:t>
            </w:r>
            <w:r>
              <w:rPr>
                <w:rFonts w:ascii="宋体" w:hAnsi="宋体"/>
                <w:szCs w:val="21"/>
              </w:rPr>
              <w:t>业绩比较基准</w:t>
            </w:r>
          </w:p>
        </w:tc>
      </w:tr>
      <w:tr w:rsidR="00CF288F" w:rsidTr="000246C6">
        <w:trPr>
          <w:trHeight w:val="361"/>
          <w:jc w:val="center"/>
        </w:trPr>
        <w:tc>
          <w:tcPr>
            <w:tcW w:w="709" w:type="dxa"/>
            <w:vAlign w:val="center"/>
          </w:tcPr>
          <w:p w:rsidR="0016189C" w:rsidRDefault="00B34D58" w:rsidP="00AA54DF">
            <w:pPr>
              <w:pStyle w:val="af"/>
              <w:adjustRightInd w:val="0"/>
              <w:snapToGrid w:val="0"/>
              <w:spacing w:line="460" w:lineRule="exact"/>
              <w:ind w:firstLineChars="0" w:firstLine="0"/>
              <w:jc w:val="center"/>
              <w:rPr>
                <w:rFonts w:ascii="宋体" w:hAnsi="宋体"/>
                <w:szCs w:val="21"/>
              </w:rPr>
            </w:pPr>
            <w:r>
              <w:rPr>
                <w:rFonts w:ascii="宋体" w:hAnsi="宋体" w:hint="eastAsia"/>
                <w:szCs w:val="21"/>
              </w:rPr>
              <w:t>1</w:t>
            </w:r>
          </w:p>
        </w:tc>
        <w:tc>
          <w:tcPr>
            <w:tcW w:w="2131" w:type="dxa"/>
            <w:vAlign w:val="center"/>
          </w:tcPr>
          <w:p w:rsidR="0016189C" w:rsidRDefault="00B34D58">
            <w:pPr>
              <w:pStyle w:val="af"/>
              <w:adjustRightInd w:val="0"/>
              <w:snapToGrid w:val="0"/>
              <w:spacing w:line="460" w:lineRule="exact"/>
              <w:ind w:firstLineChars="0" w:firstLine="0"/>
              <w:jc w:val="center"/>
              <w:rPr>
                <w:rFonts w:ascii="宋体" w:hAnsi="宋体"/>
                <w:szCs w:val="21"/>
              </w:rPr>
            </w:pPr>
            <w:r>
              <w:rPr>
                <w:rFonts w:ascii="宋体" w:hAnsi="宋体" w:hint="eastAsia"/>
                <w:color w:val="000000"/>
                <w:szCs w:val="21"/>
              </w:rPr>
              <w:t>易方达稳健增利混合型证券投资基金</w:t>
            </w:r>
          </w:p>
        </w:tc>
        <w:tc>
          <w:tcPr>
            <w:tcW w:w="3392" w:type="dxa"/>
            <w:vAlign w:val="center"/>
          </w:tcPr>
          <w:p w:rsidR="0016189C" w:rsidRDefault="00B34D58">
            <w:pPr>
              <w:pStyle w:val="af"/>
              <w:adjustRightInd w:val="0"/>
              <w:snapToGrid w:val="0"/>
              <w:spacing w:line="460" w:lineRule="exact"/>
              <w:ind w:firstLineChars="0" w:firstLine="0"/>
              <w:jc w:val="center"/>
              <w:rPr>
                <w:rFonts w:ascii="宋体" w:hAnsi="宋体"/>
                <w:szCs w:val="21"/>
              </w:rPr>
            </w:pPr>
            <w:r>
              <w:rPr>
                <w:rFonts w:ascii="宋体" w:hAnsi="宋体" w:hint="eastAsia"/>
                <w:szCs w:val="21"/>
              </w:rPr>
              <w:t>沪深</w:t>
            </w:r>
            <w:r>
              <w:rPr>
                <w:rFonts w:ascii="宋体" w:hAnsi="宋体" w:hint="eastAsia"/>
                <w:szCs w:val="21"/>
              </w:rPr>
              <w:t>300</w:t>
            </w:r>
            <w:r>
              <w:rPr>
                <w:rFonts w:ascii="宋体" w:hAnsi="宋体" w:hint="eastAsia"/>
                <w:szCs w:val="21"/>
              </w:rPr>
              <w:t>指数收益率×</w:t>
            </w:r>
            <w:r>
              <w:rPr>
                <w:rFonts w:ascii="宋体" w:hAnsi="宋体" w:hint="eastAsia"/>
                <w:szCs w:val="21"/>
              </w:rPr>
              <w:t>35%+</w:t>
            </w:r>
            <w:r>
              <w:rPr>
                <w:rFonts w:ascii="宋体" w:hAnsi="宋体" w:hint="eastAsia"/>
                <w:szCs w:val="21"/>
              </w:rPr>
              <w:t>中证港股通综合指数收益率×</w:t>
            </w:r>
            <w:r>
              <w:rPr>
                <w:rFonts w:ascii="宋体" w:hAnsi="宋体" w:hint="eastAsia"/>
                <w:szCs w:val="21"/>
              </w:rPr>
              <w:t>5%+</w:t>
            </w:r>
            <w:r>
              <w:rPr>
                <w:rFonts w:ascii="宋体" w:hAnsi="宋体" w:hint="eastAsia"/>
                <w:szCs w:val="21"/>
              </w:rPr>
              <w:t>中债总指数收益率×</w:t>
            </w:r>
            <w:r>
              <w:rPr>
                <w:rFonts w:ascii="宋体" w:hAnsi="宋体" w:hint="eastAsia"/>
                <w:szCs w:val="21"/>
              </w:rPr>
              <w:t>60%</w:t>
            </w:r>
          </w:p>
        </w:tc>
        <w:tc>
          <w:tcPr>
            <w:tcW w:w="3584" w:type="dxa"/>
            <w:vAlign w:val="center"/>
          </w:tcPr>
          <w:p w:rsidR="0016189C" w:rsidRDefault="00B34D58">
            <w:pPr>
              <w:pStyle w:val="af"/>
              <w:adjustRightInd w:val="0"/>
              <w:snapToGrid w:val="0"/>
              <w:spacing w:line="460" w:lineRule="exact"/>
              <w:ind w:firstLineChars="0" w:firstLine="0"/>
              <w:jc w:val="center"/>
              <w:rPr>
                <w:rFonts w:ascii="宋体" w:hAnsi="宋体"/>
                <w:szCs w:val="21"/>
              </w:rPr>
            </w:pPr>
            <w:r>
              <w:rPr>
                <w:rFonts w:ascii="宋体" w:hAnsi="宋体" w:hint="eastAsia"/>
                <w:szCs w:val="21"/>
              </w:rPr>
              <w:t>中证</w:t>
            </w:r>
            <w:r>
              <w:rPr>
                <w:rFonts w:ascii="宋体" w:hAnsi="宋体" w:hint="eastAsia"/>
                <w:szCs w:val="21"/>
              </w:rPr>
              <w:t>800</w:t>
            </w:r>
            <w:r>
              <w:rPr>
                <w:rFonts w:ascii="宋体" w:hAnsi="宋体" w:hint="eastAsia"/>
                <w:szCs w:val="21"/>
              </w:rPr>
              <w:t>指数收益率×</w:t>
            </w:r>
            <w:r>
              <w:rPr>
                <w:rFonts w:ascii="宋体" w:hAnsi="宋体" w:hint="eastAsia"/>
                <w:szCs w:val="21"/>
              </w:rPr>
              <w:t>35%+</w:t>
            </w:r>
            <w:r>
              <w:rPr>
                <w:rFonts w:ascii="宋体" w:hAnsi="宋体" w:hint="eastAsia"/>
                <w:szCs w:val="21"/>
              </w:rPr>
              <w:t>中证港股通综合指数（人民币）收益率×</w:t>
            </w:r>
            <w:r>
              <w:rPr>
                <w:rFonts w:ascii="宋体" w:hAnsi="宋体" w:hint="eastAsia"/>
                <w:szCs w:val="21"/>
              </w:rPr>
              <w:t>15%+</w:t>
            </w:r>
            <w:r>
              <w:rPr>
                <w:rFonts w:ascii="宋体" w:hAnsi="宋体" w:hint="eastAsia"/>
                <w:szCs w:val="21"/>
              </w:rPr>
              <w:t>中债</w:t>
            </w:r>
            <w:r>
              <w:rPr>
                <w:rFonts w:ascii="宋体" w:hAnsi="宋体" w:hint="eastAsia"/>
                <w:szCs w:val="21"/>
              </w:rPr>
              <w:t>-</w:t>
            </w:r>
            <w:r>
              <w:rPr>
                <w:rFonts w:ascii="宋体" w:hAnsi="宋体" w:hint="eastAsia"/>
                <w:szCs w:val="21"/>
              </w:rPr>
              <w:t>总全价（总值）指数收益率×</w:t>
            </w:r>
            <w:r>
              <w:rPr>
                <w:rFonts w:ascii="宋体" w:hAnsi="宋体" w:hint="eastAsia"/>
                <w:szCs w:val="21"/>
              </w:rPr>
              <w:t>45%+</w:t>
            </w:r>
            <w:r>
              <w:rPr>
                <w:rFonts w:ascii="宋体" w:hAnsi="宋体" w:hint="eastAsia"/>
                <w:szCs w:val="21"/>
              </w:rPr>
              <w:t>活期存款基准利率×</w:t>
            </w:r>
            <w:r>
              <w:rPr>
                <w:rFonts w:ascii="宋体" w:hAnsi="宋体" w:hint="eastAsia"/>
                <w:szCs w:val="21"/>
              </w:rPr>
              <w:t>5%</w:t>
            </w:r>
          </w:p>
        </w:tc>
      </w:tr>
      <w:tr w:rsidR="00CF288F" w:rsidTr="000246C6">
        <w:trPr>
          <w:trHeight w:val="367"/>
          <w:jc w:val="center"/>
        </w:trPr>
        <w:tc>
          <w:tcPr>
            <w:tcW w:w="709" w:type="dxa"/>
            <w:vAlign w:val="center"/>
          </w:tcPr>
          <w:p w:rsidR="0016189C" w:rsidRDefault="00B34D58" w:rsidP="00AA54DF">
            <w:pPr>
              <w:pStyle w:val="af"/>
              <w:adjustRightInd w:val="0"/>
              <w:snapToGrid w:val="0"/>
              <w:spacing w:line="460" w:lineRule="exact"/>
              <w:ind w:firstLineChars="0" w:firstLine="0"/>
              <w:jc w:val="center"/>
              <w:rPr>
                <w:rFonts w:ascii="宋体" w:hAnsi="宋体"/>
                <w:szCs w:val="21"/>
              </w:rPr>
            </w:pPr>
            <w:r>
              <w:rPr>
                <w:rFonts w:ascii="宋体" w:hAnsi="宋体" w:hint="eastAsia"/>
                <w:szCs w:val="21"/>
              </w:rPr>
              <w:t>2</w:t>
            </w:r>
          </w:p>
        </w:tc>
        <w:tc>
          <w:tcPr>
            <w:tcW w:w="2131" w:type="dxa"/>
            <w:vAlign w:val="center"/>
          </w:tcPr>
          <w:p w:rsidR="0016189C" w:rsidRDefault="00B34D58">
            <w:pPr>
              <w:pStyle w:val="af"/>
              <w:adjustRightInd w:val="0"/>
              <w:snapToGrid w:val="0"/>
              <w:spacing w:line="460" w:lineRule="exact"/>
              <w:ind w:firstLineChars="0" w:firstLine="0"/>
              <w:jc w:val="center"/>
              <w:rPr>
                <w:rFonts w:ascii="宋体" w:hAnsi="宋体"/>
                <w:szCs w:val="21"/>
              </w:rPr>
            </w:pPr>
            <w:r>
              <w:rPr>
                <w:rFonts w:ascii="宋体" w:hAnsi="宋体" w:hint="eastAsia"/>
                <w:color w:val="000000"/>
                <w:szCs w:val="21"/>
              </w:rPr>
              <w:t>易方达新益灵活配置混合型证券投资基金</w:t>
            </w:r>
          </w:p>
        </w:tc>
        <w:tc>
          <w:tcPr>
            <w:tcW w:w="3392" w:type="dxa"/>
            <w:vAlign w:val="center"/>
          </w:tcPr>
          <w:p w:rsidR="0016189C" w:rsidRDefault="00B34D58">
            <w:pPr>
              <w:pStyle w:val="af"/>
              <w:adjustRightInd w:val="0"/>
              <w:snapToGrid w:val="0"/>
              <w:spacing w:line="460" w:lineRule="exact"/>
              <w:ind w:firstLineChars="0" w:firstLine="0"/>
              <w:jc w:val="center"/>
              <w:rPr>
                <w:rFonts w:ascii="宋体" w:hAnsi="宋体"/>
                <w:szCs w:val="21"/>
              </w:rPr>
            </w:pPr>
            <w:r>
              <w:rPr>
                <w:rFonts w:ascii="宋体" w:hAnsi="宋体" w:hint="eastAsia"/>
                <w:szCs w:val="21"/>
              </w:rPr>
              <w:t>中债</w:t>
            </w:r>
            <w:r>
              <w:rPr>
                <w:rFonts w:ascii="宋体" w:hAnsi="宋体" w:hint="eastAsia"/>
                <w:szCs w:val="21"/>
              </w:rPr>
              <w:t>-</w:t>
            </w:r>
            <w:r>
              <w:rPr>
                <w:rFonts w:ascii="宋体" w:hAnsi="宋体" w:hint="eastAsia"/>
                <w:szCs w:val="21"/>
              </w:rPr>
              <w:t>优选投资级信用债财富指数收益率×</w:t>
            </w:r>
            <w:r>
              <w:rPr>
                <w:rFonts w:ascii="宋体" w:hAnsi="宋体" w:hint="eastAsia"/>
                <w:szCs w:val="21"/>
              </w:rPr>
              <w:t>80%+</w:t>
            </w:r>
            <w:r>
              <w:rPr>
                <w:rFonts w:ascii="宋体" w:hAnsi="宋体" w:hint="eastAsia"/>
                <w:szCs w:val="21"/>
              </w:rPr>
              <w:t>沪深</w:t>
            </w:r>
            <w:r>
              <w:rPr>
                <w:rFonts w:ascii="宋体" w:hAnsi="宋体" w:hint="eastAsia"/>
                <w:szCs w:val="21"/>
              </w:rPr>
              <w:t>300</w:t>
            </w:r>
            <w:r>
              <w:rPr>
                <w:rFonts w:ascii="宋体" w:hAnsi="宋体" w:hint="eastAsia"/>
                <w:szCs w:val="21"/>
              </w:rPr>
              <w:t>指数收益率×</w:t>
            </w:r>
            <w:r>
              <w:rPr>
                <w:rFonts w:ascii="宋体" w:hAnsi="宋体" w:hint="eastAsia"/>
                <w:szCs w:val="21"/>
              </w:rPr>
              <w:t>20%</w:t>
            </w:r>
          </w:p>
        </w:tc>
        <w:tc>
          <w:tcPr>
            <w:tcW w:w="3584" w:type="dxa"/>
            <w:vAlign w:val="center"/>
          </w:tcPr>
          <w:p w:rsidR="0016189C" w:rsidRDefault="00B34D58">
            <w:pPr>
              <w:pStyle w:val="af"/>
              <w:adjustRightInd w:val="0"/>
              <w:snapToGrid w:val="0"/>
              <w:spacing w:line="460" w:lineRule="exact"/>
              <w:ind w:firstLineChars="0" w:firstLine="0"/>
              <w:jc w:val="center"/>
              <w:rPr>
                <w:rFonts w:ascii="宋体" w:hAnsi="宋体"/>
                <w:szCs w:val="21"/>
              </w:rPr>
            </w:pPr>
            <w:r>
              <w:rPr>
                <w:rFonts w:ascii="宋体" w:hAnsi="宋体" w:hint="eastAsia"/>
                <w:szCs w:val="21"/>
              </w:rPr>
              <w:t>中证</w:t>
            </w:r>
            <w:r>
              <w:rPr>
                <w:rFonts w:ascii="宋体" w:hAnsi="宋体" w:hint="eastAsia"/>
                <w:szCs w:val="21"/>
              </w:rPr>
              <w:t>800</w:t>
            </w:r>
            <w:r>
              <w:rPr>
                <w:rFonts w:ascii="宋体" w:hAnsi="宋体" w:hint="eastAsia"/>
                <w:szCs w:val="21"/>
              </w:rPr>
              <w:t>指数收益率×</w:t>
            </w:r>
            <w:r>
              <w:rPr>
                <w:rFonts w:ascii="宋体" w:hAnsi="宋体" w:hint="eastAsia"/>
                <w:szCs w:val="21"/>
              </w:rPr>
              <w:t>55%+</w:t>
            </w:r>
            <w:r>
              <w:rPr>
                <w:rFonts w:ascii="宋体" w:hAnsi="宋体" w:hint="eastAsia"/>
                <w:szCs w:val="21"/>
              </w:rPr>
              <w:t>中债</w:t>
            </w:r>
            <w:r>
              <w:rPr>
                <w:rFonts w:ascii="宋体" w:hAnsi="宋体" w:hint="eastAsia"/>
                <w:szCs w:val="21"/>
              </w:rPr>
              <w:t>-</w:t>
            </w:r>
            <w:r>
              <w:rPr>
                <w:rFonts w:ascii="宋体" w:hAnsi="宋体" w:hint="eastAsia"/>
                <w:szCs w:val="21"/>
              </w:rPr>
              <w:t>新综合财富（总值）指数收益率×</w:t>
            </w:r>
            <w:r>
              <w:rPr>
                <w:rFonts w:ascii="宋体" w:hAnsi="宋体" w:hint="eastAsia"/>
                <w:szCs w:val="21"/>
              </w:rPr>
              <w:t>40%+</w:t>
            </w:r>
            <w:r>
              <w:rPr>
                <w:rFonts w:ascii="宋体" w:hAnsi="宋体" w:hint="eastAsia"/>
                <w:szCs w:val="21"/>
              </w:rPr>
              <w:t>活期存款基准利率×</w:t>
            </w:r>
            <w:r>
              <w:rPr>
                <w:rFonts w:ascii="宋体" w:hAnsi="宋体" w:hint="eastAsia"/>
                <w:szCs w:val="21"/>
              </w:rPr>
              <w:t>5%</w:t>
            </w:r>
          </w:p>
        </w:tc>
      </w:tr>
      <w:tr w:rsidR="00CF288F" w:rsidTr="000246C6">
        <w:trPr>
          <w:trHeight w:val="367"/>
          <w:jc w:val="center"/>
        </w:trPr>
        <w:tc>
          <w:tcPr>
            <w:tcW w:w="709" w:type="dxa"/>
            <w:vAlign w:val="center"/>
          </w:tcPr>
          <w:p w:rsidR="0016189C" w:rsidRDefault="00B34D58" w:rsidP="00AA54DF">
            <w:pPr>
              <w:pStyle w:val="af"/>
              <w:adjustRightInd w:val="0"/>
              <w:snapToGrid w:val="0"/>
              <w:spacing w:line="460" w:lineRule="exact"/>
              <w:ind w:firstLineChars="0" w:firstLine="0"/>
              <w:jc w:val="center"/>
              <w:rPr>
                <w:rFonts w:ascii="宋体" w:hAnsi="宋体"/>
                <w:szCs w:val="21"/>
              </w:rPr>
            </w:pPr>
            <w:r>
              <w:rPr>
                <w:rFonts w:ascii="宋体" w:hAnsi="宋体" w:hint="eastAsia"/>
                <w:szCs w:val="21"/>
              </w:rPr>
              <w:t>3</w:t>
            </w:r>
          </w:p>
        </w:tc>
        <w:tc>
          <w:tcPr>
            <w:tcW w:w="2131" w:type="dxa"/>
            <w:vAlign w:val="center"/>
          </w:tcPr>
          <w:p w:rsidR="0016189C" w:rsidRDefault="00B34D58">
            <w:pPr>
              <w:pStyle w:val="af"/>
              <w:adjustRightInd w:val="0"/>
              <w:snapToGrid w:val="0"/>
              <w:spacing w:line="460" w:lineRule="exact"/>
              <w:ind w:firstLineChars="0" w:firstLine="0"/>
              <w:jc w:val="center"/>
              <w:rPr>
                <w:rFonts w:ascii="宋体" w:hAnsi="宋体"/>
                <w:szCs w:val="21"/>
              </w:rPr>
            </w:pPr>
            <w:r>
              <w:rPr>
                <w:rFonts w:ascii="宋体" w:hAnsi="宋体" w:hint="eastAsia"/>
                <w:color w:val="000000"/>
                <w:szCs w:val="21"/>
              </w:rPr>
              <w:t>易方达瑞康灵活配置混合型证券投资基金</w:t>
            </w:r>
          </w:p>
        </w:tc>
        <w:tc>
          <w:tcPr>
            <w:tcW w:w="3392" w:type="dxa"/>
            <w:vAlign w:val="center"/>
          </w:tcPr>
          <w:p w:rsidR="0016189C" w:rsidRDefault="00B34D58">
            <w:pPr>
              <w:pStyle w:val="af"/>
              <w:adjustRightInd w:val="0"/>
              <w:snapToGrid w:val="0"/>
              <w:spacing w:line="460" w:lineRule="exact"/>
              <w:ind w:firstLineChars="0" w:firstLine="0"/>
              <w:jc w:val="center"/>
              <w:rPr>
                <w:rFonts w:ascii="宋体" w:hAnsi="宋体"/>
                <w:szCs w:val="21"/>
              </w:rPr>
            </w:pPr>
            <w:r>
              <w:rPr>
                <w:rFonts w:ascii="宋体" w:hAnsi="宋体" w:hint="eastAsia"/>
                <w:szCs w:val="21"/>
              </w:rPr>
              <w:t>中债新综合指数（财富）收益率×</w:t>
            </w:r>
            <w:r>
              <w:rPr>
                <w:rFonts w:ascii="宋体" w:hAnsi="宋体" w:hint="eastAsia"/>
                <w:szCs w:val="21"/>
              </w:rPr>
              <w:t>60%+</w:t>
            </w:r>
            <w:r>
              <w:rPr>
                <w:rFonts w:ascii="宋体" w:hAnsi="宋体" w:hint="eastAsia"/>
                <w:szCs w:val="21"/>
              </w:rPr>
              <w:t>沪深</w:t>
            </w:r>
            <w:r>
              <w:rPr>
                <w:rFonts w:ascii="宋体" w:hAnsi="宋体" w:hint="eastAsia"/>
                <w:szCs w:val="21"/>
              </w:rPr>
              <w:t>300</w:t>
            </w:r>
            <w:r>
              <w:rPr>
                <w:rFonts w:ascii="宋体" w:hAnsi="宋体" w:hint="eastAsia"/>
                <w:szCs w:val="21"/>
              </w:rPr>
              <w:t>指数收益率×</w:t>
            </w:r>
            <w:r>
              <w:rPr>
                <w:rFonts w:ascii="宋体" w:hAnsi="宋体" w:hint="eastAsia"/>
                <w:szCs w:val="21"/>
              </w:rPr>
              <w:t>35%+</w:t>
            </w:r>
            <w:r>
              <w:rPr>
                <w:rFonts w:ascii="宋体" w:hAnsi="宋体" w:hint="eastAsia"/>
                <w:szCs w:val="21"/>
              </w:rPr>
              <w:t>中证港股通综合指数收益率×</w:t>
            </w:r>
            <w:r>
              <w:rPr>
                <w:rFonts w:ascii="宋体" w:hAnsi="宋体" w:hint="eastAsia"/>
                <w:szCs w:val="21"/>
              </w:rPr>
              <w:t>5%</w:t>
            </w:r>
          </w:p>
        </w:tc>
        <w:tc>
          <w:tcPr>
            <w:tcW w:w="3584" w:type="dxa"/>
            <w:vAlign w:val="center"/>
          </w:tcPr>
          <w:p w:rsidR="0016189C" w:rsidRDefault="00B34D58">
            <w:pPr>
              <w:pStyle w:val="af"/>
              <w:adjustRightInd w:val="0"/>
              <w:snapToGrid w:val="0"/>
              <w:spacing w:line="460" w:lineRule="exact"/>
              <w:ind w:firstLineChars="0" w:firstLine="0"/>
              <w:jc w:val="center"/>
              <w:rPr>
                <w:rFonts w:ascii="宋体" w:hAnsi="宋体"/>
                <w:szCs w:val="21"/>
              </w:rPr>
            </w:pPr>
            <w:r>
              <w:rPr>
                <w:rFonts w:ascii="宋体" w:hAnsi="宋体" w:hint="eastAsia"/>
                <w:szCs w:val="21"/>
              </w:rPr>
              <w:t>沪深</w:t>
            </w:r>
            <w:r>
              <w:rPr>
                <w:rFonts w:ascii="宋体" w:hAnsi="宋体" w:hint="eastAsia"/>
                <w:szCs w:val="21"/>
              </w:rPr>
              <w:t>300</w:t>
            </w:r>
            <w:r>
              <w:rPr>
                <w:rFonts w:ascii="宋体" w:hAnsi="宋体" w:hint="eastAsia"/>
                <w:szCs w:val="21"/>
              </w:rPr>
              <w:t>指数收益率×</w:t>
            </w:r>
            <w:r>
              <w:rPr>
                <w:rFonts w:ascii="宋体" w:hAnsi="宋体" w:hint="eastAsia"/>
                <w:szCs w:val="21"/>
              </w:rPr>
              <w:t>40%+</w:t>
            </w:r>
            <w:r>
              <w:rPr>
                <w:rFonts w:ascii="宋体" w:hAnsi="宋体" w:hint="eastAsia"/>
                <w:szCs w:val="21"/>
              </w:rPr>
              <w:t>中证港股通综合指数（人民币）收益率×</w:t>
            </w:r>
            <w:r>
              <w:rPr>
                <w:rFonts w:ascii="宋体" w:hAnsi="宋体" w:hint="eastAsia"/>
                <w:szCs w:val="21"/>
              </w:rPr>
              <w:t>10%+</w:t>
            </w:r>
            <w:r>
              <w:rPr>
                <w:rFonts w:ascii="宋体" w:hAnsi="宋体" w:hint="eastAsia"/>
                <w:szCs w:val="21"/>
              </w:rPr>
              <w:t>中债</w:t>
            </w:r>
            <w:r>
              <w:rPr>
                <w:rFonts w:ascii="宋体" w:hAnsi="宋体" w:hint="eastAsia"/>
                <w:szCs w:val="21"/>
              </w:rPr>
              <w:t>-</w:t>
            </w:r>
            <w:r>
              <w:rPr>
                <w:rFonts w:ascii="宋体" w:hAnsi="宋体" w:hint="eastAsia"/>
                <w:szCs w:val="21"/>
              </w:rPr>
              <w:t>新综合财富（总值）指数收益率×</w:t>
            </w:r>
            <w:r>
              <w:rPr>
                <w:rFonts w:ascii="宋体" w:hAnsi="宋体" w:hint="eastAsia"/>
                <w:szCs w:val="21"/>
              </w:rPr>
              <w:t>45%+</w:t>
            </w:r>
            <w:r>
              <w:rPr>
                <w:rFonts w:ascii="宋体" w:hAnsi="宋体" w:hint="eastAsia"/>
                <w:szCs w:val="21"/>
              </w:rPr>
              <w:t>活期存款基准利率×</w:t>
            </w:r>
            <w:r>
              <w:rPr>
                <w:rFonts w:ascii="宋体" w:hAnsi="宋体" w:hint="eastAsia"/>
                <w:szCs w:val="21"/>
              </w:rPr>
              <w:t>5%</w:t>
            </w:r>
          </w:p>
        </w:tc>
      </w:tr>
      <w:tr w:rsidR="00CF288F" w:rsidTr="000246C6">
        <w:trPr>
          <w:trHeight w:val="361"/>
          <w:jc w:val="center"/>
        </w:trPr>
        <w:tc>
          <w:tcPr>
            <w:tcW w:w="709" w:type="dxa"/>
            <w:vAlign w:val="center"/>
          </w:tcPr>
          <w:p w:rsidR="0016189C" w:rsidRDefault="00B34D58" w:rsidP="00AA54DF">
            <w:pPr>
              <w:pStyle w:val="af"/>
              <w:adjustRightInd w:val="0"/>
              <w:snapToGrid w:val="0"/>
              <w:spacing w:line="460" w:lineRule="exact"/>
              <w:ind w:firstLineChars="0" w:firstLine="0"/>
              <w:jc w:val="center"/>
              <w:rPr>
                <w:rFonts w:ascii="宋体" w:hAnsi="宋体"/>
                <w:szCs w:val="21"/>
              </w:rPr>
            </w:pPr>
            <w:r>
              <w:rPr>
                <w:rFonts w:ascii="宋体" w:hAnsi="宋体" w:hint="eastAsia"/>
                <w:szCs w:val="21"/>
              </w:rPr>
              <w:t>4</w:t>
            </w:r>
          </w:p>
        </w:tc>
        <w:tc>
          <w:tcPr>
            <w:tcW w:w="2131" w:type="dxa"/>
            <w:vAlign w:val="center"/>
          </w:tcPr>
          <w:p w:rsidR="0016189C" w:rsidRDefault="00B34D58">
            <w:pPr>
              <w:pStyle w:val="af"/>
              <w:adjustRightInd w:val="0"/>
              <w:snapToGrid w:val="0"/>
              <w:spacing w:line="460" w:lineRule="exact"/>
              <w:ind w:firstLineChars="0" w:firstLine="0"/>
              <w:jc w:val="center"/>
              <w:rPr>
                <w:rFonts w:ascii="宋体" w:hAnsi="宋体"/>
                <w:szCs w:val="21"/>
              </w:rPr>
            </w:pPr>
            <w:r>
              <w:rPr>
                <w:rFonts w:ascii="宋体" w:hAnsi="宋体" w:hint="eastAsia"/>
                <w:color w:val="000000"/>
                <w:szCs w:val="21"/>
              </w:rPr>
              <w:t>易方达国防军工混合型证券投资基金</w:t>
            </w:r>
          </w:p>
        </w:tc>
        <w:tc>
          <w:tcPr>
            <w:tcW w:w="3392" w:type="dxa"/>
            <w:vAlign w:val="center"/>
          </w:tcPr>
          <w:p w:rsidR="0016189C" w:rsidRDefault="00B34D58">
            <w:pPr>
              <w:pStyle w:val="af"/>
              <w:adjustRightInd w:val="0"/>
              <w:snapToGrid w:val="0"/>
              <w:spacing w:line="460" w:lineRule="exact"/>
              <w:ind w:firstLineChars="0" w:firstLine="0"/>
              <w:jc w:val="center"/>
              <w:rPr>
                <w:rFonts w:ascii="宋体" w:hAnsi="宋体"/>
                <w:szCs w:val="21"/>
              </w:rPr>
            </w:pPr>
            <w:r>
              <w:rPr>
                <w:rFonts w:ascii="宋体" w:hAnsi="宋体" w:hint="eastAsia"/>
                <w:szCs w:val="21"/>
              </w:rPr>
              <w:t>申万国防军工指数收益率×</w:t>
            </w:r>
            <w:r>
              <w:rPr>
                <w:rFonts w:ascii="宋体" w:hAnsi="宋体" w:hint="eastAsia"/>
                <w:szCs w:val="21"/>
              </w:rPr>
              <w:t>70%+</w:t>
            </w:r>
            <w:r>
              <w:rPr>
                <w:rFonts w:ascii="宋体" w:hAnsi="宋体" w:hint="eastAsia"/>
                <w:szCs w:val="21"/>
              </w:rPr>
              <w:t>一年期人民币定期存款利率（税后）×</w:t>
            </w:r>
            <w:r>
              <w:rPr>
                <w:rFonts w:ascii="宋体" w:hAnsi="宋体" w:hint="eastAsia"/>
                <w:szCs w:val="21"/>
              </w:rPr>
              <w:t>30%</w:t>
            </w:r>
          </w:p>
        </w:tc>
        <w:tc>
          <w:tcPr>
            <w:tcW w:w="3584" w:type="dxa"/>
            <w:vAlign w:val="center"/>
          </w:tcPr>
          <w:p w:rsidR="0016189C" w:rsidRDefault="00B34D58">
            <w:pPr>
              <w:pStyle w:val="af"/>
              <w:adjustRightInd w:val="0"/>
              <w:snapToGrid w:val="0"/>
              <w:spacing w:line="460" w:lineRule="exact"/>
              <w:ind w:firstLineChars="0" w:firstLine="0"/>
              <w:jc w:val="center"/>
              <w:rPr>
                <w:rFonts w:ascii="宋体" w:hAnsi="宋体"/>
                <w:szCs w:val="21"/>
              </w:rPr>
            </w:pPr>
            <w:r>
              <w:rPr>
                <w:rFonts w:ascii="宋体" w:hAnsi="宋体" w:hint="eastAsia"/>
                <w:szCs w:val="21"/>
              </w:rPr>
              <w:t>中证军工指数收益率×</w:t>
            </w:r>
            <w:r>
              <w:rPr>
                <w:rFonts w:ascii="宋体" w:hAnsi="宋体" w:hint="eastAsia"/>
                <w:szCs w:val="21"/>
              </w:rPr>
              <w:t>90%+</w:t>
            </w:r>
            <w:r>
              <w:rPr>
                <w:rFonts w:ascii="宋体" w:hAnsi="宋体" w:hint="eastAsia"/>
                <w:szCs w:val="21"/>
              </w:rPr>
              <w:t>中债</w:t>
            </w:r>
            <w:r>
              <w:rPr>
                <w:rFonts w:ascii="宋体" w:hAnsi="宋体" w:hint="eastAsia"/>
                <w:szCs w:val="21"/>
              </w:rPr>
              <w:t>-</w:t>
            </w:r>
            <w:r>
              <w:rPr>
                <w:rFonts w:ascii="宋体" w:hAnsi="宋体" w:hint="eastAsia"/>
                <w:szCs w:val="21"/>
              </w:rPr>
              <w:t>总全价（总值）指数收益率×</w:t>
            </w:r>
            <w:r>
              <w:rPr>
                <w:rFonts w:ascii="宋体" w:hAnsi="宋体" w:hint="eastAsia"/>
                <w:szCs w:val="21"/>
              </w:rPr>
              <w:t>10%</w:t>
            </w:r>
          </w:p>
        </w:tc>
      </w:tr>
      <w:tr w:rsidR="00CF288F" w:rsidTr="000246C6">
        <w:trPr>
          <w:trHeight w:val="367"/>
          <w:jc w:val="center"/>
        </w:trPr>
        <w:tc>
          <w:tcPr>
            <w:tcW w:w="709" w:type="dxa"/>
            <w:vAlign w:val="center"/>
          </w:tcPr>
          <w:p w:rsidR="0016189C" w:rsidRDefault="00B34D58" w:rsidP="00AA54DF">
            <w:pPr>
              <w:pStyle w:val="af"/>
              <w:adjustRightInd w:val="0"/>
              <w:snapToGrid w:val="0"/>
              <w:spacing w:line="460" w:lineRule="exact"/>
              <w:ind w:firstLineChars="0" w:firstLine="0"/>
              <w:jc w:val="center"/>
              <w:rPr>
                <w:rFonts w:ascii="宋体" w:hAnsi="宋体"/>
                <w:szCs w:val="21"/>
              </w:rPr>
            </w:pPr>
            <w:r>
              <w:rPr>
                <w:rFonts w:ascii="宋体" w:hAnsi="宋体" w:hint="eastAsia"/>
                <w:szCs w:val="21"/>
              </w:rPr>
              <w:t>5</w:t>
            </w:r>
          </w:p>
        </w:tc>
        <w:tc>
          <w:tcPr>
            <w:tcW w:w="2131" w:type="dxa"/>
            <w:vAlign w:val="center"/>
          </w:tcPr>
          <w:p w:rsidR="0016189C" w:rsidRDefault="00B34D58">
            <w:pPr>
              <w:pStyle w:val="af"/>
              <w:adjustRightInd w:val="0"/>
              <w:snapToGrid w:val="0"/>
              <w:spacing w:line="460" w:lineRule="exact"/>
              <w:ind w:firstLineChars="0" w:firstLine="0"/>
              <w:jc w:val="center"/>
              <w:rPr>
                <w:rFonts w:ascii="宋体" w:hAnsi="宋体"/>
                <w:szCs w:val="21"/>
              </w:rPr>
            </w:pPr>
            <w:r>
              <w:rPr>
                <w:rFonts w:ascii="宋体" w:hAnsi="宋体" w:hint="eastAsia"/>
                <w:color w:val="000000"/>
                <w:szCs w:val="21"/>
              </w:rPr>
              <w:t>易方达全球成长精选混合型证券投资基金</w:t>
            </w:r>
            <w:r>
              <w:rPr>
                <w:rFonts w:ascii="宋体" w:hAnsi="宋体" w:hint="eastAsia"/>
                <w:color w:val="000000"/>
                <w:szCs w:val="21"/>
              </w:rPr>
              <w:t>(QDII)</w:t>
            </w:r>
          </w:p>
        </w:tc>
        <w:tc>
          <w:tcPr>
            <w:tcW w:w="3392" w:type="dxa"/>
            <w:vAlign w:val="center"/>
          </w:tcPr>
          <w:p w:rsidR="0016189C" w:rsidRDefault="00B34D58">
            <w:pPr>
              <w:pStyle w:val="af"/>
              <w:adjustRightInd w:val="0"/>
              <w:snapToGrid w:val="0"/>
              <w:spacing w:line="460" w:lineRule="exact"/>
              <w:ind w:firstLineChars="0" w:firstLine="0"/>
              <w:jc w:val="center"/>
              <w:rPr>
                <w:rFonts w:ascii="宋体" w:hAnsi="宋体"/>
                <w:szCs w:val="21"/>
              </w:rPr>
            </w:pPr>
            <w:r>
              <w:rPr>
                <w:rFonts w:ascii="宋体" w:hAnsi="宋体" w:hint="eastAsia"/>
                <w:szCs w:val="21"/>
              </w:rPr>
              <w:t>中证</w:t>
            </w:r>
            <w:r>
              <w:rPr>
                <w:rFonts w:ascii="宋体" w:hAnsi="宋体" w:hint="eastAsia"/>
                <w:szCs w:val="21"/>
              </w:rPr>
              <w:t>800</w:t>
            </w:r>
            <w:r>
              <w:rPr>
                <w:rFonts w:ascii="宋体" w:hAnsi="宋体" w:hint="eastAsia"/>
                <w:szCs w:val="21"/>
              </w:rPr>
              <w:t>指数收益率×</w:t>
            </w:r>
            <w:r>
              <w:rPr>
                <w:rFonts w:ascii="宋体" w:hAnsi="宋体" w:hint="eastAsia"/>
                <w:szCs w:val="21"/>
              </w:rPr>
              <w:t>65%+</w:t>
            </w:r>
            <w:r>
              <w:rPr>
                <w:rFonts w:ascii="宋体" w:hAnsi="宋体" w:hint="eastAsia"/>
                <w:szCs w:val="21"/>
              </w:rPr>
              <w:t>标普全球</w:t>
            </w:r>
            <w:r>
              <w:rPr>
                <w:rFonts w:ascii="宋体" w:hAnsi="宋体" w:hint="eastAsia"/>
                <w:szCs w:val="21"/>
              </w:rPr>
              <w:t>1200</w:t>
            </w:r>
            <w:r>
              <w:rPr>
                <w:rFonts w:ascii="宋体" w:hAnsi="宋体" w:hint="eastAsia"/>
                <w:szCs w:val="21"/>
              </w:rPr>
              <w:t>指数（使用估值汇率折算）收益率×</w:t>
            </w:r>
            <w:r>
              <w:rPr>
                <w:rFonts w:ascii="宋体" w:hAnsi="宋体" w:hint="eastAsia"/>
                <w:szCs w:val="21"/>
              </w:rPr>
              <w:t>20%+</w:t>
            </w:r>
            <w:r>
              <w:rPr>
                <w:rFonts w:ascii="宋体" w:hAnsi="宋体" w:hint="eastAsia"/>
                <w:szCs w:val="21"/>
              </w:rPr>
              <w:t>中债总指数收益率×</w:t>
            </w:r>
            <w:r>
              <w:rPr>
                <w:rFonts w:ascii="宋体" w:hAnsi="宋体" w:hint="eastAsia"/>
                <w:szCs w:val="21"/>
              </w:rPr>
              <w:t>15%</w:t>
            </w:r>
          </w:p>
        </w:tc>
        <w:tc>
          <w:tcPr>
            <w:tcW w:w="3584" w:type="dxa"/>
            <w:vAlign w:val="center"/>
          </w:tcPr>
          <w:p w:rsidR="0016189C" w:rsidRDefault="00B34D58">
            <w:pPr>
              <w:pStyle w:val="af"/>
              <w:adjustRightInd w:val="0"/>
              <w:snapToGrid w:val="0"/>
              <w:spacing w:line="460" w:lineRule="exact"/>
              <w:ind w:firstLineChars="0" w:firstLine="0"/>
              <w:jc w:val="center"/>
              <w:rPr>
                <w:rFonts w:ascii="宋体" w:hAnsi="宋体"/>
                <w:szCs w:val="21"/>
              </w:rPr>
            </w:pPr>
            <w:r>
              <w:rPr>
                <w:rFonts w:ascii="宋体" w:hAnsi="宋体" w:hint="eastAsia"/>
                <w:szCs w:val="21"/>
              </w:rPr>
              <w:t>MSCI</w:t>
            </w:r>
            <w:r>
              <w:rPr>
                <w:rFonts w:ascii="宋体" w:hAnsi="宋体" w:hint="eastAsia"/>
                <w:szCs w:val="21"/>
              </w:rPr>
              <w:t>全球指数（</w:t>
            </w:r>
            <w:r>
              <w:rPr>
                <w:rFonts w:ascii="宋体" w:hAnsi="宋体" w:hint="eastAsia"/>
                <w:szCs w:val="21"/>
              </w:rPr>
              <w:t>MSCI All Country World Index</w:t>
            </w:r>
            <w:r>
              <w:rPr>
                <w:rFonts w:ascii="宋体" w:hAnsi="宋体" w:hint="eastAsia"/>
                <w:szCs w:val="21"/>
              </w:rPr>
              <w:t>）收益率×</w:t>
            </w:r>
            <w:r>
              <w:rPr>
                <w:rFonts w:ascii="宋体" w:hAnsi="宋体" w:hint="eastAsia"/>
                <w:szCs w:val="21"/>
              </w:rPr>
              <w:t>30%+</w:t>
            </w:r>
            <w:r>
              <w:rPr>
                <w:rFonts w:ascii="宋体" w:hAnsi="宋体" w:hint="eastAsia"/>
                <w:szCs w:val="21"/>
              </w:rPr>
              <w:t>中证港股通综合指数（人民币）收益率×</w:t>
            </w:r>
            <w:r>
              <w:rPr>
                <w:rFonts w:ascii="宋体" w:hAnsi="宋体" w:hint="eastAsia"/>
                <w:szCs w:val="21"/>
              </w:rPr>
              <w:t>25%+</w:t>
            </w:r>
            <w:r>
              <w:rPr>
                <w:rFonts w:ascii="宋体" w:hAnsi="宋体" w:hint="eastAsia"/>
                <w:szCs w:val="21"/>
              </w:rPr>
              <w:t>中证</w:t>
            </w:r>
            <w:r>
              <w:rPr>
                <w:rFonts w:ascii="宋体" w:hAnsi="宋体" w:hint="eastAsia"/>
                <w:szCs w:val="21"/>
              </w:rPr>
              <w:t>800</w:t>
            </w:r>
            <w:r>
              <w:rPr>
                <w:rFonts w:ascii="宋体" w:hAnsi="宋体" w:hint="eastAsia"/>
                <w:szCs w:val="21"/>
              </w:rPr>
              <w:t>指数收益率×</w:t>
            </w:r>
            <w:r>
              <w:rPr>
                <w:rFonts w:ascii="宋体" w:hAnsi="宋体" w:hint="eastAsia"/>
                <w:szCs w:val="21"/>
              </w:rPr>
              <w:t>30%+</w:t>
            </w:r>
            <w:r>
              <w:rPr>
                <w:rFonts w:ascii="宋体" w:hAnsi="宋体" w:hint="eastAsia"/>
                <w:szCs w:val="21"/>
              </w:rPr>
              <w:t>中债</w:t>
            </w:r>
            <w:r>
              <w:rPr>
                <w:rFonts w:ascii="宋体" w:hAnsi="宋体" w:hint="eastAsia"/>
                <w:szCs w:val="21"/>
              </w:rPr>
              <w:t>-</w:t>
            </w:r>
            <w:r>
              <w:rPr>
                <w:rFonts w:ascii="宋体" w:hAnsi="宋体" w:hint="eastAsia"/>
                <w:szCs w:val="21"/>
              </w:rPr>
              <w:t>总</w:t>
            </w:r>
            <w:r>
              <w:rPr>
                <w:rFonts w:ascii="宋体" w:hAnsi="宋体" w:hint="eastAsia"/>
                <w:szCs w:val="21"/>
              </w:rPr>
              <w:lastRenderedPageBreak/>
              <w:t>全价（总值）指数收益率×</w:t>
            </w:r>
            <w:r>
              <w:rPr>
                <w:rFonts w:ascii="宋体" w:hAnsi="宋体" w:hint="eastAsia"/>
                <w:szCs w:val="21"/>
              </w:rPr>
              <w:t>15%</w:t>
            </w:r>
          </w:p>
        </w:tc>
      </w:tr>
      <w:tr w:rsidR="00CF288F" w:rsidTr="000246C6">
        <w:trPr>
          <w:trHeight w:val="367"/>
          <w:jc w:val="center"/>
        </w:trPr>
        <w:tc>
          <w:tcPr>
            <w:tcW w:w="709" w:type="dxa"/>
            <w:vAlign w:val="center"/>
          </w:tcPr>
          <w:p w:rsidR="0016189C" w:rsidRDefault="00B34D58" w:rsidP="00AA54DF">
            <w:pPr>
              <w:pStyle w:val="af"/>
              <w:adjustRightInd w:val="0"/>
              <w:snapToGrid w:val="0"/>
              <w:spacing w:line="460" w:lineRule="exact"/>
              <w:ind w:firstLineChars="0" w:firstLine="0"/>
              <w:jc w:val="center"/>
              <w:rPr>
                <w:rFonts w:ascii="宋体" w:hAnsi="宋体"/>
                <w:szCs w:val="21"/>
              </w:rPr>
            </w:pPr>
            <w:r>
              <w:rPr>
                <w:rFonts w:ascii="宋体" w:hAnsi="宋体" w:hint="eastAsia"/>
                <w:szCs w:val="21"/>
              </w:rPr>
              <w:lastRenderedPageBreak/>
              <w:t>6</w:t>
            </w:r>
          </w:p>
        </w:tc>
        <w:tc>
          <w:tcPr>
            <w:tcW w:w="2131" w:type="dxa"/>
            <w:vAlign w:val="center"/>
          </w:tcPr>
          <w:p w:rsidR="0016189C" w:rsidRDefault="00B34D58">
            <w:pPr>
              <w:pStyle w:val="af"/>
              <w:adjustRightInd w:val="0"/>
              <w:snapToGrid w:val="0"/>
              <w:spacing w:line="460" w:lineRule="exact"/>
              <w:ind w:firstLineChars="0" w:firstLine="0"/>
              <w:jc w:val="center"/>
              <w:rPr>
                <w:rFonts w:ascii="宋体" w:hAnsi="宋体"/>
                <w:szCs w:val="21"/>
              </w:rPr>
            </w:pPr>
            <w:r>
              <w:rPr>
                <w:rFonts w:ascii="宋体" w:hAnsi="宋体" w:hint="eastAsia"/>
                <w:color w:val="000000"/>
                <w:szCs w:val="21"/>
              </w:rPr>
              <w:t>易方达信息产业混合型证券投资基金</w:t>
            </w:r>
          </w:p>
        </w:tc>
        <w:tc>
          <w:tcPr>
            <w:tcW w:w="3392" w:type="dxa"/>
            <w:vAlign w:val="center"/>
          </w:tcPr>
          <w:p w:rsidR="0016189C" w:rsidRDefault="00B34D58">
            <w:pPr>
              <w:pStyle w:val="af"/>
              <w:adjustRightInd w:val="0"/>
              <w:snapToGrid w:val="0"/>
              <w:spacing w:line="460" w:lineRule="exact"/>
              <w:ind w:firstLineChars="0" w:firstLine="0"/>
              <w:jc w:val="center"/>
              <w:rPr>
                <w:rFonts w:ascii="宋体" w:hAnsi="宋体"/>
                <w:szCs w:val="21"/>
              </w:rPr>
            </w:pPr>
            <w:r>
              <w:rPr>
                <w:rFonts w:ascii="宋体" w:hAnsi="宋体" w:hint="eastAsia"/>
                <w:szCs w:val="21"/>
              </w:rPr>
              <w:t>中证</w:t>
            </w:r>
            <w:r>
              <w:rPr>
                <w:rFonts w:ascii="宋体" w:hAnsi="宋体" w:hint="eastAsia"/>
                <w:szCs w:val="21"/>
              </w:rPr>
              <w:t>TMT</w:t>
            </w:r>
            <w:r>
              <w:rPr>
                <w:rFonts w:ascii="宋体" w:hAnsi="宋体" w:hint="eastAsia"/>
                <w:szCs w:val="21"/>
              </w:rPr>
              <w:t>产业主题指数收益率×</w:t>
            </w:r>
            <w:r>
              <w:rPr>
                <w:rFonts w:ascii="宋体" w:hAnsi="宋体" w:hint="eastAsia"/>
                <w:szCs w:val="21"/>
              </w:rPr>
              <w:t>70%+</w:t>
            </w:r>
            <w:r>
              <w:rPr>
                <w:rFonts w:ascii="宋体" w:hAnsi="宋体" w:hint="eastAsia"/>
                <w:szCs w:val="21"/>
              </w:rPr>
              <w:t>一年期人民币定期存款利率（税后）×</w:t>
            </w:r>
            <w:r>
              <w:rPr>
                <w:rFonts w:ascii="宋体" w:hAnsi="宋体" w:hint="eastAsia"/>
                <w:szCs w:val="21"/>
              </w:rPr>
              <w:t>30%</w:t>
            </w:r>
          </w:p>
        </w:tc>
        <w:tc>
          <w:tcPr>
            <w:tcW w:w="3584" w:type="dxa"/>
            <w:vAlign w:val="center"/>
          </w:tcPr>
          <w:p w:rsidR="0016189C" w:rsidRDefault="00B34D58">
            <w:pPr>
              <w:pStyle w:val="af"/>
              <w:adjustRightInd w:val="0"/>
              <w:snapToGrid w:val="0"/>
              <w:spacing w:line="460" w:lineRule="exact"/>
              <w:ind w:firstLineChars="0" w:firstLine="0"/>
              <w:jc w:val="center"/>
              <w:rPr>
                <w:rFonts w:ascii="宋体" w:hAnsi="宋体"/>
                <w:szCs w:val="21"/>
              </w:rPr>
            </w:pPr>
            <w:r>
              <w:rPr>
                <w:rFonts w:ascii="宋体" w:hAnsi="宋体" w:hint="eastAsia"/>
                <w:szCs w:val="21"/>
              </w:rPr>
              <w:t>中证</w:t>
            </w:r>
            <w:r>
              <w:rPr>
                <w:rFonts w:ascii="宋体" w:hAnsi="宋体" w:hint="eastAsia"/>
                <w:szCs w:val="21"/>
              </w:rPr>
              <w:t>TMT</w:t>
            </w:r>
            <w:r>
              <w:rPr>
                <w:rFonts w:ascii="宋体" w:hAnsi="宋体" w:hint="eastAsia"/>
                <w:szCs w:val="21"/>
              </w:rPr>
              <w:t>产业主题指数收益率×</w:t>
            </w:r>
            <w:r>
              <w:rPr>
                <w:rFonts w:ascii="宋体" w:hAnsi="宋体" w:hint="eastAsia"/>
                <w:szCs w:val="21"/>
              </w:rPr>
              <w:t>85%+</w:t>
            </w:r>
            <w:r>
              <w:rPr>
                <w:rFonts w:ascii="宋体" w:hAnsi="宋体" w:hint="eastAsia"/>
                <w:szCs w:val="21"/>
              </w:rPr>
              <w:t>中债</w:t>
            </w:r>
            <w:r>
              <w:rPr>
                <w:rFonts w:ascii="宋体" w:hAnsi="宋体" w:hint="eastAsia"/>
                <w:szCs w:val="21"/>
              </w:rPr>
              <w:t>-</w:t>
            </w:r>
            <w:r>
              <w:rPr>
                <w:rFonts w:ascii="宋体" w:hAnsi="宋体" w:hint="eastAsia"/>
                <w:szCs w:val="21"/>
              </w:rPr>
              <w:t>总全价（总值）指数收益率×</w:t>
            </w:r>
            <w:r>
              <w:rPr>
                <w:rFonts w:ascii="宋体" w:hAnsi="宋体" w:hint="eastAsia"/>
                <w:szCs w:val="21"/>
              </w:rPr>
              <w:t>15%</w:t>
            </w:r>
          </w:p>
        </w:tc>
      </w:tr>
      <w:tr w:rsidR="00CF288F" w:rsidTr="000246C6">
        <w:trPr>
          <w:trHeight w:val="367"/>
          <w:jc w:val="center"/>
        </w:trPr>
        <w:tc>
          <w:tcPr>
            <w:tcW w:w="709" w:type="dxa"/>
            <w:vAlign w:val="center"/>
          </w:tcPr>
          <w:p w:rsidR="0016189C" w:rsidRDefault="00B34D58" w:rsidP="00AA54DF">
            <w:pPr>
              <w:pStyle w:val="af"/>
              <w:adjustRightInd w:val="0"/>
              <w:snapToGrid w:val="0"/>
              <w:spacing w:line="460" w:lineRule="exact"/>
              <w:ind w:firstLineChars="0" w:firstLine="0"/>
              <w:jc w:val="center"/>
              <w:rPr>
                <w:rFonts w:ascii="宋体" w:hAnsi="宋体"/>
                <w:szCs w:val="21"/>
              </w:rPr>
            </w:pPr>
            <w:r>
              <w:rPr>
                <w:rFonts w:ascii="宋体" w:hAnsi="宋体" w:hint="eastAsia"/>
                <w:szCs w:val="21"/>
              </w:rPr>
              <w:t>7</w:t>
            </w:r>
          </w:p>
        </w:tc>
        <w:tc>
          <w:tcPr>
            <w:tcW w:w="2131" w:type="dxa"/>
            <w:vAlign w:val="center"/>
          </w:tcPr>
          <w:p w:rsidR="0016189C" w:rsidRDefault="00B34D58">
            <w:pPr>
              <w:pStyle w:val="af"/>
              <w:adjustRightInd w:val="0"/>
              <w:snapToGrid w:val="0"/>
              <w:spacing w:line="460" w:lineRule="exact"/>
              <w:ind w:firstLineChars="0" w:firstLine="0"/>
              <w:jc w:val="center"/>
              <w:rPr>
                <w:rFonts w:ascii="宋体" w:hAnsi="宋体"/>
                <w:szCs w:val="21"/>
              </w:rPr>
            </w:pPr>
            <w:r>
              <w:rPr>
                <w:rFonts w:ascii="宋体" w:hAnsi="宋体" w:hint="eastAsia"/>
                <w:color w:val="000000"/>
                <w:szCs w:val="21"/>
              </w:rPr>
              <w:t>易方达供给改革灵活配置混合型证券投资基金</w:t>
            </w:r>
          </w:p>
        </w:tc>
        <w:tc>
          <w:tcPr>
            <w:tcW w:w="3392" w:type="dxa"/>
            <w:vAlign w:val="center"/>
          </w:tcPr>
          <w:p w:rsidR="0016189C" w:rsidRDefault="00B34D58">
            <w:pPr>
              <w:pStyle w:val="af"/>
              <w:adjustRightInd w:val="0"/>
              <w:snapToGrid w:val="0"/>
              <w:spacing w:line="460" w:lineRule="exact"/>
              <w:ind w:firstLineChars="0" w:firstLine="0"/>
              <w:jc w:val="center"/>
              <w:rPr>
                <w:rFonts w:ascii="宋体" w:hAnsi="宋体"/>
                <w:szCs w:val="21"/>
              </w:rPr>
            </w:pPr>
            <w:r>
              <w:rPr>
                <w:rFonts w:ascii="宋体" w:hAnsi="宋体" w:hint="eastAsia"/>
                <w:szCs w:val="21"/>
              </w:rPr>
              <w:t>沪深</w:t>
            </w:r>
            <w:r>
              <w:rPr>
                <w:rFonts w:ascii="宋体" w:hAnsi="宋体" w:hint="eastAsia"/>
                <w:szCs w:val="21"/>
              </w:rPr>
              <w:t>300</w:t>
            </w:r>
            <w:r>
              <w:rPr>
                <w:rFonts w:ascii="宋体" w:hAnsi="宋体" w:hint="eastAsia"/>
                <w:szCs w:val="21"/>
              </w:rPr>
              <w:t>指数收益率×</w:t>
            </w:r>
            <w:r>
              <w:rPr>
                <w:rFonts w:ascii="宋体" w:hAnsi="宋体" w:hint="eastAsia"/>
                <w:szCs w:val="21"/>
              </w:rPr>
              <w:t>65%+</w:t>
            </w:r>
            <w:r>
              <w:rPr>
                <w:rFonts w:ascii="宋体" w:hAnsi="宋体" w:hint="eastAsia"/>
                <w:szCs w:val="21"/>
              </w:rPr>
              <w:t>中债新综合财富指数收益率×</w:t>
            </w:r>
            <w:r>
              <w:rPr>
                <w:rFonts w:ascii="宋体" w:hAnsi="宋体" w:hint="eastAsia"/>
                <w:szCs w:val="21"/>
              </w:rPr>
              <w:t>35%</w:t>
            </w:r>
          </w:p>
        </w:tc>
        <w:tc>
          <w:tcPr>
            <w:tcW w:w="3584" w:type="dxa"/>
            <w:vAlign w:val="center"/>
          </w:tcPr>
          <w:p w:rsidR="0016189C" w:rsidRDefault="00B34D58">
            <w:pPr>
              <w:pStyle w:val="af"/>
              <w:adjustRightInd w:val="0"/>
              <w:snapToGrid w:val="0"/>
              <w:spacing w:line="460" w:lineRule="exact"/>
              <w:ind w:firstLineChars="0" w:firstLine="0"/>
              <w:jc w:val="center"/>
              <w:rPr>
                <w:rFonts w:ascii="宋体" w:hAnsi="宋体"/>
                <w:szCs w:val="21"/>
              </w:rPr>
            </w:pPr>
            <w:r>
              <w:rPr>
                <w:rFonts w:ascii="宋体" w:hAnsi="宋体" w:hint="eastAsia"/>
                <w:szCs w:val="21"/>
              </w:rPr>
              <w:t>中证</w:t>
            </w:r>
            <w:r>
              <w:rPr>
                <w:rFonts w:ascii="宋体" w:hAnsi="宋体" w:hint="eastAsia"/>
                <w:szCs w:val="21"/>
              </w:rPr>
              <w:t>800</w:t>
            </w:r>
            <w:r>
              <w:rPr>
                <w:rFonts w:ascii="宋体" w:hAnsi="宋体" w:hint="eastAsia"/>
                <w:szCs w:val="21"/>
              </w:rPr>
              <w:t>指数收益率×</w:t>
            </w:r>
            <w:r>
              <w:rPr>
                <w:rFonts w:ascii="宋体" w:hAnsi="宋体" w:hint="eastAsia"/>
                <w:szCs w:val="21"/>
              </w:rPr>
              <w:t>85%+</w:t>
            </w:r>
            <w:r>
              <w:rPr>
                <w:rFonts w:ascii="宋体" w:hAnsi="宋体" w:hint="eastAsia"/>
                <w:szCs w:val="21"/>
              </w:rPr>
              <w:t>中债</w:t>
            </w:r>
            <w:r>
              <w:rPr>
                <w:rFonts w:ascii="宋体" w:hAnsi="宋体" w:hint="eastAsia"/>
                <w:szCs w:val="21"/>
              </w:rPr>
              <w:t>-</w:t>
            </w:r>
            <w:r>
              <w:rPr>
                <w:rFonts w:ascii="宋体" w:hAnsi="宋体" w:hint="eastAsia"/>
                <w:szCs w:val="21"/>
              </w:rPr>
              <w:t>新综合财富（总值）指数收益率×</w:t>
            </w:r>
            <w:r>
              <w:rPr>
                <w:rFonts w:ascii="宋体" w:hAnsi="宋体" w:hint="eastAsia"/>
                <w:szCs w:val="21"/>
              </w:rPr>
              <w:t>15%</w:t>
            </w:r>
          </w:p>
        </w:tc>
      </w:tr>
      <w:tr w:rsidR="00CF288F" w:rsidTr="000246C6">
        <w:trPr>
          <w:trHeight w:val="367"/>
          <w:jc w:val="center"/>
        </w:trPr>
        <w:tc>
          <w:tcPr>
            <w:tcW w:w="709" w:type="dxa"/>
            <w:vAlign w:val="center"/>
          </w:tcPr>
          <w:p w:rsidR="0016189C" w:rsidRDefault="00B34D58" w:rsidP="00AA54DF">
            <w:pPr>
              <w:pStyle w:val="af"/>
              <w:adjustRightInd w:val="0"/>
              <w:snapToGrid w:val="0"/>
              <w:spacing w:line="460" w:lineRule="exact"/>
              <w:ind w:firstLineChars="0" w:firstLine="0"/>
              <w:jc w:val="center"/>
              <w:rPr>
                <w:rFonts w:ascii="宋体" w:hAnsi="宋体"/>
                <w:szCs w:val="21"/>
              </w:rPr>
            </w:pPr>
            <w:r>
              <w:rPr>
                <w:rFonts w:ascii="宋体" w:hAnsi="宋体" w:hint="eastAsia"/>
                <w:szCs w:val="21"/>
              </w:rPr>
              <w:t>8</w:t>
            </w:r>
          </w:p>
        </w:tc>
        <w:tc>
          <w:tcPr>
            <w:tcW w:w="2131" w:type="dxa"/>
            <w:vAlign w:val="center"/>
          </w:tcPr>
          <w:p w:rsidR="0016189C" w:rsidRDefault="00B34D58">
            <w:pPr>
              <w:pStyle w:val="af"/>
              <w:adjustRightInd w:val="0"/>
              <w:snapToGrid w:val="0"/>
              <w:spacing w:line="460" w:lineRule="exact"/>
              <w:ind w:firstLineChars="0" w:firstLine="0"/>
              <w:jc w:val="center"/>
              <w:rPr>
                <w:rFonts w:ascii="宋体" w:hAnsi="宋体"/>
                <w:szCs w:val="21"/>
              </w:rPr>
            </w:pPr>
            <w:r>
              <w:rPr>
                <w:rFonts w:ascii="宋体" w:hAnsi="宋体" w:hint="eastAsia"/>
                <w:color w:val="000000"/>
                <w:szCs w:val="21"/>
              </w:rPr>
              <w:t>易方达积极成长证券投资基金</w:t>
            </w:r>
          </w:p>
        </w:tc>
        <w:tc>
          <w:tcPr>
            <w:tcW w:w="3392" w:type="dxa"/>
            <w:vAlign w:val="center"/>
          </w:tcPr>
          <w:p w:rsidR="0016189C" w:rsidRDefault="00B34D58">
            <w:pPr>
              <w:pStyle w:val="af"/>
              <w:adjustRightInd w:val="0"/>
              <w:snapToGrid w:val="0"/>
              <w:spacing w:line="460" w:lineRule="exact"/>
              <w:ind w:firstLineChars="0" w:firstLine="0"/>
              <w:jc w:val="center"/>
              <w:rPr>
                <w:rFonts w:ascii="宋体" w:hAnsi="宋体"/>
                <w:szCs w:val="21"/>
              </w:rPr>
            </w:pPr>
            <w:r>
              <w:rPr>
                <w:rFonts w:ascii="宋体" w:hAnsi="宋体" w:hint="eastAsia"/>
                <w:szCs w:val="21"/>
              </w:rPr>
              <w:t>上证</w:t>
            </w:r>
            <w:r>
              <w:rPr>
                <w:rFonts w:ascii="宋体" w:hAnsi="宋体" w:hint="eastAsia"/>
                <w:szCs w:val="21"/>
              </w:rPr>
              <w:t>A</w:t>
            </w:r>
            <w:r>
              <w:rPr>
                <w:rFonts w:ascii="宋体" w:hAnsi="宋体" w:hint="eastAsia"/>
                <w:szCs w:val="21"/>
              </w:rPr>
              <w:t>股指数</w:t>
            </w:r>
          </w:p>
        </w:tc>
        <w:tc>
          <w:tcPr>
            <w:tcW w:w="3584" w:type="dxa"/>
            <w:vAlign w:val="center"/>
          </w:tcPr>
          <w:p w:rsidR="0016189C" w:rsidRDefault="00B34D58">
            <w:pPr>
              <w:pStyle w:val="af"/>
              <w:adjustRightInd w:val="0"/>
              <w:snapToGrid w:val="0"/>
              <w:spacing w:line="460" w:lineRule="exact"/>
              <w:ind w:firstLineChars="0" w:firstLine="0"/>
              <w:jc w:val="center"/>
              <w:rPr>
                <w:rFonts w:ascii="宋体" w:hAnsi="宋体"/>
                <w:szCs w:val="21"/>
              </w:rPr>
            </w:pPr>
            <w:r>
              <w:rPr>
                <w:rFonts w:ascii="宋体" w:hAnsi="宋体" w:hint="eastAsia"/>
                <w:szCs w:val="21"/>
              </w:rPr>
              <w:t>中证</w:t>
            </w:r>
            <w:r>
              <w:rPr>
                <w:rFonts w:ascii="宋体" w:hAnsi="宋体" w:hint="eastAsia"/>
                <w:szCs w:val="21"/>
              </w:rPr>
              <w:t>800</w:t>
            </w:r>
            <w:r>
              <w:rPr>
                <w:rFonts w:ascii="宋体" w:hAnsi="宋体" w:hint="eastAsia"/>
                <w:szCs w:val="21"/>
              </w:rPr>
              <w:t>成长指数收益率×</w:t>
            </w:r>
            <w:r>
              <w:rPr>
                <w:rFonts w:ascii="宋体" w:hAnsi="宋体" w:hint="eastAsia"/>
                <w:szCs w:val="21"/>
              </w:rPr>
              <w:t>85%+</w:t>
            </w:r>
            <w:r>
              <w:rPr>
                <w:rFonts w:ascii="宋体" w:hAnsi="宋体" w:hint="eastAsia"/>
                <w:szCs w:val="21"/>
              </w:rPr>
              <w:t>中债</w:t>
            </w:r>
            <w:r>
              <w:rPr>
                <w:rFonts w:ascii="宋体" w:hAnsi="宋体" w:hint="eastAsia"/>
                <w:szCs w:val="21"/>
              </w:rPr>
              <w:t>-</w:t>
            </w:r>
            <w:r>
              <w:rPr>
                <w:rFonts w:ascii="宋体" w:hAnsi="宋体" w:hint="eastAsia"/>
                <w:szCs w:val="21"/>
              </w:rPr>
              <w:t>总全价（总值）指数收益率×</w:t>
            </w:r>
            <w:r>
              <w:rPr>
                <w:rFonts w:ascii="宋体" w:hAnsi="宋体" w:hint="eastAsia"/>
                <w:szCs w:val="21"/>
              </w:rPr>
              <w:t>15%</w:t>
            </w:r>
          </w:p>
        </w:tc>
      </w:tr>
      <w:tr w:rsidR="00CF288F" w:rsidTr="000246C6">
        <w:trPr>
          <w:trHeight w:val="367"/>
          <w:jc w:val="center"/>
        </w:trPr>
        <w:tc>
          <w:tcPr>
            <w:tcW w:w="709" w:type="dxa"/>
            <w:vAlign w:val="center"/>
          </w:tcPr>
          <w:p w:rsidR="0016189C" w:rsidRDefault="00B34D58" w:rsidP="00AA54DF">
            <w:pPr>
              <w:pStyle w:val="af"/>
              <w:adjustRightInd w:val="0"/>
              <w:snapToGrid w:val="0"/>
              <w:spacing w:line="460" w:lineRule="exact"/>
              <w:ind w:firstLineChars="0" w:firstLine="0"/>
              <w:jc w:val="center"/>
              <w:rPr>
                <w:rFonts w:ascii="宋体" w:hAnsi="宋体"/>
                <w:szCs w:val="21"/>
              </w:rPr>
            </w:pPr>
            <w:r>
              <w:rPr>
                <w:rFonts w:ascii="宋体" w:hAnsi="宋体" w:hint="eastAsia"/>
                <w:szCs w:val="21"/>
              </w:rPr>
              <w:t>9</w:t>
            </w:r>
          </w:p>
        </w:tc>
        <w:tc>
          <w:tcPr>
            <w:tcW w:w="2131" w:type="dxa"/>
            <w:vAlign w:val="center"/>
          </w:tcPr>
          <w:p w:rsidR="0016189C" w:rsidRDefault="00B34D58">
            <w:pPr>
              <w:pStyle w:val="af"/>
              <w:adjustRightInd w:val="0"/>
              <w:snapToGrid w:val="0"/>
              <w:spacing w:line="460" w:lineRule="exact"/>
              <w:ind w:firstLineChars="0" w:firstLine="0"/>
              <w:jc w:val="center"/>
              <w:rPr>
                <w:rFonts w:ascii="宋体" w:hAnsi="宋体"/>
                <w:szCs w:val="21"/>
              </w:rPr>
            </w:pPr>
            <w:r>
              <w:rPr>
                <w:rFonts w:ascii="宋体" w:hAnsi="宋体" w:hint="eastAsia"/>
                <w:color w:val="000000"/>
                <w:szCs w:val="21"/>
              </w:rPr>
              <w:t>易方达医药生物股票型证券投资基金</w:t>
            </w:r>
          </w:p>
        </w:tc>
        <w:tc>
          <w:tcPr>
            <w:tcW w:w="3392" w:type="dxa"/>
            <w:vAlign w:val="center"/>
          </w:tcPr>
          <w:p w:rsidR="0016189C" w:rsidRDefault="00B34D58">
            <w:pPr>
              <w:pStyle w:val="af"/>
              <w:adjustRightInd w:val="0"/>
              <w:snapToGrid w:val="0"/>
              <w:spacing w:line="460" w:lineRule="exact"/>
              <w:ind w:firstLineChars="0" w:firstLine="0"/>
              <w:jc w:val="center"/>
              <w:rPr>
                <w:rFonts w:ascii="宋体" w:hAnsi="宋体"/>
                <w:szCs w:val="21"/>
              </w:rPr>
            </w:pPr>
            <w:r>
              <w:rPr>
                <w:rFonts w:ascii="宋体" w:hAnsi="宋体" w:hint="eastAsia"/>
                <w:szCs w:val="21"/>
              </w:rPr>
              <w:t>申万医药生物行业指数收益率×</w:t>
            </w:r>
            <w:r>
              <w:rPr>
                <w:rFonts w:ascii="宋体" w:hAnsi="宋体" w:hint="eastAsia"/>
                <w:szCs w:val="21"/>
              </w:rPr>
              <w:t>70%+</w:t>
            </w:r>
            <w:r>
              <w:rPr>
                <w:rFonts w:ascii="宋体" w:hAnsi="宋体" w:hint="eastAsia"/>
                <w:szCs w:val="21"/>
              </w:rPr>
              <w:t>中证港股通医药卫生综合指数收益率×</w:t>
            </w:r>
            <w:r>
              <w:rPr>
                <w:rFonts w:ascii="宋体" w:hAnsi="宋体" w:hint="eastAsia"/>
                <w:szCs w:val="21"/>
              </w:rPr>
              <w:t>15%+</w:t>
            </w:r>
            <w:r>
              <w:rPr>
                <w:rFonts w:ascii="宋体" w:hAnsi="宋体" w:hint="eastAsia"/>
                <w:szCs w:val="21"/>
              </w:rPr>
              <w:t>中债总指数收益率×</w:t>
            </w:r>
            <w:r>
              <w:rPr>
                <w:rFonts w:ascii="宋体" w:hAnsi="宋体" w:hint="eastAsia"/>
                <w:szCs w:val="21"/>
              </w:rPr>
              <w:t>15%</w:t>
            </w:r>
          </w:p>
        </w:tc>
        <w:tc>
          <w:tcPr>
            <w:tcW w:w="3584" w:type="dxa"/>
            <w:vAlign w:val="center"/>
          </w:tcPr>
          <w:p w:rsidR="0016189C" w:rsidRDefault="00B34D58">
            <w:pPr>
              <w:pStyle w:val="af"/>
              <w:adjustRightInd w:val="0"/>
              <w:snapToGrid w:val="0"/>
              <w:spacing w:line="460" w:lineRule="exact"/>
              <w:ind w:firstLineChars="0" w:firstLine="0"/>
              <w:jc w:val="center"/>
              <w:rPr>
                <w:rFonts w:ascii="宋体" w:hAnsi="宋体"/>
                <w:szCs w:val="21"/>
              </w:rPr>
            </w:pPr>
            <w:r>
              <w:rPr>
                <w:rFonts w:ascii="宋体" w:hAnsi="宋体" w:hint="eastAsia"/>
                <w:szCs w:val="21"/>
              </w:rPr>
              <w:t>中证全指医药卫生指数收益率×</w:t>
            </w:r>
            <w:r>
              <w:rPr>
                <w:rFonts w:ascii="宋体" w:hAnsi="宋体" w:hint="eastAsia"/>
                <w:szCs w:val="21"/>
              </w:rPr>
              <w:t>50%+</w:t>
            </w:r>
            <w:r>
              <w:rPr>
                <w:rFonts w:ascii="宋体" w:hAnsi="宋体" w:hint="eastAsia"/>
                <w:szCs w:val="21"/>
              </w:rPr>
              <w:t>中证港股通医药卫生综合指数（人民币）收益率×</w:t>
            </w:r>
            <w:r>
              <w:rPr>
                <w:rFonts w:ascii="宋体" w:hAnsi="宋体" w:hint="eastAsia"/>
                <w:szCs w:val="21"/>
              </w:rPr>
              <w:t>40%+</w:t>
            </w:r>
            <w:r>
              <w:rPr>
                <w:rFonts w:ascii="宋体" w:hAnsi="宋体" w:hint="eastAsia"/>
                <w:szCs w:val="21"/>
              </w:rPr>
              <w:t>中债</w:t>
            </w:r>
            <w:r>
              <w:rPr>
                <w:rFonts w:ascii="宋体" w:hAnsi="宋体" w:hint="eastAsia"/>
                <w:szCs w:val="21"/>
              </w:rPr>
              <w:t>-</w:t>
            </w:r>
            <w:r>
              <w:rPr>
                <w:rFonts w:ascii="宋体" w:hAnsi="宋体" w:hint="eastAsia"/>
                <w:szCs w:val="21"/>
              </w:rPr>
              <w:t>总全价（总值）指数收益率×</w:t>
            </w:r>
            <w:r>
              <w:rPr>
                <w:rFonts w:ascii="宋体" w:hAnsi="宋体" w:hint="eastAsia"/>
                <w:szCs w:val="21"/>
              </w:rPr>
              <w:t>10%</w:t>
            </w:r>
          </w:p>
        </w:tc>
      </w:tr>
      <w:tr w:rsidR="00CF288F" w:rsidTr="000246C6">
        <w:trPr>
          <w:trHeight w:val="367"/>
          <w:jc w:val="center"/>
        </w:trPr>
        <w:tc>
          <w:tcPr>
            <w:tcW w:w="709" w:type="dxa"/>
            <w:vAlign w:val="center"/>
          </w:tcPr>
          <w:p w:rsidR="0016189C" w:rsidRDefault="00B34D58" w:rsidP="00AA54DF">
            <w:pPr>
              <w:pStyle w:val="af"/>
              <w:adjustRightInd w:val="0"/>
              <w:snapToGrid w:val="0"/>
              <w:spacing w:line="460" w:lineRule="exact"/>
              <w:ind w:firstLineChars="0" w:firstLine="0"/>
              <w:jc w:val="center"/>
              <w:rPr>
                <w:rFonts w:ascii="宋体" w:hAnsi="宋体"/>
                <w:szCs w:val="21"/>
              </w:rPr>
            </w:pPr>
            <w:r>
              <w:rPr>
                <w:rFonts w:ascii="宋体" w:hAnsi="宋体" w:hint="eastAsia"/>
                <w:szCs w:val="21"/>
              </w:rPr>
              <w:t>10</w:t>
            </w:r>
          </w:p>
        </w:tc>
        <w:tc>
          <w:tcPr>
            <w:tcW w:w="2131" w:type="dxa"/>
            <w:vAlign w:val="center"/>
          </w:tcPr>
          <w:p w:rsidR="0016189C" w:rsidRDefault="00B34D58">
            <w:pPr>
              <w:pStyle w:val="af"/>
              <w:adjustRightInd w:val="0"/>
              <w:snapToGrid w:val="0"/>
              <w:spacing w:line="460" w:lineRule="exact"/>
              <w:ind w:firstLineChars="0" w:firstLine="0"/>
              <w:jc w:val="center"/>
              <w:rPr>
                <w:rFonts w:ascii="宋体" w:hAnsi="宋体"/>
                <w:szCs w:val="21"/>
              </w:rPr>
            </w:pPr>
            <w:r>
              <w:rPr>
                <w:rFonts w:ascii="宋体" w:hAnsi="宋体" w:hint="eastAsia"/>
                <w:color w:val="000000"/>
                <w:szCs w:val="21"/>
              </w:rPr>
              <w:t>易方达新常态灵活配置混合型证券投资基金</w:t>
            </w:r>
          </w:p>
        </w:tc>
        <w:tc>
          <w:tcPr>
            <w:tcW w:w="3392" w:type="dxa"/>
            <w:vAlign w:val="center"/>
          </w:tcPr>
          <w:p w:rsidR="0016189C" w:rsidRDefault="00B34D58">
            <w:pPr>
              <w:pStyle w:val="af"/>
              <w:adjustRightInd w:val="0"/>
              <w:snapToGrid w:val="0"/>
              <w:spacing w:line="460" w:lineRule="exact"/>
              <w:ind w:firstLineChars="0" w:firstLine="0"/>
              <w:jc w:val="center"/>
              <w:rPr>
                <w:rFonts w:ascii="宋体" w:hAnsi="宋体"/>
                <w:szCs w:val="21"/>
              </w:rPr>
            </w:pPr>
            <w:r>
              <w:rPr>
                <w:rFonts w:ascii="宋体" w:hAnsi="宋体" w:hint="eastAsia"/>
                <w:szCs w:val="21"/>
              </w:rPr>
              <w:t>中证</w:t>
            </w:r>
            <w:r>
              <w:rPr>
                <w:rFonts w:ascii="宋体" w:hAnsi="宋体" w:hint="eastAsia"/>
                <w:szCs w:val="21"/>
              </w:rPr>
              <w:t>800</w:t>
            </w:r>
            <w:r>
              <w:rPr>
                <w:rFonts w:ascii="宋体" w:hAnsi="宋体" w:hint="eastAsia"/>
                <w:szCs w:val="21"/>
              </w:rPr>
              <w:t>指数收益率×</w:t>
            </w:r>
            <w:r>
              <w:rPr>
                <w:rFonts w:ascii="宋体" w:hAnsi="宋体" w:hint="eastAsia"/>
                <w:szCs w:val="21"/>
              </w:rPr>
              <w:t>65%+</w:t>
            </w:r>
            <w:r>
              <w:rPr>
                <w:rFonts w:ascii="宋体" w:hAnsi="宋体" w:hint="eastAsia"/>
                <w:szCs w:val="21"/>
              </w:rPr>
              <w:t>一年期人民币定期存款利率</w:t>
            </w:r>
            <w:r>
              <w:rPr>
                <w:rFonts w:ascii="宋体" w:hAnsi="宋体" w:hint="eastAsia"/>
                <w:szCs w:val="21"/>
              </w:rPr>
              <w:t>(</w:t>
            </w:r>
            <w:r>
              <w:rPr>
                <w:rFonts w:ascii="宋体" w:hAnsi="宋体" w:hint="eastAsia"/>
                <w:szCs w:val="21"/>
              </w:rPr>
              <w:t>税后</w:t>
            </w:r>
            <w:r>
              <w:rPr>
                <w:rFonts w:ascii="宋体" w:hAnsi="宋体" w:hint="eastAsia"/>
                <w:szCs w:val="21"/>
              </w:rPr>
              <w:t>)</w:t>
            </w:r>
            <w:r>
              <w:rPr>
                <w:rFonts w:ascii="宋体" w:hAnsi="宋体" w:hint="eastAsia"/>
                <w:szCs w:val="21"/>
              </w:rPr>
              <w:t>×</w:t>
            </w:r>
            <w:r>
              <w:rPr>
                <w:rFonts w:ascii="宋体" w:hAnsi="宋体" w:hint="eastAsia"/>
                <w:szCs w:val="21"/>
              </w:rPr>
              <w:t>35%</w:t>
            </w:r>
          </w:p>
        </w:tc>
        <w:tc>
          <w:tcPr>
            <w:tcW w:w="3584" w:type="dxa"/>
            <w:vAlign w:val="center"/>
          </w:tcPr>
          <w:p w:rsidR="0016189C" w:rsidRDefault="00B34D58">
            <w:pPr>
              <w:pStyle w:val="af"/>
              <w:adjustRightInd w:val="0"/>
              <w:snapToGrid w:val="0"/>
              <w:spacing w:line="460" w:lineRule="exact"/>
              <w:ind w:firstLineChars="0" w:firstLine="0"/>
              <w:jc w:val="center"/>
              <w:rPr>
                <w:rFonts w:ascii="宋体" w:hAnsi="宋体"/>
                <w:szCs w:val="21"/>
              </w:rPr>
            </w:pPr>
            <w:r>
              <w:rPr>
                <w:rFonts w:ascii="宋体" w:hAnsi="宋体" w:hint="eastAsia"/>
                <w:szCs w:val="21"/>
              </w:rPr>
              <w:t>中证</w:t>
            </w:r>
            <w:r>
              <w:rPr>
                <w:rFonts w:ascii="宋体" w:hAnsi="宋体" w:hint="eastAsia"/>
                <w:szCs w:val="21"/>
              </w:rPr>
              <w:t>800</w:t>
            </w:r>
            <w:r>
              <w:rPr>
                <w:rFonts w:ascii="宋体" w:hAnsi="宋体" w:hint="eastAsia"/>
                <w:szCs w:val="21"/>
              </w:rPr>
              <w:t>成长指数收益率×</w:t>
            </w:r>
            <w:r>
              <w:rPr>
                <w:rFonts w:ascii="宋体" w:hAnsi="宋体" w:hint="eastAsia"/>
                <w:szCs w:val="21"/>
              </w:rPr>
              <w:t>85%+</w:t>
            </w:r>
            <w:r>
              <w:rPr>
                <w:rFonts w:ascii="宋体" w:hAnsi="宋体" w:hint="eastAsia"/>
                <w:szCs w:val="21"/>
              </w:rPr>
              <w:t>中债</w:t>
            </w:r>
            <w:r>
              <w:rPr>
                <w:rFonts w:ascii="宋体" w:hAnsi="宋体" w:hint="eastAsia"/>
                <w:szCs w:val="21"/>
              </w:rPr>
              <w:t>-</w:t>
            </w:r>
            <w:r>
              <w:rPr>
                <w:rFonts w:ascii="宋体" w:hAnsi="宋体" w:hint="eastAsia"/>
                <w:szCs w:val="21"/>
              </w:rPr>
              <w:t>总全价（总值）指数收益率×</w:t>
            </w:r>
            <w:r>
              <w:rPr>
                <w:rFonts w:ascii="宋体" w:hAnsi="宋体" w:hint="eastAsia"/>
                <w:szCs w:val="21"/>
              </w:rPr>
              <w:t>15%</w:t>
            </w:r>
          </w:p>
        </w:tc>
      </w:tr>
      <w:tr w:rsidR="00CF288F" w:rsidTr="000246C6">
        <w:trPr>
          <w:trHeight w:val="367"/>
          <w:jc w:val="center"/>
        </w:trPr>
        <w:tc>
          <w:tcPr>
            <w:tcW w:w="709" w:type="dxa"/>
            <w:vAlign w:val="center"/>
          </w:tcPr>
          <w:p w:rsidR="0016189C" w:rsidRDefault="00B34D58" w:rsidP="00AA54DF">
            <w:pPr>
              <w:pStyle w:val="af"/>
              <w:adjustRightInd w:val="0"/>
              <w:snapToGrid w:val="0"/>
              <w:spacing w:line="460" w:lineRule="exact"/>
              <w:ind w:firstLineChars="0" w:firstLine="0"/>
              <w:jc w:val="center"/>
              <w:rPr>
                <w:rFonts w:ascii="宋体" w:hAnsi="宋体"/>
                <w:szCs w:val="21"/>
              </w:rPr>
            </w:pPr>
            <w:r>
              <w:rPr>
                <w:rFonts w:ascii="宋体" w:hAnsi="宋体" w:hint="eastAsia"/>
                <w:szCs w:val="21"/>
              </w:rPr>
              <w:t>11</w:t>
            </w:r>
          </w:p>
        </w:tc>
        <w:tc>
          <w:tcPr>
            <w:tcW w:w="2131" w:type="dxa"/>
            <w:vAlign w:val="center"/>
          </w:tcPr>
          <w:p w:rsidR="0016189C" w:rsidRDefault="00B34D58">
            <w:pPr>
              <w:pStyle w:val="af"/>
              <w:adjustRightInd w:val="0"/>
              <w:snapToGrid w:val="0"/>
              <w:spacing w:line="460" w:lineRule="exact"/>
              <w:ind w:firstLineChars="0" w:firstLine="0"/>
              <w:jc w:val="center"/>
              <w:rPr>
                <w:rFonts w:ascii="宋体" w:hAnsi="宋体"/>
                <w:szCs w:val="21"/>
              </w:rPr>
            </w:pPr>
            <w:r>
              <w:rPr>
                <w:rFonts w:ascii="宋体" w:hAnsi="宋体" w:hint="eastAsia"/>
                <w:color w:val="000000"/>
                <w:szCs w:val="21"/>
              </w:rPr>
              <w:t>易方达创新驱动灵活配置混合型证券投资基金</w:t>
            </w:r>
          </w:p>
        </w:tc>
        <w:tc>
          <w:tcPr>
            <w:tcW w:w="3392" w:type="dxa"/>
            <w:vAlign w:val="center"/>
          </w:tcPr>
          <w:p w:rsidR="0016189C" w:rsidRDefault="00B34D58">
            <w:pPr>
              <w:pStyle w:val="af"/>
              <w:adjustRightInd w:val="0"/>
              <w:snapToGrid w:val="0"/>
              <w:spacing w:line="460" w:lineRule="exact"/>
              <w:ind w:firstLineChars="0" w:firstLine="0"/>
              <w:jc w:val="center"/>
              <w:rPr>
                <w:rFonts w:ascii="宋体" w:hAnsi="宋体"/>
                <w:szCs w:val="21"/>
              </w:rPr>
            </w:pPr>
            <w:r>
              <w:rPr>
                <w:rFonts w:ascii="宋体" w:hAnsi="宋体" w:hint="eastAsia"/>
                <w:szCs w:val="21"/>
              </w:rPr>
              <w:t>50%</w:t>
            </w:r>
            <w:r>
              <w:rPr>
                <w:rFonts w:ascii="宋体" w:hAnsi="宋体" w:hint="eastAsia"/>
                <w:szCs w:val="21"/>
              </w:rPr>
              <w:t>×沪深</w:t>
            </w:r>
            <w:r>
              <w:rPr>
                <w:rFonts w:ascii="宋体" w:hAnsi="宋体" w:hint="eastAsia"/>
                <w:szCs w:val="21"/>
              </w:rPr>
              <w:t>300</w:t>
            </w:r>
            <w:r>
              <w:rPr>
                <w:rFonts w:ascii="宋体" w:hAnsi="宋体" w:hint="eastAsia"/>
                <w:szCs w:val="21"/>
              </w:rPr>
              <w:t>指数收益率</w:t>
            </w:r>
            <w:r>
              <w:rPr>
                <w:rFonts w:ascii="宋体" w:hAnsi="宋体" w:hint="eastAsia"/>
                <w:szCs w:val="21"/>
              </w:rPr>
              <w:t>+50%</w:t>
            </w:r>
            <w:r>
              <w:rPr>
                <w:rFonts w:ascii="宋体" w:hAnsi="宋体" w:hint="eastAsia"/>
                <w:szCs w:val="21"/>
              </w:rPr>
              <w:t>×中债总财富指数收益率</w:t>
            </w:r>
          </w:p>
        </w:tc>
        <w:tc>
          <w:tcPr>
            <w:tcW w:w="3584" w:type="dxa"/>
            <w:vAlign w:val="center"/>
          </w:tcPr>
          <w:p w:rsidR="0016189C" w:rsidRDefault="00B34D58">
            <w:pPr>
              <w:pStyle w:val="af"/>
              <w:adjustRightInd w:val="0"/>
              <w:snapToGrid w:val="0"/>
              <w:spacing w:line="460" w:lineRule="exact"/>
              <w:ind w:firstLineChars="0" w:firstLine="0"/>
              <w:jc w:val="center"/>
              <w:rPr>
                <w:rFonts w:ascii="宋体" w:hAnsi="宋体"/>
                <w:szCs w:val="21"/>
              </w:rPr>
            </w:pPr>
            <w:r>
              <w:rPr>
                <w:rFonts w:ascii="宋体" w:hAnsi="宋体" w:hint="eastAsia"/>
                <w:szCs w:val="21"/>
              </w:rPr>
              <w:t>中证</w:t>
            </w:r>
            <w:r>
              <w:rPr>
                <w:rFonts w:ascii="宋体" w:hAnsi="宋体" w:hint="eastAsia"/>
                <w:szCs w:val="21"/>
              </w:rPr>
              <w:t>800</w:t>
            </w:r>
            <w:r>
              <w:rPr>
                <w:rFonts w:ascii="宋体" w:hAnsi="宋体" w:hint="eastAsia"/>
                <w:szCs w:val="21"/>
              </w:rPr>
              <w:t>指数收益率×</w:t>
            </w:r>
            <w:r>
              <w:rPr>
                <w:rFonts w:ascii="宋体" w:hAnsi="宋体" w:hint="eastAsia"/>
                <w:szCs w:val="21"/>
              </w:rPr>
              <w:t>8</w:t>
            </w:r>
            <w:r>
              <w:rPr>
                <w:rFonts w:ascii="宋体" w:hAnsi="宋体"/>
                <w:szCs w:val="21"/>
              </w:rPr>
              <w:t>5</w:t>
            </w:r>
            <w:r>
              <w:rPr>
                <w:rFonts w:ascii="宋体" w:hAnsi="宋体" w:hint="eastAsia"/>
                <w:szCs w:val="21"/>
              </w:rPr>
              <w:t>%+</w:t>
            </w:r>
            <w:r>
              <w:rPr>
                <w:rFonts w:ascii="宋体" w:hAnsi="宋体" w:hint="eastAsia"/>
                <w:szCs w:val="21"/>
              </w:rPr>
              <w:t>中债</w:t>
            </w:r>
            <w:r>
              <w:rPr>
                <w:rFonts w:ascii="宋体" w:hAnsi="宋体" w:hint="eastAsia"/>
                <w:szCs w:val="21"/>
              </w:rPr>
              <w:t>-</w:t>
            </w:r>
            <w:r>
              <w:rPr>
                <w:rFonts w:ascii="宋体" w:hAnsi="宋体" w:hint="eastAsia"/>
                <w:szCs w:val="21"/>
              </w:rPr>
              <w:t>总财富（总值）指数收益率×</w:t>
            </w:r>
            <w:r>
              <w:rPr>
                <w:rFonts w:ascii="宋体" w:hAnsi="宋体"/>
                <w:szCs w:val="21"/>
              </w:rPr>
              <w:t>15</w:t>
            </w:r>
            <w:r>
              <w:rPr>
                <w:rFonts w:ascii="宋体" w:hAnsi="宋体" w:hint="eastAsia"/>
                <w:szCs w:val="21"/>
              </w:rPr>
              <w:t>%</w:t>
            </w:r>
          </w:p>
        </w:tc>
      </w:tr>
      <w:tr w:rsidR="00CF288F" w:rsidTr="000246C6">
        <w:trPr>
          <w:trHeight w:val="367"/>
          <w:jc w:val="center"/>
        </w:trPr>
        <w:tc>
          <w:tcPr>
            <w:tcW w:w="709" w:type="dxa"/>
            <w:vAlign w:val="center"/>
          </w:tcPr>
          <w:p w:rsidR="0016189C" w:rsidRDefault="00B34D58" w:rsidP="00AA54DF">
            <w:pPr>
              <w:pStyle w:val="af"/>
              <w:adjustRightInd w:val="0"/>
              <w:snapToGrid w:val="0"/>
              <w:spacing w:line="460" w:lineRule="exact"/>
              <w:ind w:firstLineChars="0" w:firstLine="0"/>
              <w:jc w:val="center"/>
              <w:rPr>
                <w:rFonts w:ascii="宋体" w:hAnsi="宋体"/>
                <w:szCs w:val="21"/>
              </w:rPr>
            </w:pPr>
            <w:r>
              <w:rPr>
                <w:rFonts w:ascii="宋体" w:hAnsi="宋体" w:hint="eastAsia"/>
                <w:szCs w:val="21"/>
              </w:rPr>
              <w:t>12</w:t>
            </w:r>
          </w:p>
        </w:tc>
        <w:tc>
          <w:tcPr>
            <w:tcW w:w="2131" w:type="dxa"/>
            <w:vAlign w:val="center"/>
          </w:tcPr>
          <w:p w:rsidR="0016189C" w:rsidRDefault="00B34D58">
            <w:pPr>
              <w:pStyle w:val="af"/>
              <w:adjustRightInd w:val="0"/>
              <w:snapToGrid w:val="0"/>
              <w:spacing w:line="460" w:lineRule="exact"/>
              <w:ind w:firstLineChars="0" w:firstLine="0"/>
              <w:jc w:val="center"/>
              <w:rPr>
                <w:rFonts w:ascii="宋体" w:hAnsi="宋体"/>
                <w:szCs w:val="21"/>
              </w:rPr>
            </w:pPr>
            <w:r>
              <w:rPr>
                <w:rFonts w:ascii="宋体" w:hAnsi="宋体" w:hint="eastAsia"/>
                <w:color w:val="000000"/>
                <w:szCs w:val="21"/>
              </w:rPr>
              <w:t>易方达全球医药行业混合型发起式证券投资基金</w:t>
            </w:r>
          </w:p>
        </w:tc>
        <w:tc>
          <w:tcPr>
            <w:tcW w:w="3392" w:type="dxa"/>
            <w:vAlign w:val="center"/>
          </w:tcPr>
          <w:p w:rsidR="0016189C" w:rsidRDefault="00B34D58">
            <w:pPr>
              <w:pStyle w:val="af"/>
              <w:adjustRightInd w:val="0"/>
              <w:snapToGrid w:val="0"/>
              <w:spacing w:line="460" w:lineRule="exact"/>
              <w:ind w:firstLineChars="0" w:firstLine="0"/>
              <w:jc w:val="center"/>
              <w:rPr>
                <w:rFonts w:ascii="宋体" w:hAnsi="宋体"/>
                <w:szCs w:val="21"/>
              </w:rPr>
            </w:pPr>
            <w:r>
              <w:rPr>
                <w:rFonts w:ascii="宋体" w:hAnsi="宋体" w:hint="eastAsia"/>
                <w:szCs w:val="21"/>
              </w:rPr>
              <w:t>申万医药生物行业指数收益率×</w:t>
            </w:r>
            <w:r>
              <w:rPr>
                <w:rFonts w:ascii="宋体" w:hAnsi="宋体" w:hint="eastAsia"/>
                <w:szCs w:val="21"/>
              </w:rPr>
              <w:t>45%+</w:t>
            </w:r>
            <w:r>
              <w:rPr>
                <w:rFonts w:ascii="宋体" w:hAnsi="宋体" w:hint="eastAsia"/>
                <w:szCs w:val="21"/>
              </w:rPr>
              <w:t>标普全球</w:t>
            </w:r>
            <w:r>
              <w:rPr>
                <w:rFonts w:ascii="宋体" w:hAnsi="宋体" w:hint="eastAsia"/>
                <w:szCs w:val="21"/>
              </w:rPr>
              <w:t>1200</w:t>
            </w:r>
            <w:r>
              <w:rPr>
                <w:rFonts w:ascii="宋体" w:hAnsi="宋体" w:hint="eastAsia"/>
                <w:szCs w:val="21"/>
              </w:rPr>
              <w:t>医疗保健指数</w:t>
            </w:r>
            <w:r>
              <w:rPr>
                <w:rFonts w:ascii="宋体" w:hAnsi="宋体" w:hint="eastAsia"/>
                <w:szCs w:val="21"/>
              </w:rPr>
              <w:t>(</w:t>
            </w:r>
            <w:r>
              <w:rPr>
                <w:rFonts w:ascii="宋体" w:hAnsi="宋体" w:hint="eastAsia"/>
                <w:szCs w:val="21"/>
              </w:rPr>
              <w:t>使用估值汇率折算</w:t>
            </w:r>
            <w:r>
              <w:rPr>
                <w:rFonts w:ascii="宋体" w:hAnsi="宋体" w:hint="eastAsia"/>
                <w:szCs w:val="21"/>
              </w:rPr>
              <w:t>)</w:t>
            </w:r>
            <w:r>
              <w:rPr>
                <w:rFonts w:ascii="宋体" w:hAnsi="宋体" w:hint="eastAsia"/>
                <w:szCs w:val="21"/>
              </w:rPr>
              <w:t>收益率×</w:t>
            </w:r>
            <w:r>
              <w:rPr>
                <w:rFonts w:ascii="宋体" w:hAnsi="宋体" w:hint="eastAsia"/>
                <w:szCs w:val="21"/>
              </w:rPr>
              <w:t>40%+</w:t>
            </w:r>
            <w:r>
              <w:rPr>
                <w:rFonts w:ascii="宋体" w:hAnsi="宋体" w:hint="eastAsia"/>
                <w:szCs w:val="21"/>
              </w:rPr>
              <w:t>中债总指数收益率×</w:t>
            </w:r>
            <w:r>
              <w:rPr>
                <w:rFonts w:ascii="宋体" w:hAnsi="宋体" w:hint="eastAsia"/>
                <w:szCs w:val="21"/>
              </w:rPr>
              <w:t>15%</w:t>
            </w:r>
          </w:p>
        </w:tc>
        <w:tc>
          <w:tcPr>
            <w:tcW w:w="3584" w:type="dxa"/>
            <w:vAlign w:val="center"/>
          </w:tcPr>
          <w:p w:rsidR="0016189C" w:rsidRDefault="00B34D58">
            <w:pPr>
              <w:pStyle w:val="af"/>
              <w:adjustRightInd w:val="0"/>
              <w:snapToGrid w:val="0"/>
              <w:spacing w:line="460" w:lineRule="exact"/>
              <w:ind w:firstLineChars="0" w:firstLine="0"/>
              <w:jc w:val="center"/>
              <w:rPr>
                <w:rFonts w:ascii="宋体" w:hAnsi="宋体"/>
                <w:szCs w:val="21"/>
              </w:rPr>
            </w:pPr>
            <w:r>
              <w:rPr>
                <w:rFonts w:ascii="宋体" w:hAnsi="宋体" w:hint="eastAsia"/>
                <w:szCs w:val="21"/>
              </w:rPr>
              <w:t>中证港股通医药卫生综合指数（人民币）收益率×</w:t>
            </w:r>
            <w:r>
              <w:rPr>
                <w:rFonts w:ascii="宋体" w:hAnsi="宋体" w:hint="eastAsia"/>
                <w:szCs w:val="21"/>
              </w:rPr>
              <w:t>40%+</w:t>
            </w:r>
            <w:r>
              <w:rPr>
                <w:rFonts w:ascii="宋体" w:hAnsi="宋体" w:hint="eastAsia"/>
                <w:szCs w:val="21"/>
              </w:rPr>
              <w:t>中证医药卫生指数收益率×</w:t>
            </w:r>
            <w:r>
              <w:rPr>
                <w:rFonts w:ascii="宋体" w:hAnsi="宋体" w:hint="eastAsia"/>
                <w:szCs w:val="21"/>
              </w:rPr>
              <w:t>35%+MSCI</w:t>
            </w:r>
            <w:r>
              <w:rPr>
                <w:rFonts w:ascii="宋体" w:hAnsi="宋体" w:hint="eastAsia"/>
                <w:szCs w:val="21"/>
              </w:rPr>
              <w:t>全球医疗保健指数（</w:t>
            </w:r>
            <w:r>
              <w:rPr>
                <w:rFonts w:ascii="宋体" w:hAnsi="宋体" w:hint="eastAsia"/>
                <w:szCs w:val="21"/>
              </w:rPr>
              <w:t>MSCI World Health Care Index</w:t>
            </w:r>
            <w:r>
              <w:rPr>
                <w:rFonts w:ascii="宋体" w:hAnsi="宋体" w:hint="eastAsia"/>
                <w:szCs w:val="21"/>
              </w:rPr>
              <w:t>）收益率×</w:t>
            </w:r>
            <w:r>
              <w:rPr>
                <w:rFonts w:ascii="宋体" w:hAnsi="宋体" w:hint="eastAsia"/>
                <w:szCs w:val="21"/>
              </w:rPr>
              <w:t>15%+</w:t>
            </w:r>
            <w:r>
              <w:rPr>
                <w:rFonts w:ascii="宋体" w:hAnsi="宋体" w:hint="eastAsia"/>
                <w:szCs w:val="21"/>
              </w:rPr>
              <w:t>中债</w:t>
            </w:r>
            <w:r>
              <w:rPr>
                <w:rFonts w:ascii="宋体" w:hAnsi="宋体" w:hint="eastAsia"/>
                <w:szCs w:val="21"/>
              </w:rPr>
              <w:t>-</w:t>
            </w:r>
            <w:r>
              <w:rPr>
                <w:rFonts w:ascii="宋体" w:hAnsi="宋体" w:hint="eastAsia"/>
                <w:szCs w:val="21"/>
              </w:rPr>
              <w:t>总全价（总值）</w:t>
            </w:r>
            <w:r>
              <w:rPr>
                <w:rFonts w:ascii="宋体" w:hAnsi="宋体" w:hint="eastAsia"/>
                <w:szCs w:val="21"/>
              </w:rPr>
              <w:t>指数收益率×</w:t>
            </w:r>
            <w:r>
              <w:rPr>
                <w:rFonts w:ascii="宋体" w:hAnsi="宋体" w:hint="eastAsia"/>
                <w:szCs w:val="21"/>
              </w:rPr>
              <w:t>10%</w:t>
            </w:r>
          </w:p>
        </w:tc>
      </w:tr>
      <w:tr w:rsidR="00CF288F" w:rsidTr="000246C6">
        <w:trPr>
          <w:trHeight w:val="367"/>
          <w:jc w:val="center"/>
        </w:trPr>
        <w:tc>
          <w:tcPr>
            <w:tcW w:w="709" w:type="dxa"/>
            <w:vAlign w:val="center"/>
          </w:tcPr>
          <w:p w:rsidR="0016189C" w:rsidRDefault="00B34D58" w:rsidP="00AA54DF">
            <w:pPr>
              <w:pStyle w:val="af"/>
              <w:adjustRightInd w:val="0"/>
              <w:snapToGrid w:val="0"/>
              <w:spacing w:line="460" w:lineRule="exact"/>
              <w:ind w:firstLineChars="0" w:firstLine="0"/>
              <w:jc w:val="center"/>
              <w:rPr>
                <w:rFonts w:ascii="宋体" w:hAnsi="宋体"/>
                <w:szCs w:val="21"/>
              </w:rPr>
            </w:pPr>
            <w:r>
              <w:rPr>
                <w:rFonts w:ascii="宋体" w:hAnsi="宋体" w:hint="eastAsia"/>
                <w:szCs w:val="21"/>
              </w:rPr>
              <w:t>13</w:t>
            </w:r>
          </w:p>
        </w:tc>
        <w:tc>
          <w:tcPr>
            <w:tcW w:w="2131" w:type="dxa"/>
            <w:vAlign w:val="center"/>
          </w:tcPr>
          <w:p w:rsidR="0016189C" w:rsidRDefault="00B34D58">
            <w:pPr>
              <w:pStyle w:val="af"/>
              <w:adjustRightInd w:val="0"/>
              <w:snapToGrid w:val="0"/>
              <w:spacing w:line="460" w:lineRule="exact"/>
              <w:ind w:firstLineChars="0" w:firstLine="0"/>
              <w:jc w:val="center"/>
              <w:rPr>
                <w:rFonts w:ascii="宋体" w:hAnsi="宋体"/>
                <w:szCs w:val="21"/>
              </w:rPr>
            </w:pPr>
            <w:r>
              <w:rPr>
                <w:rFonts w:ascii="宋体" w:hAnsi="宋体" w:hint="eastAsia"/>
                <w:color w:val="000000"/>
                <w:szCs w:val="21"/>
              </w:rPr>
              <w:t>易方达大健康主题灵活配置混合型证券投资基金</w:t>
            </w:r>
          </w:p>
        </w:tc>
        <w:tc>
          <w:tcPr>
            <w:tcW w:w="3392" w:type="dxa"/>
            <w:vAlign w:val="center"/>
          </w:tcPr>
          <w:p w:rsidR="0016189C" w:rsidRDefault="00B34D58">
            <w:pPr>
              <w:pStyle w:val="af"/>
              <w:adjustRightInd w:val="0"/>
              <w:snapToGrid w:val="0"/>
              <w:spacing w:line="460" w:lineRule="exact"/>
              <w:ind w:firstLineChars="0" w:firstLine="0"/>
              <w:jc w:val="center"/>
              <w:rPr>
                <w:rFonts w:ascii="宋体" w:hAnsi="宋体"/>
                <w:szCs w:val="21"/>
              </w:rPr>
            </w:pPr>
            <w:r>
              <w:rPr>
                <w:rFonts w:ascii="宋体" w:hAnsi="宋体" w:hint="eastAsia"/>
                <w:szCs w:val="21"/>
              </w:rPr>
              <w:t>65%</w:t>
            </w:r>
            <w:r>
              <w:rPr>
                <w:rFonts w:ascii="宋体" w:hAnsi="宋体" w:hint="eastAsia"/>
                <w:szCs w:val="21"/>
              </w:rPr>
              <w:t>×中证</w:t>
            </w:r>
            <w:r>
              <w:rPr>
                <w:rFonts w:ascii="宋体" w:hAnsi="宋体" w:hint="eastAsia"/>
                <w:szCs w:val="21"/>
              </w:rPr>
              <w:t>800</w:t>
            </w:r>
            <w:r>
              <w:rPr>
                <w:rFonts w:ascii="宋体" w:hAnsi="宋体" w:hint="eastAsia"/>
                <w:szCs w:val="21"/>
              </w:rPr>
              <w:t>指数收益率＋</w:t>
            </w:r>
            <w:r>
              <w:rPr>
                <w:rFonts w:ascii="宋体" w:hAnsi="宋体" w:hint="eastAsia"/>
                <w:szCs w:val="21"/>
              </w:rPr>
              <w:t>35%</w:t>
            </w:r>
            <w:r>
              <w:rPr>
                <w:rFonts w:ascii="宋体" w:hAnsi="宋体" w:hint="eastAsia"/>
                <w:szCs w:val="21"/>
              </w:rPr>
              <w:t>×一年期人民币定期存款利率（税后）</w:t>
            </w:r>
          </w:p>
        </w:tc>
        <w:tc>
          <w:tcPr>
            <w:tcW w:w="3584" w:type="dxa"/>
            <w:vAlign w:val="center"/>
          </w:tcPr>
          <w:p w:rsidR="0016189C" w:rsidRDefault="00B34D58">
            <w:pPr>
              <w:pStyle w:val="af"/>
              <w:adjustRightInd w:val="0"/>
              <w:snapToGrid w:val="0"/>
              <w:spacing w:line="460" w:lineRule="exact"/>
              <w:ind w:firstLineChars="0" w:firstLine="0"/>
              <w:jc w:val="center"/>
              <w:rPr>
                <w:rFonts w:ascii="宋体" w:hAnsi="宋体"/>
                <w:szCs w:val="21"/>
              </w:rPr>
            </w:pPr>
            <w:r>
              <w:rPr>
                <w:rFonts w:ascii="宋体" w:hAnsi="宋体" w:hint="eastAsia"/>
                <w:szCs w:val="21"/>
              </w:rPr>
              <w:t>中证健康产业指数收益率×</w:t>
            </w:r>
            <w:r>
              <w:rPr>
                <w:rFonts w:ascii="宋体" w:hAnsi="宋体" w:hint="eastAsia"/>
                <w:szCs w:val="21"/>
              </w:rPr>
              <w:t>80%+</w:t>
            </w:r>
            <w:r>
              <w:rPr>
                <w:rFonts w:ascii="宋体" w:hAnsi="宋体" w:hint="eastAsia"/>
                <w:szCs w:val="21"/>
              </w:rPr>
              <w:t>中债</w:t>
            </w:r>
            <w:r>
              <w:rPr>
                <w:rFonts w:ascii="宋体" w:hAnsi="宋体" w:hint="eastAsia"/>
                <w:szCs w:val="21"/>
              </w:rPr>
              <w:t>-</w:t>
            </w:r>
            <w:r>
              <w:rPr>
                <w:rFonts w:ascii="宋体" w:hAnsi="宋体" w:hint="eastAsia"/>
                <w:szCs w:val="21"/>
              </w:rPr>
              <w:t>总全价（总值）指数收益率×</w:t>
            </w:r>
            <w:r>
              <w:rPr>
                <w:rFonts w:ascii="宋体" w:hAnsi="宋体" w:hint="eastAsia"/>
                <w:szCs w:val="21"/>
              </w:rPr>
              <w:t>20%</w:t>
            </w:r>
          </w:p>
        </w:tc>
      </w:tr>
      <w:tr w:rsidR="00CF288F" w:rsidTr="000246C6">
        <w:trPr>
          <w:trHeight w:val="367"/>
          <w:jc w:val="center"/>
        </w:trPr>
        <w:tc>
          <w:tcPr>
            <w:tcW w:w="709" w:type="dxa"/>
            <w:vAlign w:val="center"/>
          </w:tcPr>
          <w:p w:rsidR="0016189C" w:rsidRDefault="00B34D58" w:rsidP="00AA54DF">
            <w:pPr>
              <w:pStyle w:val="af"/>
              <w:adjustRightInd w:val="0"/>
              <w:snapToGrid w:val="0"/>
              <w:spacing w:line="460" w:lineRule="exact"/>
              <w:ind w:firstLineChars="0" w:firstLine="0"/>
              <w:jc w:val="center"/>
              <w:rPr>
                <w:rFonts w:ascii="宋体" w:hAnsi="宋体"/>
                <w:szCs w:val="21"/>
              </w:rPr>
            </w:pPr>
            <w:r>
              <w:rPr>
                <w:rFonts w:ascii="宋体" w:hAnsi="宋体" w:hint="eastAsia"/>
                <w:szCs w:val="21"/>
              </w:rPr>
              <w:t>14</w:t>
            </w:r>
          </w:p>
        </w:tc>
        <w:tc>
          <w:tcPr>
            <w:tcW w:w="2131" w:type="dxa"/>
            <w:vAlign w:val="center"/>
          </w:tcPr>
          <w:p w:rsidR="0016189C" w:rsidRDefault="00B34D58">
            <w:pPr>
              <w:pStyle w:val="af"/>
              <w:adjustRightInd w:val="0"/>
              <w:snapToGrid w:val="0"/>
              <w:spacing w:line="460" w:lineRule="exact"/>
              <w:ind w:firstLineChars="0" w:firstLine="0"/>
              <w:jc w:val="center"/>
              <w:rPr>
                <w:rFonts w:ascii="宋体" w:hAnsi="宋体"/>
                <w:szCs w:val="21"/>
              </w:rPr>
            </w:pPr>
            <w:r>
              <w:rPr>
                <w:rFonts w:ascii="宋体" w:hAnsi="宋体" w:hint="eastAsia"/>
                <w:color w:val="000000"/>
                <w:szCs w:val="21"/>
              </w:rPr>
              <w:t>易方达科顺定期开放灵活配置混合型证券投资基金</w:t>
            </w:r>
          </w:p>
        </w:tc>
        <w:tc>
          <w:tcPr>
            <w:tcW w:w="3392" w:type="dxa"/>
            <w:vAlign w:val="center"/>
          </w:tcPr>
          <w:p w:rsidR="0016189C" w:rsidRDefault="00B34D58">
            <w:pPr>
              <w:pStyle w:val="af"/>
              <w:adjustRightInd w:val="0"/>
              <w:snapToGrid w:val="0"/>
              <w:spacing w:line="460" w:lineRule="exact"/>
              <w:ind w:firstLineChars="0" w:firstLine="0"/>
              <w:jc w:val="center"/>
              <w:rPr>
                <w:rFonts w:ascii="宋体" w:hAnsi="宋体"/>
                <w:szCs w:val="21"/>
              </w:rPr>
            </w:pPr>
            <w:r>
              <w:rPr>
                <w:rFonts w:ascii="宋体" w:hAnsi="宋体" w:hint="eastAsia"/>
                <w:szCs w:val="21"/>
              </w:rPr>
              <w:t>中证</w:t>
            </w:r>
            <w:r>
              <w:rPr>
                <w:rFonts w:ascii="宋体" w:hAnsi="宋体" w:hint="eastAsia"/>
                <w:szCs w:val="21"/>
              </w:rPr>
              <w:t>800</w:t>
            </w:r>
            <w:r>
              <w:rPr>
                <w:rFonts w:ascii="宋体" w:hAnsi="宋体" w:hint="eastAsia"/>
                <w:szCs w:val="21"/>
              </w:rPr>
              <w:t>指数收益率×</w:t>
            </w:r>
            <w:r>
              <w:rPr>
                <w:rFonts w:ascii="宋体" w:hAnsi="宋体" w:hint="eastAsia"/>
                <w:szCs w:val="21"/>
              </w:rPr>
              <w:t>40%+</w:t>
            </w:r>
            <w:r>
              <w:rPr>
                <w:rFonts w:ascii="宋体" w:hAnsi="宋体" w:hint="eastAsia"/>
                <w:szCs w:val="21"/>
              </w:rPr>
              <w:t>中证港股通综合指数收益率×</w:t>
            </w:r>
            <w:r>
              <w:rPr>
                <w:rFonts w:ascii="宋体" w:hAnsi="宋体" w:hint="eastAsia"/>
                <w:szCs w:val="21"/>
              </w:rPr>
              <w:t>20%+</w:t>
            </w:r>
            <w:r>
              <w:rPr>
                <w:rFonts w:ascii="宋体" w:hAnsi="宋体" w:hint="eastAsia"/>
                <w:szCs w:val="21"/>
              </w:rPr>
              <w:t>中债总指数收益率×</w:t>
            </w:r>
            <w:r>
              <w:rPr>
                <w:rFonts w:ascii="宋体" w:hAnsi="宋体" w:hint="eastAsia"/>
                <w:szCs w:val="21"/>
              </w:rPr>
              <w:t>40%</w:t>
            </w:r>
          </w:p>
        </w:tc>
        <w:tc>
          <w:tcPr>
            <w:tcW w:w="3584" w:type="dxa"/>
            <w:vAlign w:val="center"/>
          </w:tcPr>
          <w:p w:rsidR="0016189C" w:rsidRDefault="00B34D58">
            <w:pPr>
              <w:pStyle w:val="af"/>
              <w:adjustRightInd w:val="0"/>
              <w:snapToGrid w:val="0"/>
              <w:spacing w:line="460" w:lineRule="exact"/>
              <w:ind w:firstLineChars="0" w:firstLine="0"/>
              <w:jc w:val="center"/>
              <w:rPr>
                <w:rFonts w:ascii="宋体" w:hAnsi="宋体"/>
                <w:szCs w:val="21"/>
              </w:rPr>
            </w:pPr>
            <w:r>
              <w:rPr>
                <w:rFonts w:ascii="宋体" w:hAnsi="宋体" w:hint="eastAsia"/>
                <w:szCs w:val="21"/>
              </w:rPr>
              <w:t>中证</w:t>
            </w:r>
            <w:r>
              <w:rPr>
                <w:rFonts w:ascii="宋体" w:hAnsi="宋体" w:hint="eastAsia"/>
                <w:szCs w:val="21"/>
              </w:rPr>
              <w:t>800</w:t>
            </w:r>
            <w:r>
              <w:rPr>
                <w:rFonts w:ascii="宋体" w:hAnsi="宋体" w:hint="eastAsia"/>
                <w:szCs w:val="21"/>
              </w:rPr>
              <w:t>指数收益率×</w:t>
            </w:r>
            <w:r>
              <w:rPr>
                <w:rFonts w:ascii="宋体" w:hAnsi="宋体" w:hint="eastAsia"/>
                <w:szCs w:val="21"/>
              </w:rPr>
              <w:t>65%+</w:t>
            </w:r>
            <w:r>
              <w:rPr>
                <w:rFonts w:ascii="宋体" w:hAnsi="宋体" w:hint="eastAsia"/>
                <w:szCs w:val="21"/>
              </w:rPr>
              <w:t>中证港股通综合指数（人民币）收益率×</w:t>
            </w:r>
            <w:r>
              <w:rPr>
                <w:rFonts w:ascii="宋体" w:hAnsi="宋体" w:hint="eastAsia"/>
                <w:szCs w:val="21"/>
              </w:rPr>
              <w:t>20%+</w:t>
            </w:r>
            <w:r>
              <w:rPr>
                <w:rFonts w:ascii="宋体" w:hAnsi="宋体" w:hint="eastAsia"/>
                <w:szCs w:val="21"/>
              </w:rPr>
              <w:t>中债</w:t>
            </w:r>
            <w:r>
              <w:rPr>
                <w:rFonts w:ascii="宋体" w:hAnsi="宋体" w:hint="eastAsia"/>
                <w:szCs w:val="21"/>
              </w:rPr>
              <w:t>-</w:t>
            </w:r>
            <w:r>
              <w:rPr>
                <w:rFonts w:ascii="宋体" w:hAnsi="宋体" w:hint="eastAsia"/>
                <w:szCs w:val="21"/>
              </w:rPr>
              <w:t>总全价（总值）指数收益率×</w:t>
            </w:r>
            <w:r>
              <w:rPr>
                <w:rFonts w:ascii="宋体" w:hAnsi="宋体" w:hint="eastAsia"/>
                <w:szCs w:val="21"/>
              </w:rPr>
              <w:t>15%</w:t>
            </w:r>
          </w:p>
        </w:tc>
      </w:tr>
      <w:tr w:rsidR="00CF288F" w:rsidTr="000246C6">
        <w:trPr>
          <w:trHeight w:val="367"/>
          <w:jc w:val="center"/>
        </w:trPr>
        <w:tc>
          <w:tcPr>
            <w:tcW w:w="709" w:type="dxa"/>
            <w:vAlign w:val="center"/>
          </w:tcPr>
          <w:p w:rsidR="0016189C" w:rsidRDefault="00B34D58" w:rsidP="00AA54DF">
            <w:pPr>
              <w:pStyle w:val="af"/>
              <w:adjustRightInd w:val="0"/>
              <w:snapToGrid w:val="0"/>
              <w:spacing w:line="460" w:lineRule="exact"/>
              <w:ind w:firstLineChars="0" w:firstLine="0"/>
              <w:jc w:val="center"/>
              <w:rPr>
                <w:rFonts w:ascii="宋体" w:hAnsi="宋体"/>
                <w:szCs w:val="21"/>
              </w:rPr>
            </w:pPr>
            <w:r>
              <w:rPr>
                <w:rFonts w:ascii="宋体" w:hAnsi="宋体" w:hint="eastAsia"/>
                <w:szCs w:val="21"/>
              </w:rPr>
              <w:t>15</w:t>
            </w:r>
          </w:p>
        </w:tc>
        <w:tc>
          <w:tcPr>
            <w:tcW w:w="2131" w:type="dxa"/>
            <w:vAlign w:val="center"/>
          </w:tcPr>
          <w:p w:rsidR="0016189C" w:rsidRDefault="00B34D58">
            <w:pPr>
              <w:pStyle w:val="af"/>
              <w:adjustRightInd w:val="0"/>
              <w:snapToGrid w:val="0"/>
              <w:spacing w:line="460" w:lineRule="exact"/>
              <w:ind w:firstLineChars="0" w:firstLine="0"/>
              <w:jc w:val="center"/>
              <w:rPr>
                <w:rFonts w:ascii="宋体" w:hAnsi="宋体"/>
                <w:szCs w:val="21"/>
              </w:rPr>
            </w:pPr>
            <w:r>
              <w:rPr>
                <w:rFonts w:ascii="宋体" w:hAnsi="宋体" w:hint="eastAsia"/>
                <w:color w:val="000000"/>
                <w:szCs w:val="21"/>
              </w:rPr>
              <w:t>易方达产业机遇混合型证券投资基金</w:t>
            </w:r>
          </w:p>
        </w:tc>
        <w:tc>
          <w:tcPr>
            <w:tcW w:w="3392" w:type="dxa"/>
            <w:vAlign w:val="center"/>
          </w:tcPr>
          <w:p w:rsidR="0016189C" w:rsidRDefault="00B34D58">
            <w:pPr>
              <w:pStyle w:val="af"/>
              <w:adjustRightInd w:val="0"/>
              <w:snapToGrid w:val="0"/>
              <w:spacing w:line="460" w:lineRule="exact"/>
              <w:ind w:firstLineChars="0" w:firstLine="0"/>
              <w:jc w:val="center"/>
              <w:rPr>
                <w:rFonts w:ascii="宋体" w:hAnsi="宋体"/>
                <w:szCs w:val="21"/>
              </w:rPr>
            </w:pPr>
            <w:r>
              <w:rPr>
                <w:rFonts w:ascii="宋体" w:hAnsi="宋体" w:hint="eastAsia"/>
                <w:szCs w:val="21"/>
              </w:rPr>
              <w:t>沪深</w:t>
            </w:r>
            <w:r>
              <w:rPr>
                <w:rFonts w:ascii="宋体" w:hAnsi="宋体" w:hint="eastAsia"/>
                <w:szCs w:val="21"/>
              </w:rPr>
              <w:t>300</w:t>
            </w:r>
            <w:r>
              <w:rPr>
                <w:rFonts w:ascii="宋体" w:hAnsi="宋体" w:hint="eastAsia"/>
                <w:szCs w:val="21"/>
              </w:rPr>
              <w:t>指数收益率×</w:t>
            </w:r>
            <w:r>
              <w:rPr>
                <w:rFonts w:ascii="宋体" w:hAnsi="宋体" w:hint="eastAsia"/>
                <w:szCs w:val="21"/>
              </w:rPr>
              <w:t>70%+</w:t>
            </w:r>
            <w:r>
              <w:rPr>
                <w:rFonts w:ascii="宋体" w:hAnsi="宋体" w:hint="eastAsia"/>
                <w:szCs w:val="21"/>
              </w:rPr>
              <w:t>中证港股通综合指数收益率×</w:t>
            </w:r>
            <w:r>
              <w:rPr>
                <w:rFonts w:ascii="宋体" w:hAnsi="宋体" w:hint="eastAsia"/>
                <w:szCs w:val="21"/>
              </w:rPr>
              <w:t>15%+</w:t>
            </w:r>
            <w:r>
              <w:rPr>
                <w:rFonts w:ascii="宋体" w:hAnsi="宋体" w:hint="eastAsia"/>
                <w:szCs w:val="21"/>
              </w:rPr>
              <w:t>中债总指数收益率×</w:t>
            </w:r>
            <w:r>
              <w:rPr>
                <w:rFonts w:ascii="宋体" w:hAnsi="宋体" w:hint="eastAsia"/>
                <w:szCs w:val="21"/>
              </w:rPr>
              <w:t>15%</w:t>
            </w:r>
          </w:p>
        </w:tc>
        <w:tc>
          <w:tcPr>
            <w:tcW w:w="3584" w:type="dxa"/>
            <w:vAlign w:val="center"/>
          </w:tcPr>
          <w:p w:rsidR="0016189C" w:rsidRDefault="00B34D58">
            <w:pPr>
              <w:pStyle w:val="af"/>
              <w:adjustRightInd w:val="0"/>
              <w:snapToGrid w:val="0"/>
              <w:spacing w:line="460" w:lineRule="exact"/>
              <w:ind w:firstLineChars="0" w:firstLine="0"/>
              <w:jc w:val="center"/>
              <w:rPr>
                <w:rFonts w:ascii="宋体" w:hAnsi="宋体"/>
                <w:szCs w:val="21"/>
              </w:rPr>
            </w:pPr>
            <w:r>
              <w:rPr>
                <w:rFonts w:ascii="宋体" w:hAnsi="宋体" w:hint="eastAsia"/>
                <w:szCs w:val="21"/>
              </w:rPr>
              <w:t>中证</w:t>
            </w:r>
            <w:r>
              <w:rPr>
                <w:rFonts w:ascii="宋体" w:hAnsi="宋体" w:hint="eastAsia"/>
                <w:szCs w:val="21"/>
              </w:rPr>
              <w:t>800</w:t>
            </w:r>
            <w:r>
              <w:rPr>
                <w:rFonts w:ascii="宋体" w:hAnsi="宋体" w:hint="eastAsia"/>
                <w:szCs w:val="21"/>
              </w:rPr>
              <w:t>指数收益率×</w:t>
            </w:r>
            <w:r>
              <w:rPr>
                <w:rFonts w:ascii="宋体" w:hAnsi="宋体" w:hint="eastAsia"/>
                <w:szCs w:val="21"/>
              </w:rPr>
              <w:t>70%+</w:t>
            </w:r>
            <w:r>
              <w:rPr>
                <w:rFonts w:ascii="宋体" w:hAnsi="宋体" w:hint="eastAsia"/>
                <w:szCs w:val="21"/>
              </w:rPr>
              <w:t>中证港股通综合指数（人民币）收益率×</w:t>
            </w:r>
            <w:r>
              <w:rPr>
                <w:rFonts w:ascii="宋体" w:hAnsi="宋体" w:hint="eastAsia"/>
                <w:szCs w:val="21"/>
              </w:rPr>
              <w:t>15%+</w:t>
            </w:r>
            <w:r>
              <w:rPr>
                <w:rFonts w:ascii="宋体" w:hAnsi="宋体" w:hint="eastAsia"/>
                <w:szCs w:val="21"/>
              </w:rPr>
              <w:t>中债</w:t>
            </w:r>
            <w:r>
              <w:rPr>
                <w:rFonts w:ascii="宋体" w:hAnsi="宋体" w:hint="eastAsia"/>
                <w:szCs w:val="21"/>
              </w:rPr>
              <w:t>-</w:t>
            </w:r>
            <w:r>
              <w:rPr>
                <w:rFonts w:ascii="宋体" w:hAnsi="宋体" w:hint="eastAsia"/>
                <w:szCs w:val="21"/>
              </w:rPr>
              <w:t>总全价（总值）指数收益率×</w:t>
            </w:r>
            <w:r>
              <w:rPr>
                <w:rFonts w:ascii="宋体" w:hAnsi="宋体" w:hint="eastAsia"/>
                <w:szCs w:val="21"/>
              </w:rPr>
              <w:t>15%</w:t>
            </w:r>
          </w:p>
        </w:tc>
      </w:tr>
      <w:tr w:rsidR="00CF288F" w:rsidTr="000246C6">
        <w:trPr>
          <w:trHeight w:val="367"/>
          <w:jc w:val="center"/>
        </w:trPr>
        <w:tc>
          <w:tcPr>
            <w:tcW w:w="709" w:type="dxa"/>
            <w:vAlign w:val="center"/>
          </w:tcPr>
          <w:p w:rsidR="0016189C" w:rsidRDefault="00B34D58" w:rsidP="00AA54DF">
            <w:pPr>
              <w:pStyle w:val="af"/>
              <w:adjustRightInd w:val="0"/>
              <w:snapToGrid w:val="0"/>
              <w:spacing w:line="460" w:lineRule="exact"/>
              <w:ind w:firstLineChars="0" w:firstLine="0"/>
              <w:jc w:val="center"/>
              <w:rPr>
                <w:rFonts w:ascii="宋体" w:hAnsi="宋体"/>
                <w:szCs w:val="21"/>
              </w:rPr>
            </w:pPr>
            <w:r>
              <w:rPr>
                <w:rFonts w:ascii="宋体" w:hAnsi="宋体" w:hint="eastAsia"/>
                <w:szCs w:val="21"/>
              </w:rPr>
              <w:t>16</w:t>
            </w:r>
          </w:p>
        </w:tc>
        <w:tc>
          <w:tcPr>
            <w:tcW w:w="2131" w:type="dxa"/>
            <w:vAlign w:val="center"/>
          </w:tcPr>
          <w:p w:rsidR="0016189C" w:rsidRDefault="00B34D58">
            <w:pPr>
              <w:pStyle w:val="af"/>
              <w:adjustRightInd w:val="0"/>
              <w:snapToGrid w:val="0"/>
              <w:spacing w:line="460" w:lineRule="exact"/>
              <w:ind w:firstLineChars="0" w:firstLine="0"/>
              <w:jc w:val="center"/>
              <w:rPr>
                <w:rFonts w:ascii="宋体" w:hAnsi="宋体"/>
                <w:szCs w:val="21"/>
              </w:rPr>
            </w:pPr>
            <w:r>
              <w:rPr>
                <w:rFonts w:ascii="宋体" w:hAnsi="宋体" w:hint="eastAsia"/>
                <w:color w:val="000000"/>
                <w:szCs w:val="21"/>
              </w:rPr>
              <w:t>易方达丰和债券型证券投资基金</w:t>
            </w:r>
          </w:p>
        </w:tc>
        <w:tc>
          <w:tcPr>
            <w:tcW w:w="3392" w:type="dxa"/>
            <w:vAlign w:val="center"/>
          </w:tcPr>
          <w:p w:rsidR="0016189C" w:rsidRDefault="00B34D58">
            <w:pPr>
              <w:pStyle w:val="af"/>
              <w:adjustRightInd w:val="0"/>
              <w:snapToGrid w:val="0"/>
              <w:spacing w:line="460" w:lineRule="exact"/>
              <w:ind w:firstLineChars="0" w:firstLine="0"/>
              <w:jc w:val="center"/>
              <w:rPr>
                <w:rFonts w:ascii="宋体" w:hAnsi="宋体"/>
                <w:szCs w:val="21"/>
              </w:rPr>
            </w:pPr>
            <w:r>
              <w:rPr>
                <w:rFonts w:ascii="宋体" w:hAnsi="宋体" w:hint="eastAsia"/>
                <w:szCs w:val="21"/>
              </w:rPr>
              <w:t>沪深</w:t>
            </w:r>
            <w:r>
              <w:rPr>
                <w:rFonts w:ascii="宋体" w:hAnsi="宋体" w:hint="eastAsia"/>
                <w:szCs w:val="21"/>
              </w:rPr>
              <w:t>300</w:t>
            </w:r>
            <w:r>
              <w:rPr>
                <w:rFonts w:ascii="宋体" w:hAnsi="宋体" w:hint="eastAsia"/>
                <w:szCs w:val="21"/>
              </w:rPr>
              <w:t>指数收益率×</w:t>
            </w:r>
            <w:r>
              <w:rPr>
                <w:rFonts w:ascii="宋体" w:hAnsi="宋体" w:hint="eastAsia"/>
                <w:szCs w:val="21"/>
              </w:rPr>
              <w:t>15%+</w:t>
            </w:r>
            <w:r>
              <w:rPr>
                <w:rFonts w:ascii="宋体" w:hAnsi="宋体" w:hint="eastAsia"/>
                <w:szCs w:val="21"/>
              </w:rPr>
              <w:t>中债新综合指数收益率×</w:t>
            </w:r>
            <w:r>
              <w:rPr>
                <w:rFonts w:ascii="宋体" w:hAnsi="宋体" w:hint="eastAsia"/>
                <w:szCs w:val="21"/>
              </w:rPr>
              <w:t>80%+</w:t>
            </w:r>
            <w:r>
              <w:rPr>
                <w:rFonts w:ascii="宋体" w:hAnsi="宋体" w:hint="eastAsia"/>
                <w:szCs w:val="21"/>
              </w:rPr>
              <w:t>金融机构人民币活期存款基准利率（税后）×</w:t>
            </w:r>
            <w:r>
              <w:rPr>
                <w:rFonts w:ascii="宋体" w:hAnsi="宋体" w:hint="eastAsia"/>
                <w:szCs w:val="21"/>
              </w:rPr>
              <w:t>5%</w:t>
            </w:r>
          </w:p>
        </w:tc>
        <w:tc>
          <w:tcPr>
            <w:tcW w:w="3584" w:type="dxa"/>
            <w:vAlign w:val="center"/>
          </w:tcPr>
          <w:p w:rsidR="0016189C" w:rsidRDefault="00B34D58">
            <w:pPr>
              <w:pStyle w:val="af"/>
              <w:adjustRightInd w:val="0"/>
              <w:snapToGrid w:val="0"/>
              <w:spacing w:line="460" w:lineRule="exact"/>
              <w:ind w:firstLineChars="0" w:firstLine="0"/>
              <w:jc w:val="center"/>
              <w:rPr>
                <w:rFonts w:ascii="宋体" w:hAnsi="宋体"/>
                <w:szCs w:val="21"/>
              </w:rPr>
            </w:pPr>
            <w:r>
              <w:rPr>
                <w:rFonts w:ascii="宋体" w:hAnsi="宋体" w:hint="eastAsia"/>
                <w:szCs w:val="21"/>
              </w:rPr>
              <w:t>中债</w:t>
            </w:r>
            <w:r>
              <w:rPr>
                <w:rFonts w:ascii="宋体" w:hAnsi="宋体" w:hint="eastAsia"/>
                <w:szCs w:val="21"/>
              </w:rPr>
              <w:t>-</w:t>
            </w:r>
            <w:r>
              <w:rPr>
                <w:rFonts w:ascii="宋体" w:hAnsi="宋体" w:hint="eastAsia"/>
                <w:szCs w:val="21"/>
              </w:rPr>
              <w:t>新综合财富（总值）指数收益率×</w:t>
            </w:r>
            <w:r>
              <w:rPr>
                <w:rFonts w:ascii="宋体" w:hAnsi="宋体" w:hint="eastAsia"/>
                <w:szCs w:val="21"/>
              </w:rPr>
              <w:t>80%+</w:t>
            </w:r>
            <w:r>
              <w:rPr>
                <w:rFonts w:ascii="宋体" w:hAnsi="宋体" w:hint="eastAsia"/>
                <w:szCs w:val="21"/>
              </w:rPr>
              <w:t>中证</w:t>
            </w:r>
            <w:r>
              <w:rPr>
                <w:rFonts w:ascii="宋体" w:hAnsi="宋体" w:hint="eastAsia"/>
                <w:szCs w:val="21"/>
              </w:rPr>
              <w:t>800</w:t>
            </w:r>
            <w:r>
              <w:rPr>
                <w:rFonts w:ascii="宋体" w:hAnsi="宋体" w:hint="eastAsia"/>
                <w:szCs w:val="21"/>
              </w:rPr>
              <w:t>成长指数收益率×</w:t>
            </w:r>
            <w:r>
              <w:rPr>
                <w:rFonts w:ascii="宋体" w:hAnsi="宋体" w:hint="eastAsia"/>
                <w:szCs w:val="21"/>
              </w:rPr>
              <w:t>15%+</w:t>
            </w:r>
            <w:r>
              <w:rPr>
                <w:rFonts w:ascii="宋体" w:hAnsi="宋体" w:hint="eastAsia"/>
                <w:szCs w:val="21"/>
              </w:rPr>
              <w:t>活期存款基准利率×</w:t>
            </w:r>
            <w:r>
              <w:rPr>
                <w:rFonts w:ascii="宋体" w:hAnsi="宋体" w:hint="eastAsia"/>
                <w:szCs w:val="21"/>
              </w:rPr>
              <w:t>5%</w:t>
            </w:r>
          </w:p>
        </w:tc>
      </w:tr>
      <w:tr w:rsidR="00CF288F" w:rsidTr="000246C6">
        <w:trPr>
          <w:trHeight w:val="367"/>
          <w:jc w:val="center"/>
        </w:trPr>
        <w:tc>
          <w:tcPr>
            <w:tcW w:w="709" w:type="dxa"/>
            <w:vAlign w:val="center"/>
          </w:tcPr>
          <w:p w:rsidR="0016189C" w:rsidRDefault="00B34D58" w:rsidP="00AA54DF">
            <w:pPr>
              <w:pStyle w:val="af"/>
              <w:adjustRightInd w:val="0"/>
              <w:snapToGrid w:val="0"/>
              <w:spacing w:line="460" w:lineRule="exact"/>
              <w:ind w:firstLineChars="0" w:firstLine="0"/>
              <w:jc w:val="center"/>
              <w:rPr>
                <w:rFonts w:ascii="宋体" w:hAnsi="宋体"/>
                <w:szCs w:val="21"/>
              </w:rPr>
            </w:pPr>
            <w:r>
              <w:rPr>
                <w:rFonts w:ascii="宋体" w:hAnsi="宋体" w:hint="eastAsia"/>
                <w:szCs w:val="21"/>
              </w:rPr>
              <w:t>17</w:t>
            </w:r>
          </w:p>
        </w:tc>
        <w:tc>
          <w:tcPr>
            <w:tcW w:w="2131" w:type="dxa"/>
            <w:vAlign w:val="center"/>
          </w:tcPr>
          <w:p w:rsidR="0016189C" w:rsidRDefault="00B34D58">
            <w:pPr>
              <w:pStyle w:val="af"/>
              <w:adjustRightInd w:val="0"/>
              <w:snapToGrid w:val="0"/>
              <w:spacing w:line="460" w:lineRule="exact"/>
              <w:ind w:firstLineChars="0" w:firstLine="0"/>
              <w:jc w:val="center"/>
              <w:rPr>
                <w:rFonts w:ascii="宋体" w:hAnsi="宋体"/>
                <w:szCs w:val="21"/>
              </w:rPr>
            </w:pPr>
            <w:r>
              <w:rPr>
                <w:rFonts w:ascii="宋体" w:hAnsi="宋体" w:hint="eastAsia"/>
                <w:color w:val="000000"/>
                <w:szCs w:val="21"/>
              </w:rPr>
              <w:t>易方达双债增强债券型证券投资基金</w:t>
            </w:r>
          </w:p>
        </w:tc>
        <w:tc>
          <w:tcPr>
            <w:tcW w:w="3392" w:type="dxa"/>
            <w:vAlign w:val="center"/>
          </w:tcPr>
          <w:p w:rsidR="0016189C" w:rsidRDefault="00B34D58">
            <w:pPr>
              <w:pStyle w:val="af"/>
              <w:adjustRightInd w:val="0"/>
              <w:snapToGrid w:val="0"/>
              <w:spacing w:line="460" w:lineRule="exact"/>
              <w:ind w:firstLineChars="0" w:firstLine="0"/>
              <w:jc w:val="center"/>
              <w:rPr>
                <w:rFonts w:ascii="宋体" w:hAnsi="宋体"/>
                <w:szCs w:val="21"/>
              </w:rPr>
            </w:pPr>
            <w:r>
              <w:rPr>
                <w:rFonts w:ascii="宋体" w:hAnsi="宋体" w:hint="eastAsia"/>
                <w:szCs w:val="21"/>
              </w:rPr>
              <w:t>中债企业债总全价指数收益率×</w:t>
            </w:r>
            <w:r>
              <w:rPr>
                <w:rFonts w:ascii="宋体" w:hAnsi="宋体" w:hint="eastAsia"/>
                <w:szCs w:val="21"/>
              </w:rPr>
              <w:t>40%+</w:t>
            </w:r>
            <w:r>
              <w:rPr>
                <w:rFonts w:ascii="宋体" w:hAnsi="宋体" w:hint="eastAsia"/>
                <w:szCs w:val="21"/>
              </w:rPr>
              <w:t>天相可转债指数收益率×</w:t>
            </w:r>
            <w:r>
              <w:rPr>
                <w:rFonts w:ascii="宋体" w:hAnsi="宋体" w:hint="eastAsia"/>
                <w:szCs w:val="21"/>
              </w:rPr>
              <w:t>40%+</w:t>
            </w:r>
            <w:r>
              <w:rPr>
                <w:rFonts w:ascii="宋体" w:hAnsi="宋体" w:hint="eastAsia"/>
                <w:szCs w:val="21"/>
              </w:rPr>
              <w:t>中债国债总全价指数收益率×</w:t>
            </w:r>
            <w:r>
              <w:rPr>
                <w:rFonts w:ascii="宋体" w:hAnsi="宋体" w:hint="eastAsia"/>
                <w:szCs w:val="21"/>
              </w:rPr>
              <w:t>20%</w:t>
            </w:r>
          </w:p>
        </w:tc>
        <w:tc>
          <w:tcPr>
            <w:tcW w:w="3584" w:type="dxa"/>
            <w:vAlign w:val="center"/>
          </w:tcPr>
          <w:p w:rsidR="0016189C" w:rsidRDefault="00B34D58">
            <w:pPr>
              <w:pStyle w:val="af"/>
              <w:adjustRightInd w:val="0"/>
              <w:snapToGrid w:val="0"/>
              <w:spacing w:line="460" w:lineRule="exact"/>
              <w:ind w:firstLineChars="0" w:firstLine="0"/>
              <w:jc w:val="center"/>
              <w:rPr>
                <w:rFonts w:ascii="宋体" w:hAnsi="宋体"/>
                <w:szCs w:val="21"/>
              </w:rPr>
            </w:pPr>
            <w:r>
              <w:rPr>
                <w:rFonts w:ascii="宋体" w:hAnsi="宋体" w:hint="eastAsia"/>
                <w:szCs w:val="21"/>
              </w:rPr>
              <w:t>中债</w:t>
            </w:r>
            <w:r>
              <w:rPr>
                <w:rFonts w:ascii="宋体" w:hAnsi="宋体" w:hint="eastAsia"/>
                <w:szCs w:val="21"/>
              </w:rPr>
              <w:t>-</w:t>
            </w:r>
            <w:r>
              <w:rPr>
                <w:rFonts w:ascii="宋体" w:hAnsi="宋体" w:hint="eastAsia"/>
                <w:szCs w:val="21"/>
              </w:rPr>
              <w:t>新综合全价（总值）指数收益率×</w:t>
            </w:r>
            <w:r>
              <w:rPr>
                <w:rFonts w:ascii="宋体" w:hAnsi="宋体" w:hint="eastAsia"/>
                <w:szCs w:val="21"/>
              </w:rPr>
              <w:t>80%+</w:t>
            </w:r>
            <w:r>
              <w:rPr>
                <w:rFonts w:ascii="宋体" w:hAnsi="宋体" w:hint="eastAsia"/>
                <w:szCs w:val="21"/>
              </w:rPr>
              <w:t>中证可转换债券指数收益率×</w:t>
            </w:r>
            <w:r>
              <w:rPr>
                <w:rFonts w:ascii="宋体" w:hAnsi="宋体" w:hint="eastAsia"/>
                <w:szCs w:val="21"/>
              </w:rPr>
              <w:t>20%</w:t>
            </w:r>
          </w:p>
        </w:tc>
      </w:tr>
      <w:tr w:rsidR="00CF288F" w:rsidTr="000246C6">
        <w:trPr>
          <w:trHeight w:val="367"/>
          <w:jc w:val="center"/>
        </w:trPr>
        <w:tc>
          <w:tcPr>
            <w:tcW w:w="709" w:type="dxa"/>
            <w:vAlign w:val="center"/>
          </w:tcPr>
          <w:p w:rsidR="0016189C" w:rsidRDefault="00B34D58" w:rsidP="00AA54DF">
            <w:pPr>
              <w:pStyle w:val="af"/>
              <w:adjustRightInd w:val="0"/>
              <w:snapToGrid w:val="0"/>
              <w:spacing w:line="460" w:lineRule="exact"/>
              <w:ind w:firstLineChars="0" w:firstLine="0"/>
              <w:jc w:val="center"/>
              <w:rPr>
                <w:rFonts w:ascii="宋体" w:hAnsi="宋体"/>
                <w:szCs w:val="21"/>
              </w:rPr>
            </w:pPr>
            <w:r>
              <w:rPr>
                <w:rFonts w:ascii="宋体" w:hAnsi="宋体" w:hint="eastAsia"/>
                <w:szCs w:val="21"/>
              </w:rPr>
              <w:t>18</w:t>
            </w:r>
          </w:p>
        </w:tc>
        <w:tc>
          <w:tcPr>
            <w:tcW w:w="2131" w:type="dxa"/>
            <w:vAlign w:val="center"/>
          </w:tcPr>
          <w:p w:rsidR="0016189C" w:rsidRDefault="00B34D58">
            <w:pPr>
              <w:pStyle w:val="af"/>
              <w:adjustRightInd w:val="0"/>
              <w:snapToGrid w:val="0"/>
              <w:spacing w:line="460" w:lineRule="exact"/>
              <w:ind w:firstLineChars="0" w:firstLine="0"/>
              <w:jc w:val="center"/>
              <w:rPr>
                <w:rFonts w:ascii="宋体" w:hAnsi="宋体"/>
                <w:szCs w:val="21"/>
              </w:rPr>
            </w:pPr>
            <w:r>
              <w:rPr>
                <w:rFonts w:ascii="宋体" w:hAnsi="宋体" w:hint="eastAsia"/>
                <w:color w:val="000000"/>
                <w:szCs w:val="21"/>
              </w:rPr>
              <w:t>易方达裕景添利</w:t>
            </w:r>
            <w:r>
              <w:rPr>
                <w:rFonts w:ascii="宋体" w:hAnsi="宋体" w:hint="eastAsia"/>
                <w:color w:val="000000"/>
                <w:szCs w:val="21"/>
              </w:rPr>
              <w:t>6</w:t>
            </w:r>
            <w:r>
              <w:rPr>
                <w:rFonts w:ascii="宋体" w:hAnsi="宋体" w:hint="eastAsia"/>
                <w:color w:val="000000"/>
                <w:szCs w:val="21"/>
              </w:rPr>
              <w:t>个月定期开放债券型证券投资基金</w:t>
            </w:r>
          </w:p>
        </w:tc>
        <w:tc>
          <w:tcPr>
            <w:tcW w:w="3392" w:type="dxa"/>
            <w:vAlign w:val="center"/>
          </w:tcPr>
          <w:p w:rsidR="0016189C" w:rsidRDefault="00B34D58">
            <w:pPr>
              <w:pStyle w:val="af"/>
              <w:adjustRightInd w:val="0"/>
              <w:snapToGrid w:val="0"/>
              <w:spacing w:line="460" w:lineRule="exact"/>
              <w:ind w:firstLineChars="0" w:firstLine="0"/>
              <w:jc w:val="center"/>
              <w:rPr>
                <w:rFonts w:ascii="宋体" w:hAnsi="宋体"/>
                <w:szCs w:val="21"/>
              </w:rPr>
            </w:pPr>
            <w:r>
              <w:rPr>
                <w:rFonts w:ascii="宋体" w:hAnsi="宋体" w:hint="eastAsia"/>
                <w:szCs w:val="21"/>
              </w:rPr>
              <w:t>中国人民银行公布的六个月银行定期整存整取存款利率（税后）×</w:t>
            </w:r>
            <w:r>
              <w:rPr>
                <w:rFonts w:ascii="宋体" w:hAnsi="宋体" w:hint="eastAsia"/>
                <w:szCs w:val="21"/>
              </w:rPr>
              <w:t>1.1</w:t>
            </w:r>
          </w:p>
        </w:tc>
        <w:tc>
          <w:tcPr>
            <w:tcW w:w="3584" w:type="dxa"/>
            <w:vAlign w:val="center"/>
          </w:tcPr>
          <w:p w:rsidR="0016189C" w:rsidRDefault="00B34D58">
            <w:pPr>
              <w:pStyle w:val="af"/>
              <w:adjustRightInd w:val="0"/>
              <w:snapToGrid w:val="0"/>
              <w:spacing w:line="460" w:lineRule="exact"/>
              <w:ind w:firstLineChars="0" w:firstLine="0"/>
              <w:jc w:val="center"/>
              <w:rPr>
                <w:rFonts w:ascii="宋体" w:hAnsi="宋体"/>
                <w:szCs w:val="21"/>
              </w:rPr>
            </w:pPr>
            <w:r>
              <w:rPr>
                <w:rFonts w:ascii="宋体" w:hAnsi="宋体" w:hint="eastAsia"/>
                <w:szCs w:val="21"/>
              </w:rPr>
              <w:t>中债</w:t>
            </w:r>
            <w:r>
              <w:rPr>
                <w:rFonts w:ascii="宋体" w:hAnsi="宋体" w:hint="eastAsia"/>
                <w:szCs w:val="21"/>
              </w:rPr>
              <w:t>-</w:t>
            </w:r>
            <w:r>
              <w:rPr>
                <w:rFonts w:ascii="宋体" w:hAnsi="宋体" w:hint="eastAsia"/>
                <w:szCs w:val="21"/>
              </w:rPr>
              <w:t>新综合全价（</w:t>
            </w:r>
            <w:r>
              <w:rPr>
                <w:rFonts w:ascii="宋体" w:hAnsi="宋体" w:hint="eastAsia"/>
                <w:szCs w:val="21"/>
              </w:rPr>
              <w:t>1-3</w:t>
            </w:r>
            <w:r>
              <w:rPr>
                <w:rFonts w:ascii="宋体" w:hAnsi="宋体" w:hint="eastAsia"/>
                <w:szCs w:val="21"/>
              </w:rPr>
              <w:t>年）指数收益率</w:t>
            </w:r>
          </w:p>
        </w:tc>
      </w:tr>
      <w:tr w:rsidR="00CF288F" w:rsidTr="000246C6">
        <w:trPr>
          <w:trHeight w:val="367"/>
          <w:jc w:val="center"/>
        </w:trPr>
        <w:tc>
          <w:tcPr>
            <w:tcW w:w="709" w:type="dxa"/>
            <w:vAlign w:val="center"/>
          </w:tcPr>
          <w:p w:rsidR="0016189C" w:rsidRDefault="00B34D58" w:rsidP="00AA54DF">
            <w:pPr>
              <w:pStyle w:val="af"/>
              <w:adjustRightInd w:val="0"/>
              <w:snapToGrid w:val="0"/>
              <w:spacing w:line="460" w:lineRule="exact"/>
              <w:ind w:firstLineChars="0" w:firstLine="0"/>
              <w:jc w:val="center"/>
              <w:rPr>
                <w:rFonts w:ascii="宋体" w:hAnsi="宋体"/>
                <w:szCs w:val="21"/>
              </w:rPr>
            </w:pPr>
            <w:r>
              <w:rPr>
                <w:rFonts w:ascii="宋体" w:hAnsi="宋体" w:hint="eastAsia"/>
                <w:szCs w:val="21"/>
              </w:rPr>
              <w:t>19</w:t>
            </w:r>
          </w:p>
        </w:tc>
        <w:tc>
          <w:tcPr>
            <w:tcW w:w="2131" w:type="dxa"/>
            <w:vAlign w:val="center"/>
          </w:tcPr>
          <w:p w:rsidR="0016189C" w:rsidRDefault="00B34D58">
            <w:pPr>
              <w:pStyle w:val="af"/>
              <w:adjustRightInd w:val="0"/>
              <w:snapToGrid w:val="0"/>
              <w:spacing w:line="460" w:lineRule="exact"/>
              <w:ind w:firstLineChars="0" w:firstLine="0"/>
              <w:jc w:val="center"/>
              <w:rPr>
                <w:rFonts w:ascii="宋体" w:hAnsi="宋体"/>
                <w:szCs w:val="21"/>
              </w:rPr>
            </w:pPr>
            <w:r>
              <w:rPr>
                <w:rFonts w:ascii="宋体" w:hAnsi="宋体" w:hint="eastAsia"/>
                <w:color w:val="000000"/>
                <w:szCs w:val="21"/>
              </w:rPr>
              <w:t>易方达恒久添利</w:t>
            </w:r>
            <w:r>
              <w:rPr>
                <w:rFonts w:ascii="宋体" w:hAnsi="宋体" w:hint="eastAsia"/>
                <w:color w:val="000000"/>
                <w:szCs w:val="21"/>
              </w:rPr>
              <w:t>1</w:t>
            </w:r>
            <w:r>
              <w:rPr>
                <w:rFonts w:ascii="宋体" w:hAnsi="宋体" w:hint="eastAsia"/>
                <w:color w:val="000000"/>
                <w:szCs w:val="21"/>
              </w:rPr>
              <w:t>年定期开放债券型证券投资基金</w:t>
            </w:r>
          </w:p>
        </w:tc>
        <w:tc>
          <w:tcPr>
            <w:tcW w:w="3392" w:type="dxa"/>
            <w:vAlign w:val="center"/>
          </w:tcPr>
          <w:p w:rsidR="0016189C" w:rsidRDefault="00B34D58">
            <w:pPr>
              <w:pStyle w:val="af"/>
              <w:adjustRightInd w:val="0"/>
              <w:snapToGrid w:val="0"/>
              <w:spacing w:line="460" w:lineRule="exact"/>
              <w:ind w:firstLineChars="0" w:firstLine="0"/>
              <w:jc w:val="center"/>
              <w:rPr>
                <w:rFonts w:ascii="宋体" w:hAnsi="宋体"/>
                <w:szCs w:val="21"/>
              </w:rPr>
            </w:pPr>
            <w:r>
              <w:rPr>
                <w:rFonts w:ascii="宋体" w:hAnsi="宋体" w:hint="eastAsia"/>
                <w:szCs w:val="21"/>
              </w:rPr>
              <w:t>中国人民银行公布的一年期银行定期整存整取存款利率（税后）</w:t>
            </w:r>
            <w:r>
              <w:rPr>
                <w:rFonts w:ascii="宋体" w:hAnsi="宋体" w:hint="eastAsia"/>
                <w:szCs w:val="21"/>
              </w:rPr>
              <w:t>+1.2%</w:t>
            </w:r>
          </w:p>
        </w:tc>
        <w:tc>
          <w:tcPr>
            <w:tcW w:w="3584" w:type="dxa"/>
            <w:vAlign w:val="center"/>
          </w:tcPr>
          <w:p w:rsidR="0016189C" w:rsidRDefault="00B34D58">
            <w:pPr>
              <w:pStyle w:val="af"/>
              <w:adjustRightInd w:val="0"/>
              <w:snapToGrid w:val="0"/>
              <w:spacing w:line="460" w:lineRule="exact"/>
              <w:ind w:firstLineChars="0" w:firstLine="0"/>
              <w:jc w:val="center"/>
              <w:rPr>
                <w:rFonts w:ascii="宋体" w:hAnsi="宋体"/>
                <w:szCs w:val="21"/>
              </w:rPr>
            </w:pPr>
            <w:r>
              <w:rPr>
                <w:rFonts w:ascii="宋体" w:hAnsi="宋体" w:hint="eastAsia"/>
                <w:szCs w:val="21"/>
              </w:rPr>
              <w:t>中债</w:t>
            </w:r>
            <w:r>
              <w:rPr>
                <w:rFonts w:ascii="宋体" w:hAnsi="宋体" w:hint="eastAsia"/>
                <w:szCs w:val="21"/>
              </w:rPr>
              <w:t>-</w:t>
            </w:r>
            <w:r>
              <w:rPr>
                <w:rFonts w:ascii="宋体" w:hAnsi="宋体" w:hint="eastAsia"/>
                <w:szCs w:val="21"/>
              </w:rPr>
              <w:t>新综合全价（</w:t>
            </w:r>
            <w:r>
              <w:rPr>
                <w:rFonts w:ascii="宋体" w:hAnsi="宋体" w:hint="eastAsia"/>
                <w:szCs w:val="21"/>
              </w:rPr>
              <w:t>1-3</w:t>
            </w:r>
            <w:r>
              <w:rPr>
                <w:rFonts w:ascii="宋体" w:hAnsi="宋体" w:hint="eastAsia"/>
                <w:szCs w:val="21"/>
              </w:rPr>
              <w:t>年）指数收益率</w:t>
            </w:r>
          </w:p>
        </w:tc>
      </w:tr>
      <w:tr w:rsidR="00CF288F" w:rsidTr="000246C6">
        <w:trPr>
          <w:trHeight w:val="367"/>
          <w:jc w:val="center"/>
        </w:trPr>
        <w:tc>
          <w:tcPr>
            <w:tcW w:w="709" w:type="dxa"/>
            <w:vAlign w:val="center"/>
          </w:tcPr>
          <w:p w:rsidR="0016189C" w:rsidRDefault="00B34D58" w:rsidP="00AA54DF">
            <w:pPr>
              <w:pStyle w:val="af"/>
              <w:adjustRightInd w:val="0"/>
              <w:snapToGrid w:val="0"/>
              <w:spacing w:line="460" w:lineRule="exact"/>
              <w:ind w:firstLineChars="0" w:firstLine="0"/>
              <w:jc w:val="center"/>
              <w:rPr>
                <w:rFonts w:ascii="宋体" w:hAnsi="宋体"/>
                <w:szCs w:val="21"/>
              </w:rPr>
            </w:pPr>
            <w:r>
              <w:rPr>
                <w:rFonts w:ascii="宋体" w:hAnsi="宋体" w:hint="eastAsia"/>
                <w:szCs w:val="21"/>
              </w:rPr>
              <w:t>20</w:t>
            </w:r>
          </w:p>
        </w:tc>
        <w:tc>
          <w:tcPr>
            <w:tcW w:w="2131" w:type="dxa"/>
            <w:vAlign w:val="center"/>
          </w:tcPr>
          <w:p w:rsidR="0016189C" w:rsidRDefault="00B34D58">
            <w:pPr>
              <w:pStyle w:val="af"/>
              <w:adjustRightInd w:val="0"/>
              <w:snapToGrid w:val="0"/>
              <w:spacing w:line="460" w:lineRule="exact"/>
              <w:ind w:firstLineChars="0" w:firstLine="0"/>
              <w:jc w:val="center"/>
              <w:rPr>
                <w:rFonts w:ascii="宋体" w:hAnsi="宋体"/>
                <w:szCs w:val="21"/>
              </w:rPr>
            </w:pPr>
            <w:r>
              <w:rPr>
                <w:rFonts w:ascii="宋体" w:hAnsi="宋体" w:hint="eastAsia"/>
                <w:color w:val="000000"/>
                <w:szCs w:val="21"/>
              </w:rPr>
              <w:t>易方达优势领航六个月持有期混合型基金中基金</w:t>
            </w:r>
            <w:r>
              <w:rPr>
                <w:rFonts w:ascii="宋体" w:hAnsi="宋体" w:hint="eastAsia"/>
                <w:color w:val="000000"/>
                <w:szCs w:val="21"/>
              </w:rPr>
              <w:t>(FOF)</w:t>
            </w:r>
          </w:p>
        </w:tc>
        <w:tc>
          <w:tcPr>
            <w:tcW w:w="3392" w:type="dxa"/>
            <w:vAlign w:val="center"/>
          </w:tcPr>
          <w:p w:rsidR="0016189C" w:rsidRDefault="00B34D58">
            <w:pPr>
              <w:pStyle w:val="af"/>
              <w:adjustRightInd w:val="0"/>
              <w:snapToGrid w:val="0"/>
              <w:spacing w:line="460" w:lineRule="exact"/>
              <w:ind w:firstLineChars="0" w:firstLine="0"/>
              <w:jc w:val="center"/>
              <w:rPr>
                <w:rFonts w:ascii="宋体" w:hAnsi="宋体"/>
                <w:szCs w:val="21"/>
              </w:rPr>
            </w:pPr>
            <w:r>
              <w:rPr>
                <w:rFonts w:ascii="宋体" w:hAnsi="宋体" w:hint="eastAsia"/>
                <w:szCs w:val="21"/>
              </w:rPr>
              <w:t>中证</w:t>
            </w:r>
            <w:r>
              <w:rPr>
                <w:rFonts w:ascii="宋体" w:hAnsi="宋体" w:hint="eastAsia"/>
                <w:szCs w:val="21"/>
              </w:rPr>
              <w:t>800</w:t>
            </w:r>
            <w:r>
              <w:rPr>
                <w:rFonts w:ascii="宋体" w:hAnsi="宋体" w:hint="eastAsia"/>
                <w:szCs w:val="21"/>
              </w:rPr>
              <w:t>指数收益率×</w:t>
            </w:r>
            <w:r>
              <w:rPr>
                <w:rFonts w:ascii="宋体" w:hAnsi="宋体" w:hint="eastAsia"/>
                <w:szCs w:val="21"/>
              </w:rPr>
              <w:t>70%+</w:t>
            </w:r>
            <w:r>
              <w:rPr>
                <w:rFonts w:ascii="宋体" w:hAnsi="宋体" w:hint="eastAsia"/>
                <w:szCs w:val="21"/>
              </w:rPr>
              <w:t>中债新综合指数（财富）收益率×</w:t>
            </w:r>
            <w:r>
              <w:rPr>
                <w:rFonts w:ascii="宋体" w:hAnsi="宋体" w:hint="eastAsia"/>
                <w:szCs w:val="21"/>
              </w:rPr>
              <w:t>30%</w:t>
            </w:r>
          </w:p>
        </w:tc>
        <w:tc>
          <w:tcPr>
            <w:tcW w:w="3584" w:type="dxa"/>
            <w:vAlign w:val="center"/>
          </w:tcPr>
          <w:p w:rsidR="0016189C" w:rsidRDefault="00B34D58">
            <w:pPr>
              <w:pStyle w:val="af"/>
              <w:adjustRightInd w:val="0"/>
              <w:snapToGrid w:val="0"/>
              <w:spacing w:line="460" w:lineRule="exact"/>
              <w:ind w:firstLineChars="0" w:firstLine="0"/>
              <w:jc w:val="center"/>
              <w:rPr>
                <w:rFonts w:ascii="宋体" w:hAnsi="宋体"/>
                <w:szCs w:val="21"/>
              </w:rPr>
            </w:pPr>
            <w:r>
              <w:rPr>
                <w:rFonts w:ascii="宋体" w:hAnsi="宋体" w:hint="eastAsia"/>
                <w:szCs w:val="21"/>
              </w:rPr>
              <w:t>中证偏股型基金指数收益率×</w:t>
            </w:r>
            <w:r>
              <w:rPr>
                <w:rFonts w:ascii="宋体" w:hAnsi="宋体" w:hint="eastAsia"/>
                <w:szCs w:val="21"/>
              </w:rPr>
              <w:t>90%+</w:t>
            </w:r>
            <w:r>
              <w:rPr>
                <w:rFonts w:ascii="宋体" w:hAnsi="宋体" w:hint="eastAsia"/>
                <w:szCs w:val="21"/>
              </w:rPr>
              <w:t>中证债券型基金指数收益率×</w:t>
            </w:r>
            <w:r>
              <w:rPr>
                <w:rFonts w:ascii="宋体" w:hAnsi="宋体" w:hint="eastAsia"/>
                <w:szCs w:val="21"/>
              </w:rPr>
              <w:t>10%</w:t>
            </w:r>
          </w:p>
        </w:tc>
      </w:tr>
      <w:tr w:rsidR="00CF288F" w:rsidTr="000246C6">
        <w:trPr>
          <w:trHeight w:val="367"/>
          <w:jc w:val="center"/>
        </w:trPr>
        <w:tc>
          <w:tcPr>
            <w:tcW w:w="709" w:type="dxa"/>
            <w:vAlign w:val="center"/>
          </w:tcPr>
          <w:p w:rsidR="0016189C" w:rsidRDefault="00B34D58" w:rsidP="00AA54DF">
            <w:pPr>
              <w:pStyle w:val="af"/>
              <w:adjustRightInd w:val="0"/>
              <w:snapToGrid w:val="0"/>
              <w:spacing w:line="460" w:lineRule="exact"/>
              <w:ind w:firstLineChars="0" w:firstLine="0"/>
              <w:jc w:val="center"/>
              <w:rPr>
                <w:rFonts w:ascii="宋体" w:hAnsi="宋体"/>
                <w:szCs w:val="21"/>
              </w:rPr>
            </w:pPr>
            <w:r>
              <w:rPr>
                <w:rFonts w:ascii="宋体" w:hAnsi="宋体" w:hint="eastAsia"/>
                <w:szCs w:val="21"/>
              </w:rPr>
              <w:t>21</w:t>
            </w:r>
          </w:p>
        </w:tc>
        <w:tc>
          <w:tcPr>
            <w:tcW w:w="2131" w:type="dxa"/>
            <w:vAlign w:val="center"/>
          </w:tcPr>
          <w:p w:rsidR="0016189C" w:rsidRDefault="00B34D58">
            <w:pPr>
              <w:pStyle w:val="af"/>
              <w:adjustRightInd w:val="0"/>
              <w:snapToGrid w:val="0"/>
              <w:spacing w:line="460" w:lineRule="exact"/>
              <w:ind w:firstLineChars="0" w:firstLine="0"/>
              <w:jc w:val="center"/>
              <w:rPr>
                <w:rFonts w:ascii="宋体" w:hAnsi="宋体"/>
                <w:szCs w:val="21"/>
              </w:rPr>
            </w:pPr>
            <w:r>
              <w:rPr>
                <w:rFonts w:ascii="宋体" w:hAnsi="宋体" w:hint="eastAsia"/>
                <w:color w:val="000000"/>
                <w:szCs w:val="21"/>
              </w:rPr>
              <w:t>易方达优选多资产三个月持有期混合型基金中基金</w:t>
            </w:r>
            <w:r>
              <w:rPr>
                <w:rFonts w:ascii="宋体" w:hAnsi="宋体" w:hint="eastAsia"/>
                <w:color w:val="000000"/>
                <w:szCs w:val="21"/>
              </w:rPr>
              <w:t>(FOF)</w:t>
            </w:r>
          </w:p>
        </w:tc>
        <w:tc>
          <w:tcPr>
            <w:tcW w:w="3392" w:type="dxa"/>
            <w:vAlign w:val="center"/>
          </w:tcPr>
          <w:p w:rsidR="0016189C" w:rsidRDefault="00B34D58">
            <w:pPr>
              <w:pStyle w:val="af"/>
              <w:adjustRightInd w:val="0"/>
              <w:snapToGrid w:val="0"/>
              <w:spacing w:line="460" w:lineRule="exact"/>
              <w:ind w:firstLineChars="0" w:firstLine="0"/>
              <w:jc w:val="center"/>
              <w:rPr>
                <w:rFonts w:ascii="宋体" w:hAnsi="宋体"/>
                <w:szCs w:val="21"/>
              </w:rPr>
            </w:pPr>
            <w:r>
              <w:rPr>
                <w:rFonts w:ascii="宋体" w:hAnsi="宋体" w:hint="eastAsia"/>
                <w:szCs w:val="21"/>
              </w:rPr>
              <w:t>沪深</w:t>
            </w:r>
            <w:r>
              <w:rPr>
                <w:rFonts w:ascii="宋体" w:hAnsi="宋体" w:hint="eastAsia"/>
                <w:szCs w:val="21"/>
              </w:rPr>
              <w:t>300</w:t>
            </w:r>
            <w:r>
              <w:rPr>
                <w:rFonts w:ascii="宋体" w:hAnsi="宋体" w:hint="eastAsia"/>
                <w:szCs w:val="21"/>
              </w:rPr>
              <w:t>指数收益率×</w:t>
            </w:r>
            <w:r>
              <w:rPr>
                <w:rFonts w:ascii="宋体" w:hAnsi="宋体" w:hint="eastAsia"/>
                <w:szCs w:val="21"/>
              </w:rPr>
              <w:t>50%+</w:t>
            </w:r>
            <w:r>
              <w:rPr>
                <w:rFonts w:ascii="宋体" w:hAnsi="宋体" w:hint="eastAsia"/>
                <w:szCs w:val="21"/>
              </w:rPr>
              <w:t>中证港股通综合指数收益率×</w:t>
            </w:r>
            <w:r>
              <w:rPr>
                <w:rFonts w:ascii="宋体" w:hAnsi="宋体" w:hint="eastAsia"/>
                <w:szCs w:val="21"/>
              </w:rPr>
              <w:t>10%+</w:t>
            </w:r>
            <w:r>
              <w:rPr>
                <w:rFonts w:ascii="宋体" w:hAnsi="宋体" w:hint="eastAsia"/>
                <w:szCs w:val="21"/>
              </w:rPr>
              <w:t>中债总指数收益率×</w:t>
            </w:r>
            <w:r>
              <w:rPr>
                <w:rFonts w:ascii="宋体" w:hAnsi="宋体" w:hint="eastAsia"/>
                <w:szCs w:val="21"/>
              </w:rPr>
              <w:t>40%</w:t>
            </w:r>
          </w:p>
        </w:tc>
        <w:tc>
          <w:tcPr>
            <w:tcW w:w="3584" w:type="dxa"/>
            <w:vAlign w:val="center"/>
          </w:tcPr>
          <w:p w:rsidR="0016189C" w:rsidRDefault="00B34D58">
            <w:pPr>
              <w:pStyle w:val="af"/>
              <w:adjustRightInd w:val="0"/>
              <w:snapToGrid w:val="0"/>
              <w:spacing w:line="460" w:lineRule="exact"/>
              <w:ind w:firstLineChars="0" w:firstLine="0"/>
              <w:jc w:val="center"/>
              <w:rPr>
                <w:rFonts w:ascii="宋体" w:hAnsi="宋体"/>
                <w:szCs w:val="21"/>
              </w:rPr>
            </w:pPr>
            <w:r>
              <w:rPr>
                <w:rFonts w:ascii="宋体" w:hAnsi="宋体" w:hint="eastAsia"/>
                <w:szCs w:val="21"/>
              </w:rPr>
              <w:t>中证</w:t>
            </w:r>
            <w:r>
              <w:rPr>
                <w:rFonts w:ascii="宋体" w:hAnsi="宋体" w:hint="eastAsia"/>
                <w:szCs w:val="21"/>
              </w:rPr>
              <w:t>800</w:t>
            </w:r>
            <w:r>
              <w:rPr>
                <w:rFonts w:ascii="宋体" w:hAnsi="宋体" w:hint="eastAsia"/>
                <w:szCs w:val="21"/>
              </w:rPr>
              <w:t>指数收益率×</w:t>
            </w:r>
            <w:r>
              <w:rPr>
                <w:rFonts w:ascii="宋体" w:hAnsi="宋体" w:hint="eastAsia"/>
                <w:szCs w:val="21"/>
              </w:rPr>
              <w:t>35%+</w:t>
            </w:r>
            <w:r>
              <w:rPr>
                <w:rFonts w:ascii="宋体" w:hAnsi="宋体" w:hint="eastAsia"/>
                <w:szCs w:val="21"/>
              </w:rPr>
              <w:t>标普</w:t>
            </w:r>
            <w:r>
              <w:rPr>
                <w:rFonts w:ascii="宋体" w:hAnsi="宋体" w:hint="eastAsia"/>
                <w:szCs w:val="21"/>
              </w:rPr>
              <w:t>500</w:t>
            </w:r>
            <w:r>
              <w:rPr>
                <w:rFonts w:ascii="宋体" w:hAnsi="宋体" w:hint="eastAsia"/>
                <w:szCs w:val="21"/>
              </w:rPr>
              <w:t>指数（</w:t>
            </w:r>
            <w:r>
              <w:rPr>
                <w:rFonts w:ascii="宋体" w:hAnsi="宋体" w:hint="eastAsia"/>
                <w:szCs w:val="21"/>
              </w:rPr>
              <w:t xml:space="preserve">S&amp;P 500 </w:t>
            </w:r>
            <w:r>
              <w:rPr>
                <w:rFonts w:ascii="宋体" w:hAnsi="宋体" w:hint="eastAsia"/>
                <w:szCs w:val="21"/>
              </w:rPr>
              <w:t>Index</w:t>
            </w:r>
            <w:r>
              <w:rPr>
                <w:rFonts w:ascii="宋体" w:hAnsi="宋体" w:hint="eastAsia"/>
                <w:szCs w:val="21"/>
              </w:rPr>
              <w:t>）收益率×</w:t>
            </w:r>
            <w:r>
              <w:rPr>
                <w:rFonts w:ascii="宋体" w:hAnsi="宋体" w:hint="eastAsia"/>
                <w:szCs w:val="21"/>
              </w:rPr>
              <w:t>30%+</w:t>
            </w:r>
            <w:r>
              <w:rPr>
                <w:rFonts w:ascii="宋体" w:hAnsi="宋体" w:hint="eastAsia"/>
                <w:szCs w:val="21"/>
              </w:rPr>
              <w:t>中债</w:t>
            </w:r>
            <w:r>
              <w:rPr>
                <w:rFonts w:ascii="宋体" w:hAnsi="宋体" w:hint="eastAsia"/>
                <w:szCs w:val="21"/>
              </w:rPr>
              <w:t>-</w:t>
            </w:r>
            <w:r>
              <w:rPr>
                <w:rFonts w:ascii="宋体" w:hAnsi="宋体" w:hint="eastAsia"/>
                <w:szCs w:val="21"/>
              </w:rPr>
              <w:t>总全价（总值）指数收益率×</w:t>
            </w:r>
            <w:r>
              <w:rPr>
                <w:rFonts w:ascii="宋体" w:hAnsi="宋体" w:hint="eastAsia"/>
                <w:szCs w:val="21"/>
              </w:rPr>
              <w:t>25%+</w:t>
            </w:r>
            <w:r>
              <w:rPr>
                <w:rFonts w:ascii="宋体" w:hAnsi="宋体" w:hint="eastAsia"/>
                <w:szCs w:val="21"/>
              </w:rPr>
              <w:t>上海黄金交易所</w:t>
            </w:r>
            <w:r>
              <w:rPr>
                <w:rFonts w:ascii="宋体" w:hAnsi="宋体" w:hint="eastAsia"/>
                <w:szCs w:val="21"/>
              </w:rPr>
              <w:t>Au99.99</w:t>
            </w:r>
            <w:r>
              <w:rPr>
                <w:rFonts w:ascii="宋体" w:hAnsi="宋体" w:hint="eastAsia"/>
                <w:szCs w:val="21"/>
              </w:rPr>
              <w:t>现货实盘合约价格收益率×</w:t>
            </w:r>
            <w:r>
              <w:rPr>
                <w:rFonts w:ascii="宋体" w:hAnsi="宋体" w:hint="eastAsia"/>
                <w:szCs w:val="21"/>
              </w:rPr>
              <w:t>10%</w:t>
            </w:r>
          </w:p>
        </w:tc>
      </w:tr>
    </w:tbl>
    <w:p w:rsidR="0016189C" w:rsidRDefault="00B34D58">
      <w:pPr>
        <w:adjustRightInd w:val="0"/>
        <w:snapToGrid w:val="0"/>
        <w:spacing w:line="460" w:lineRule="exact"/>
        <w:ind w:firstLineChars="175" w:firstLine="420"/>
        <w:rPr>
          <w:b/>
          <w:bCs/>
          <w:sz w:val="24"/>
        </w:rPr>
      </w:pPr>
      <w:r>
        <w:rPr>
          <w:bCs/>
          <w:sz w:val="24"/>
        </w:rPr>
        <w:t>上述基金调整业绩比较基准</w:t>
      </w:r>
      <w:r>
        <w:rPr>
          <w:rFonts w:hint="eastAsia"/>
          <w:bCs/>
          <w:sz w:val="24"/>
        </w:rPr>
        <w:t>要素</w:t>
      </w:r>
      <w:r>
        <w:rPr>
          <w:bCs/>
          <w:sz w:val="24"/>
        </w:rPr>
        <w:t>的原因</w:t>
      </w:r>
      <w:r>
        <w:rPr>
          <w:rFonts w:hint="eastAsia"/>
          <w:bCs/>
          <w:sz w:val="24"/>
        </w:rPr>
        <w:t>、差异</w:t>
      </w:r>
      <w:r>
        <w:rPr>
          <w:bCs/>
          <w:sz w:val="24"/>
        </w:rPr>
        <w:t>及</w:t>
      </w:r>
      <w:r>
        <w:rPr>
          <w:rFonts w:hint="eastAsia"/>
          <w:bCs/>
          <w:sz w:val="24"/>
        </w:rPr>
        <w:t>影响</w:t>
      </w:r>
      <w:r>
        <w:rPr>
          <w:bCs/>
          <w:sz w:val="24"/>
        </w:rPr>
        <w:t>详见附件《</w:t>
      </w:r>
      <w:r>
        <w:rPr>
          <w:sz w:val="24"/>
        </w:rPr>
        <w:t>业绩比较基准调整原因及合理性说明》。</w:t>
      </w:r>
    </w:p>
    <w:p w:rsidR="0016189C" w:rsidRDefault="0016189C">
      <w:pPr>
        <w:pStyle w:val="af"/>
        <w:adjustRightInd w:val="0"/>
        <w:snapToGrid w:val="0"/>
        <w:spacing w:line="460" w:lineRule="exact"/>
        <w:ind w:rightChars="40" w:right="84" w:firstLine="480"/>
        <w:rPr>
          <w:kern w:val="0"/>
          <w:sz w:val="24"/>
        </w:rPr>
      </w:pPr>
    </w:p>
    <w:p w:rsidR="0016189C" w:rsidRDefault="00B34D58">
      <w:pPr>
        <w:pStyle w:val="af"/>
        <w:adjustRightInd w:val="0"/>
        <w:snapToGrid w:val="0"/>
        <w:spacing w:line="460" w:lineRule="exact"/>
        <w:ind w:firstLine="482"/>
        <w:rPr>
          <w:b/>
          <w:sz w:val="24"/>
        </w:rPr>
      </w:pPr>
      <w:r>
        <w:rPr>
          <w:b/>
          <w:kern w:val="0"/>
          <w:sz w:val="24"/>
        </w:rPr>
        <w:t>二、基金合同</w:t>
      </w:r>
      <w:r>
        <w:rPr>
          <w:rFonts w:hint="eastAsia"/>
          <w:b/>
          <w:kern w:val="0"/>
          <w:sz w:val="24"/>
        </w:rPr>
        <w:t>等法律文件</w:t>
      </w:r>
      <w:r>
        <w:rPr>
          <w:b/>
          <w:sz w:val="24"/>
        </w:rPr>
        <w:t>修订内容</w:t>
      </w:r>
    </w:p>
    <w:p w:rsidR="0016189C" w:rsidRDefault="00B34D58">
      <w:pPr>
        <w:adjustRightInd w:val="0"/>
        <w:snapToGrid w:val="0"/>
        <w:spacing w:line="460" w:lineRule="exact"/>
        <w:ind w:firstLineChars="200" w:firstLine="480"/>
        <w:rPr>
          <w:rFonts w:eastAsiaTheme="minorEastAsia"/>
          <w:sz w:val="24"/>
        </w:rPr>
      </w:pPr>
      <w:r>
        <w:rPr>
          <w:sz w:val="24"/>
        </w:rPr>
        <w:t>（一）基金合同具体修订内容包括：在</w:t>
      </w:r>
      <w:r>
        <w:rPr>
          <w:rFonts w:hint="eastAsia"/>
          <w:sz w:val="24"/>
        </w:rPr>
        <w:t>“</w:t>
      </w:r>
      <w:r>
        <w:rPr>
          <w:sz w:val="24"/>
        </w:rPr>
        <w:t>基金的投资</w:t>
      </w:r>
      <w:r>
        <w:rPr>
          <w:rFonts w:hint="eastAsia"/>
          <w:sz w:val="24"/>
        </w:rPr>
        <w:t>”</w:t>
      </w:r>
      <w:r>
        <w:rPr>
          <w:sz w:val="24"/>
        </w:rPr>
        <w:t>章节中的</w:t>
      </w:r>
      <w:r>
        <w:rPr>
          <w:rFonts w:hint="eastAsia"/>
          <w:sz w:val="24"/>
        </w:rPr>
        <w:t>“</w:t>
      </w:r>
      <w:r>
        <w:rPr>
          <w:sz w:val="24"/>
        </w:rPr>
        <w:t>业绩比较基准</w:t>
      </w:r>
      <w:r>
        <w:rPr>
          <w:rFonts w:hint="eastAsia"/>
          <w:sz w:val="24"/>
        </w:rPr>
        <w:t>”</w:t>
      </w:r>
      <w:r>
        <w:rPr>
          <w:sz w:val="24"/>
        </w:rPr>
        <w:t>部分列明基金调整后的业绩比较基准</w:t>
      </w:r>
      <w:r>
        <w:rPr>
          <w:rFonts w:hint="eastAsia"/>
          <w:sz w:val="24"/>
        </w:rPr>
        <w:t>、设定</w:t>
      </w:r>
      <w:r>
        <w:rPr>
          <w:sz w:val="24"/>
        </w:rPr>
        <w:t>原因</w:t>
      </w:r>
      <w:r>
        <w:rPr>
          <w:rFonts w:hint="eastAsia"/>
          <w:sz w:val="24"/>
        </w:rPr>
        <w:t>（</w:t>
      </w:r>
      <w:r>
        <w:rPr>
          <w:sz w:val="24"/>
        </w:rPr>
        <w:t>包括与基金产品投资目标、投资范围、投资策略、投资比例限制的匹配情况</w:t>
      </w:r>
      <w:r>
        <w:rPr>
          <w:rFonts w:hint="eastAsia"/>
          <w:sz w:val="24"/>
        </w:rPr>
        <w:t>）、</w:t>
      </w:r>
      <w:r>
        <w:rPr>
          <w:sz w:val="24"/>
        </w:rPr>
        <w:t>基准要素</w:t>
      </w:r>
      <w:r>
        <w:rPr>
          <w:rFonts w:hint="eastAsia"/>
          <w:sz w:val="24"/>
        </w:rPr>
        <w:t>相关信息（包括</w:t>
      </w:r>
      <w:r>
        <w:rPr>
          <w:sz w:val="24"/>
        </w:rPr>
        <w:t>发布机构、代码、查询途径等</w:t>
      </w:r>
      <w:r>
        <w:rPr>
          <w:rFonts w:hint="eastAsia"/>
          <w:sz w:val="24"/>
        </w:rPr>
        <w:t>）、</w:t>
      </w:r>
      <w:r>
        <w:rPr>
          <w:sz w:val="24"/>
        </w:rPr>
        <w:t>业绩比较基准的计算方法</w:t>
      </w:r>
      <w:r>
        <w:rPr>
          <w:rFonts w:hint="eastAsia"/>
          <w:sz w:val="24"/>
        </w:rPr>
        <w:t>、</w:t>
      </w:r>
      <w:r>
        <w:rPr>
          <w:sz w:val="24"/>
        </w:rPr>
        <w:t>管理投资偏离业绩比较基准的定性或定量方法</w:t>
      </w:r>
      <w:r>
        <w:rPr>
          <w:rFonts w:hint="eastAsia"/>
          <w:sz w:val="24"/>
        </w:rPr>
        <w:t>，以及</w:t>
      </w:r>
      <w:r>
        <w:rPr>
          <w:sz w:val="24"/>
        </w:rPr>
        <w:t>未来可能变更业绩比较基准的情形和程序</w:t>
      </w:r>
      <w:r>
        <w:rPr>
          <w:rFonts w:hint="eastAsia"/>
          <w:sz w:val="24"/>
        </w:rPr>
        <w:t>。</w:t>
      </w:r>
      <w:r>
        <w:rPr>
          <w:rFonts w:eastAsiaTheme="minorEastAsia"/>
          <w:sz w:val="24"/>
        </w:rPr>
        <w:t>基金管理人将更新招募说明书</w:t>
      </w:r>
      <w:r>
        <w:rPr>
          <w:rFonts w:eastAsiaTheme="minorEastAsia" w:hint="eastAsia"/>
          <w:sz w:val="24"/>
        </w:rPr>
        <w:t>、基金产品资料概要</w:t>
      </w:r>
      <w:r>
        <w:rPr>
          <w:rFonts w:eastAsiaTheme="minorEastAsia"/>
          <w:sz w:val="24"/>
        </w:rPr>
        <w:t>相关内容。</w:t>
      </w:r>
    </w:p>
    <w:p w:rsidR="0016189C" w:rsidRDefault="00B34D58">
      <w:pPr>
        <w:adjustRightInd w:val="0"/>
        <w:snapToGrid w:val="0"/>
        <w:spacing w:line="460" w:lineRule="exact"/>
        <w:ind w:firstLineChars="200" w:firstLine="480"/>
        <w:rPr>
          <w:sz w:val="24"/>
        </w:rPr>
      </w:pPr>
      <w:r>
        <w:rPr>
          <w:sz w:val="24"/>
        </w:rPr>
        <w:t>（二）</w:t>
      </w:r>
      <w:r>
        <w:rPr>
          <w:rFonts w:hint="eastAsia"/>
          <w:kern w:val="0"/>
          <w:sz w:val="24"/>
        </w:rPr>
        <w:t>本次修订</w:t>
      </w:r>
      <w:r>
        <w:rPr>
          <w:kern w:val="0"/>
          <w:sz w:val="24"/>
        </w:rPr>
        <w:t>对基金份额持有人利益无实质性不利影响</w:t>
      </w:r>
      <w:r>
        <w:rPr>
          <w:rFonts w:hint="eastAsia"/>
          <w:kern w:val="0"/>
          <w:sz w:val="24"/>
        </w:rPr>
        <w:t>，基金管理人已履行规定的程序，</w:t>
      </w:r>
      <w:r>
        <w:rPr>
          <w:kern w:val="0"/>
          <w:sz w:val="24"/>
        </w:rPr>
        <w:t>符合相关法律法规规定和基金合同约定</w:t>
      </w:r>
      <w:r>
        <w:rPr>
          <w:rFonts w:hint="eastAsia"/>
          <w:kern w:val="0"/>
          <w:sz w:val="24"/>
        </w:rPr>
        <w:t>，</w:t>
      </w:r>
      <w:r>
        <w:rPr>
          <w:sz w:val="24"/>
        </w:rPr>
        <w:t>修订后的基金合同、招募说明书（更新）和基金产品资料概要（更新）将在</w:t>
      </w:r>
      <w:r>
        <w:rPr>
          <w:rFonts w:hint="eastAsia"/>
          <w:sz w:val="24"/>
        </w:rPr>
        <w:t>基金管理人</w:t>
      </w:r>
      <w:r>
        <w:rPr>
          <w:sz w:val="24"/>
        </w:rPr>
        <w:t>网站（</w:t>
      </w:r>
      <w:r>
        <w:rPr>
          <w:sz w:val="24"/>
        </w:rPr>
        <w:t>www.efunds.com.cn</w:t>
      </w:r>
      <w:r>
        <w:rPr>
          <w:sz w:val="24"/>
        </w:rPr>
        <w:t>）和中国证监会基金电子披露网站（</w:t>
      </w:r>
      <w:r>
        <w:rPr>
          <w:sz w:val="24"/>
        </w:rPr>
        <w:t>http://eid.csrc.gov.cn/fund</w:t>
      </w:r>
      <w:r>
        <w:rPr>
          <w:sz w:val="24"/>
        </w:rPr>
        <w:t>）发布。投资者办理基金交易等相</w:t>
      </w:r>
      <w:r>
        <w:rPr>
          <w:sz w:val="24"/>
        </w:rPr>
        <w:t>关业务前，应仔细阅读各基金的基金合同、招募说明书</w:t>
      </w:r>
      <w:r>
        <w:rPr>
          <w:rFonts w:hint="eastAsia"/>
          <w:sz w:val="24"/>
        </w:rPr>
        <w:t>（更新）</w:t>
      </w:r>
      <w:r>
        <w:rPr>
          <w:sz w:val="24"/>
        </w:rPr>
        <w:t>、基金产品资料概要（更新）、风险提示及相关业务规则和操作指南等文件。</w:t>
      </w:r>
    </w:p>
    <w:p w:rsidR="0016189C" w:rsidRDefault="0016189C">
      <w:pPr>
        <w:pStyle w:val="af"/>
        <w:adjustRightInd w:val="0"/>
        <w:snapToGrid w:val="0"/>
        <w:spacing w:line="460" w:lineRule="exact"/>
        <w:ind w:firstLine="480"/>
        <w:rPr>
          <w:sz w:val="24"/>
        </w:rPr>
      </w:pPr>
    </w:p>
    <w:p w:rsidR="0016189C" w:rsidRDefault="00B34D58" w:rsidP="00B34D58">
      <w:pPr>
        <w:autoSpaceDE w:val="0"/>
        <w:autoSpaceDN w:val="0"/>
        <w:adjustRightInd w:val="0"/>
        <w:snapToGrid w:val="0"/>
        <w:spacing w:line="460" w:lineRule="exact"/>
        <w:ind w:firstLineChars="200" w:firstLine="482"/>
        <w:rPr>
          <w:b/>
          <w:sz w:val="24"/>
        </w:rPr>
      </w:pPr>
      <w:r>
        <w:rPr>
          <w:b/>
          <w:sz w:val="24"/>
        </w:rPr>
        <w:t>三、上述基金修订后的基金合同</w:t>
      </w:r>
      <w:r>
        <w:rPr>
          <w:rFonts w:hint="eastAsia"/>
          <w:b/>
          <w:sz w:val="24"/>
        </w:rPr>
        <w:t>内容</w:t>
      </w:r>
      <w:r>
        <w:rPr>
          <w:b/>
          <w:sz w:val="24"/>
        </w:rPr>
        <w:t>自</w:t>
      </w:r>
      <w:r>
        <w:rPr>
          <w:b/>
          <w:sz w:val="24"/>
        </w:rPr>
        <w:t>2026</w:t>
      </w:r>
      <w:r>
        <w:rPr>
          <w:b/>
          <w:sz w:val="24"/>
        </w:rPr>
        <w:t>年</w:t>
      </w:r>
      <w:r>
        <w:rPr>
          <w:b/>
          <w:sz w:val="24"/>
        </w:rPr>
        <w:t>6</w:t>
      </w:r>
      <w:r>
        <w:rPr>
          <w:b/>
          <w:sz w:val="24"/>
        </w:rPr>
        <w:t>月</w:t>
      </w:r>
      <w:r>
        <w:rPr>
          <w:b/>
          <w:sz w:val="24"/>
        </w:rPr>
        <w:t>1</w:t>
      </w:r>
      <w:r>
        <w:rPr>
          <w:b/>
          <w:sz w:val="24"/>
        </w:rPr>
        <w:t>日起生效。</w:t>
      </w:r>
    </w:p>
    <w:p w:rsidR="0016189C" w:rsidRDefault="0016189C" w:rsidP="00B34D58">
      <w:pPr>
        <w:autoSpaceDE w:val="0"/>
        <w:autoSpaceDN w:val="0"/>
        <w:adjustRightInd w:val="0"/>
        <w:snapToGrid w:val="0"/>
        <w:spacing w:line="460" w:lineRule="exact"/>
        <w:ind w:firstLineChars="200" w:firstLine="482"/>
        <w:rPr>
          <w:b/>
          <w:sz w:val="24"/>
        </w:rPr>
      </w:pPr>
    </w:p>
    <w:p w:rsidR="0016189C" w:rsidRDefault="00B34D58">
      <w:pPr>
        <w:pStyle w:val="af"/>
        <w:adjustRightInd w:val="0"/>
        <w:snapToGrid w:val="0"/>
        <w:spacing w:line="460" w:lineRule="exact"/>
        <w:ind w:firstLine="482"/>
        <w:rPr>
          <w:b/>
          <w:sz w:val="24"/>
        </w:rPr>
      </w:pPr>
      <w:r>
        <w:rPr>
          <w:b/>
          <w:sz w:val="24"/>
        </w:rPr>
        <w:t>四、其他事项</w:t>
      </w:r>
    </w:p>
    <w:p w:rsidR="0016189C" w:rsidRDefault="00B34D58">
      <w:pPr>
        <w:pStyle w:val="af"/>
        <w:adjustRightInd w:val="0"/>
        <w:snapToGrid w:val="0"/>
        <w:spacing w:line="460" w:lineRule="exact"/>
        <w:ind w:rightChars="40" w:right="84" w:firstLine="480"/>
        <w:rPr>
          <w:sz w:val="24"/>
        </w:rPr>
      </w:pPr>
      <w:r>
        <w:rPr>
          <w:rFonts w:hint="eastAsia"/>
          <w:sz w:val="24"/>
        </w:rPr>
        <w:t>（一）</w:t>
      </w:r>
      <w:r>
        <w:rPr>
          <w:sz w:val="24"/>
        </w:rPr>
        <w:t>投资者可通过以下途径咨询有关详情</w:t>
      </w:r>
    </w:p>
    <w:p w:rsidR="0016189C" w:rsidRDefault="00B34D58">
      <w:pPr>
        <w:pStyle w:val="af"/>
        <w:adjustRightInd w:val="0"/>
        <w:snapToGrid w:val="0"/>
        <w:spacing w:line="460" w:lineRule="exact"/>
        <w:ind w:rightChars="40" w:right="84" w:firstLine="480"/>
        <w:rPr>
          <w:sz w:val="24"/>
        </w:rPr>
      </w:pPr>
      <w:r>
        <w:rPr>
          <w:sz w:val="24"/>
        </w:rPr>
        <w:t>客户服务</w:t>
      </w:r>
      <w:r>
        <w:rPr>
          <w:rFonts w:hint="eastAsia"/>
          <w:sz w:val="24"/>
        </w:rPr>
        <w:t>中心</w:t>
      </w:r>
      <w:r>
        <w:rPr>
          <w:sz w:val="24"/>
        </w:rPr>
        <w:t>电话：</w:t>
      </w:r>
      <w:r>
        <w:rPr>
          <w:sz w:val="24"/>
        </w:rPr>
        <w:t>400-881-8088</w:t>
      </w:r>
    </w:p>
    <w:p w:rsidR="0016189C" w:rsidRDefault="00B34D58">
      <w:pPr>
        <w:pStyle w:val="af"/>
        <w:adjustRightInd w:val="0"/>
        <w:snapToGrid w:val="0"/>
        <w:spacing w:line="460" w:lineRule="exact"/>
        <w:ind w:rightChars="40" w:right="84" w:firstLine="480"/>
        <w:rPr>
          <w:sz w:val="24"/>
        </w:rPr>
      </w:pPr>
      <w:r>
        <w:rPr>
          <w:sz w:val="24"/>
        </w:rPr>
        <w:t>网址：</w:t>
      </w:r>
      <w:r>
        <w:rPr>
          <w:sz w:val="24"/>
        </w:rPr>
        <w:t>www.efunds.com.cn</w:t>
      </w:r>
    </w:p>
    <w:p w:rsidR="0016189C" w:rsidRDefault="00B34D58">
      <w:pPr>
        <w:pStyle w:val="af"/>
        <w:adjustRightInd w:val="0"/>
        <w:snapToGrid w:val="0"/>
        <w:spacing w:line="460" w:lineRule="exact"/>
        <w:ind w:rightChars="40" w:right="84" w:firstLine="480"/>
        <w:rPr>
          <w:sz w:val="24"/>
        </w:rPr>
      </w:pPr>
      <w:r>
        <w:rPr>
          <w:rFonts w:hint="eastAsia"/>
          <w:sz w:val="24"/>
        </w:rPr>
        <w:t>（二）</w:t>
      </w:r>
      <w:r>
        <w:rPr>
          <w:sz w:val="24"/>
        </w:rPr>
        <w:t>基金管理人承诺以诚实信用、勤勉尽责的原则管理和运用基金资产，但不保证基金一定盈利，也不保证最低收益。销售机构根据法规要求对投资者类别、风险承受能力和基金的风险等级进行划分，并</w:t>
      </w:r>
      <w:r>
        <w:rPr>
          <w:sz w:val="24"/>
        </w:rPr>
        <w:t>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w:t>
      </w:r>
      <w:r>
        <w:rPr>
          <w:sz w:val="24"/>
        </w:rPr>
        <w:t>“</w:t>
      </w:r>
      <w:r>
        <w:rPr>
          <w:sz w:val="24"/>
        </w:rPr>
        <w:t>买者自负</w:t>
      </w:r>
      <w:r>
        <w:rPr>
          <w:sz w:val="24"/>
        </w:rPr>
        <w:t>”</w:t>
      </w:r>
      <w:r>
        <w:rPr>
          <w:sz w:val="24"/>
        </w:rPr>
        <w:t>原则，在投资者作出投资决策后，基金运营状况与基金净值变化引致的投资风险，由投资者自行负责。</w:t>
      </w:r>
    </w:p>
    <w:p w:rsidR="0016189C" w:rsidRDefault="0016189C">
      <w:pPr>
        <w:pStyle w:val="af"/>
        <w:adjustRightInd w:val="0"/>
        <w:snapToGrid w:val="0"/>
        <w:spacing w:line="460" w:lineRule="exact"/>
        <w:ind w:rightChars="40" w:right="84"/>
      </w:pPr>
    </w:p>
    <w:p w:rsidR="0016189C" w:rsidRDefault="00B34D58">
      <w:pPr>
        <w:adjustRightInd w:val="0"/>
        <w:snapToGrid w:val="0"/>
        <w:spacing w:line="460" w:lineRule="exact"/>
        <w:ind w:firstLineChars="175" w:firstLine="420"/>
        <w:rPr>
          <w:sz w:val="24"/>
        </w:rPr>
      </w:pPr>
      <w:r>
        <w:rPr>
          <w:sz w:val="24"/>
        </w:rPr>
        <w:t>特此公告。</w:t>
      </w:r>
    </w:p>
    <w:p w:rsidR="0016189C" w:rsidRDefault="0016189C">
      <w:pPr>
        <w:adjustRightInd w:val="0"/>
        <w:snapToGrid w:val="0"/>
        <w:spacing w:line="460" w:lineRule="exact"/>
        <w:ind w:firstLineChars="175" w:firstLine="420"/>
        <w:rPr>
          <w:sz w:val="24"/>
        </w:rPr>
      </w:pPr>
    </w:p>
    <w:p w:rsidR="0016189C" w:rsidRDefault="00B34D58">
      <w:pPr>
        <w:adjustRightInd w:val="0"/>
        <w:snapToGrid w:val="0"/>
        <w:spacing w:line="460" w:lineRule="exact"/>
        <w:ind w:firstLineChars="1450" w:firstLine="3480"/>
        <w:jc w:val="right"/>
        <w:rPr>
          <w:sz w:val="24"/>
        </w:rPr>
      </w:pPr>
      <w:r>
        <w:rPr>
          <w:rFonts w:hint="eastAsia"/>
          <w:sz w:val="24"/>
        </w:rPr>
        <w:t>易方达</w:t>
      </w:r>
      <w:r>
        <w:rPr>
          <w:sz w:val="24"/>
        </w:rPr>
        <w:t>基金管理有限公司</w:t>
      </w:r>
    </w:p>
    <w:p w:rsidR="0016189C" w:rsidRDefault="00B34D58">
      <w:pPr>
        <w:pStyle w:val="af"/>
        <w:adjustRightInd w:val="0"/>
        <w:snapToGrid w:val="0"/>
        <w:spacing w:line="460" w:lineRule="exact"/>
        <w:ind w:right="240" w:firstLineChars="1500" w:firstLine="3600"/>
        <w:jc w:val="right"/>
        <w:rPr>
          <w:sz w:val="24"/>
        </w:rPr>
      </w:pPr>
      <w:r>
        <w:rPr>
          <w:sz w:val="24"/>
        </w:rPr>
        <w:t>2026</w:t>
      </w:r>
      <w:r>
        <w:rPr>
          <w:sz w:val="24"/>
        </w:rPr>
        <w:t>年</w:t>
      </w:r>
      <w:r>
        <w:rPr>
          <w:sz w:val="24"/>
        </w:rPr>
        <w:t>5</w:t>
      </w:r>
      <w:r>
        <w:rPr>
          <w:sz w:val="24"/>
        </w:rPr>
        <w:t>月</w:t>
      </w:r>
      <w:r>
        <w:rPr>
          <w:rFonts w:hint="eastAsia"/>
          <w:sz w:val="24"/>
        </w:rPr>
        <w:t>1</w:t>
      </w:r>
      <w:r>
        <w:rPr>
          <w:sz w:val="24"/>
        </w:rPr>
        <w:t>日</w:t>
      </w:r>
      <w:bookmarkEnd w:id="0"/>
      <w:bookmarkEnd w:id="1"/>
      <w:bookmarkEnd w:id="2"/>
      <w:bookmarkEnd w:id="3"/>
    </w:p>
    <w:p w:rsidR="0016189C" w:rsidRDefault="0016189C">
      <w:pPr>
        <w:pStyle w:val="af"/>
        <w:adjustRightInd w:val="0"/>
        <w:snapToGrid w:val="0"/>
        <w:spacing w:line="460" w:lineRule="exact"/>
        <w:ind w:right="240" w:firstLineChars="1500" w:firstLine="3600"/>
        <w:jc w:val="right"/>
        <w:rPr>
          <w:sz w:val="24"/>
        </w:rPr>
      </w:pPr>
    </w:p>
    <w:p w:rsidR="0016189C" w:rsidRDefault="00B34D58">
      <w:pPr>
        <w:widowControl/>
        <w:jc w:val="left"/>
        <w:rPr>
          <w:b/>
          <w:sz w:val="24"/>
        </w:rPr>
      </w:pPr>
      <w:r>
        <w:rPr>
          <w:b/>
          <w:sz w:val="24"/>
        </w:rPr>
        <w:br w:type="page"/>
      </w:r>
    </w:p>
    <w:p w:rsidR="0016189C" w:rsidRDefault="00B34D58">
      <w:pPr>
        <w:adjustRightInd w:val="0"/>
        <w:snapToGrid w:val="0"/>
        <w:spacing w:line="460" w:lineRule="exact"/>
        <w:ind w:right="240" w:firstLine="480"/>
        <w:jc w:val="left"/>
        <w:rPr>
          <w:b/>
          <w:sz w:val="24"/>
        </w:rPr>
      </w:pPr>
      <w:r>
        <w:rPr>
          <w:b/>
          <w:sz w:val="24"/>
        </w:rPr>
        <w:t>附：业绩比较基准调整原因及合理性说明</w:t>
      </w:r>
    </w:p>
    <w:p w:rsidR="0016189C" w:rsidRDefault="0016189C">
      <w:pPr>
        <w:spacing w:line="360" w:lineRule="auto"/>
        <w:ind w:firstLineChars="200" w:firstLine="480"/>
        <w:outlineLvl w:val="1"/>
        <w:rPr>
          <w:kern w:val="0"/>
          <w:sz w:val="24"/>
        </w:rPr>
      </w:pPr>
    </w:p>
    <w:p w:rsidR="0016189C" w:rsidRDefault="00B34D58">
      <w:pPr>
        <w:spacing w:line="360" w:lineRule="auto"/>
        <w:ind w:firstLineChars="200" w:firstLine="480"/>
        <w:outlineLvl w:val="1"/>
        <w:rPr>
          <w:kern w:val="0"/>
          <w:sz w:val="24"/>
        </w:rPr>
      </w:pPr>
      <w:r>
        <w:rPr>
          <w:kern w:val="0"/>
          <w:sz w:val="24"/>
        </w:rPr>
        <w:t>1</w:t>
      </w:r>
      <w:r>
        <w:rPr>
          <w:kern w:val="0"/>
          <w:sz w:val="24"/>
        </w:rPr>
        <w:t>、易方达稳健增利混合型证券投资基金</w:t>
      </w:r>
    </w:p>
    <w:p w:rsidR="0016189C" w:rsidRDefault="00B34D58">
      <w:pPr>
        <w:spacing w:line="360" w:lineRule="auto"/>
        <w:ind w:firstLineChars="200" w:firstLine="480"/>
        <w:rPr>
          <w:kern w:val="0"/>
          <w:sz w:val="24"/>
        </w:rPr>
      </w:pPr>
      <w:r>
        <w:rPr>
          <w:kern w:val="0"/>
          <w:sz w:val="24"/>
        </w:rPr>
        <w:t>（</w:t>
      </w:r>
      <w:r>
        <w:rPr>
          <w:kern w:val="0"/>
          <w:sz w:val="24"/>
        </w:rPr>
        <w:t>1</w:t>
      </w:r>
      <w:r>
        <w:rPr>
          <w:kern w:val="0"/>
          <w:sz w:val="24"/>
        </w:rPr>
        <w:t>）</w:t>
      </w:r>
      <w:r>
        <w:rPr>
          <w:b/>
          <w:kern w:val="0"/>
          <w:sz w:val="24"/>
        </w:rPr>
        <w:t>当前业绩比较基准：</w:t>
      </w:r>
      <w:r>
        <w:rPr>
          <w:kern w:val="0"/>
          <w:sz w:val="24"/>
        </w:rPr>
        <w:t>沪深</w:t>
      </w:r>
      <w:r>
        <w:rPr>
          <w:kern w:val="0"/>
          <w:sz w:val="24"/>
        </w:rPr>
        <w:t>300</w:t>
      </w:r>
      <w:r>
        <w:rPr>
          <w:kern w:val="0"/>
          <w:sz w:val="24"/>
        </w:rPr>
        <w:t>指数收益率</w:t>
      </w:r>
      <w:r>
        <w:rPr>
          <w:kern w:val="0"/>
          <w:sz w:val="24"/>
        </w:rPr>
        <w:t>×35%+</w:t>
      </w:r>
      <w:r>
        <w:rPr>
          <w:kern w:val="0"/>
          <w:sz w:val="24"/>
        </w:rPr>
        <w:t>中证港股通综合指数收益率</w:t>
      </w:r>
      <w:r>
        <w:rPr>
          <w:kern w:val="0"/>
          <w:sz w:val="24"/>
        </w:rPr>
        <w:t>×5%+</w:t>
      </w:r>
      <w:r>
        <w:rPr>
          <w:kern w:val="0"/>
          <w:sz w:val="24"/>
        </w:rPr>
        <w:t>中债总指数收益率</w:t>
      </w:r>
      <w:r>
        <w:rPr>
          <w:kern w:val="0"/>
          <w:sz w:val="24"/>
        </w:rPr>
        <w:t>×60%</w:t>
      </w:r>
    </w:p>
    <w:p w:rsidR="0016189C" w:rsidRDefault="00B34D58" w:rsidP="00B34D58">
      <w:pPr>
        <w:spacing w:line="360" w:lineRule="auto"/>
        <w:ind w:firstLineChars="200" w:firstLine="482"/>
        <w:rPr>
          <w:kern w:val="0"/>
          <w:sz w:val="24"/>
        </w:rPr>
      </w:pPr>
      <w:r>
        <w:rPr>
          <w:b/>
          <w:kern w:val="0"/>
          <w:sz w:val="24"/>
        </w:rPr>
        <w:t>调整后新业绩比较基准：</w:t>
      </w:r>
      <w:r>
        <w:rPr>
          <w:kern w:val="0"/>
          <w:sz w:val="24"/>
        </w:rPr>
        <w:t>中证</w:t>
      </w:r>
      <w:r>
        <w:rPr>
          <w:kern w:val="0"/>
          <w:sz w:val="24"/>
        </w:rPr>
        <w:t>800</w:t>
      </w:r>
      <w:r>
        <w:rPr>
          <w:kern w:val="0"/>
          <w:sz w:val="24"/>
        </w:rPr>
        <w:t>指数收益率</w:t>
      </w:r>
      <w:r>
        <w:rPr>
          <w:kern w:val="0"/>
          <w:sz w:val="24"/>
        </w:rPr>
        <w:t>×35%+</w:t>
      </w:r>
      <w:r>
        <w:rPr>
          <w:kern w:val="0"/>
          <w:sz w:val="24"/>
        </w:rPr>
        <w:t>中证港股通综合指数（人民币）收益率</w:t>
      </w:r>
      <w:r>
        <w:rPr>
          <w:kern w:val="0"/>
          <w:sz w:val="24"/>
        </w:rPr>
        <w:t>×15%+</w:t>
      </w:r>
      <w:r>
        <w:rPr>
          <w:rFonts w:hint="eastAsia"/>
          <w:kern w:val="0"/>
          <w:sz w:val="24"/>
        </w:rPr>
        <w:t>中债</w:t>
      </w:r>
      <w:r>
        <w:rPr>
          <w:kern w:val="0"/>
          <w:sz w:val="24"/>
        </w:rPr>
        <w:t>-</w:t>
      </w:r>
      <w:r>
        <w:rPr>
          <w:kern w:val="0"/>
          <w:sz w:val="24"/>
        </w:rPr>
        <w:t>总全价（总值）指数收益率</w:t>
      </w:r>
      <w:r>
        <w:rPr>
          <w:kern w:val="0"/>
          <w:sz w:val="24"/>
        </w:rPr>
        <w:t>×45%+</w:t>
      </w:r>
      <w:r>
        <w:rPr>
          <w:kern w:val="0"/>
          <w:sz w:val="24"/>
        </w:rPr>
        <w:t>活期存款基准利率</w:t>
      </w:r>
      <w:r>
        <w:rPr>
          <w:kern w:val="0"/>
          <w:sz w:val="24"/>
        </w:rPr>
        <w:t>×5%</w:t>
      </w:r>
    </w:p>
    <w:p w:rsidR="0016189C" w:rsidRDefault="00B34D58">
      <w:pPr>
        <w:spacing w:line="360" w:lineRule="auto"/>
        <w:ind w:firstLineChars="200" w:firstLine="480"/>
        <w:rPr>
          <w:b/>
          <w:kern w:val="0"/>
          <w:sz w:val="24"/>
        </w:rPr>
      </w:pPr>
      <w:r>
        <w:rPr>
          <w:kern w:val="0"/>
          <w:sz w:val="24"/>
        </w:rPr>
        <w:t>（</w:t>
      </w:r>
      <w:r>
        <w:rPr>
          <w:kern w:val="0"/>
          <w:sz w:val="24"/>
        </w:rPr>
        <w:t>2</w:t>
      </w:r>
      <w:r>
        <w:rPr>
          <w:kern w:val="0"/>
          <w:sz w:val="24"/>
        </w:rPr>
        <w:t>）</w:t>
      </w:r>
      <w:r>
        <w:rPr>
          <w:b/>
          <w:kern w:val="0"/>
          <w:sz w:val="24"/>
        </w:rPr>
        <w:t>新的业绩比较基准选择原因、差异及影响：</w:t>
      </w:r>
    </w:p>
    <w:p w:rsidR="0016189C" w:rsidRDefault="00B34D58">
      <w:pPr>
        <w:spacing w:line="360" w:lineRule="auto"/>
        <w:ind w:firstLineChars="200" w:firstLine="480"/>
        <w:rPr>
          <w:kern w:val="0"/>
          <w:sz w:val="24"/>
          <w:szCs w:val="22"/>
        </w:rPr>
      </w:pPr>
      <w:r>
        <w:rPr>
          <w:kern w:val="0"/>
          <w:sz w:val="24"/>
          <w:szCs w:val="22"/>
        </w:rPr>
        <w:t>此次本基金业绩比较基准调整同时涉及基准指数、基准要素权重调整，并按照要求对业绩比较基准表述进行了规范。</w:t>
      </w:r>
    </w:p>
    <w:p w:rsidR="0016189C" w:rsidRDefault="00B34D58">
      <w:pPr>
        <w:spacing w:line="360" w:lineRule="auto"/>
        <w:ind w:firstLineChars="200" w:firstLine="480"/>
        <w:rPr>
          <w:kern w:val="0"/>
          <w:sz w:val="24"/>
        </w:rPr>
      </w:pPr>
      <w:r>
        <w:rPr>
          <w:kern w:val="0"/>
          <w:sz w:val="24"/>
        </w:rPr>
        <w:t>基于本基金的投资目标、投资范围和投资策略，本基金的股票资产采用全市场选股策略，主要投资于竞争格局良好、景气度较高且具有可持续性、相对估值水平合理的行业，并在拟配置的行业内部结合定量和定性分析，进行股票组合的构建。经审慎评估，综合考虑基准指数与产品定位和投资风格的匹配度，同时兼顾考虑基准指数的表征性、认可度，以及指数市值覆盖、行业与个股分布等，将股票资产中的</w:t>
      </w:r>
      <w:r>
        <w:rPr>
          <w:kern w:val="0"/>
          <w:sz w:val="24"/>
        </w:rPr>
        <w:t>A</w:t>
      </w:r>
      <w:r>
        <w:rPr>
          <w:kern w:val="0"/>
          <w:sz w:val="24"/>
        </w:rPr>
        <w:t>股股票部分所对应的基准指数从沪深</w:t>
      </w:r>
      <w:r>
        <w:rPr>
          <w:kern w:val="0"/>
          <w:sz w:val="24"/>
        </w:rPr>
        <w:t>300</w:t>
      </w:r>
      <w:r>
        <w:rPr>
          <w:kern w:val="0"/>
          <w:sz w:val="24"/>
        </w:rPr>
        <w:t>指数调整为中证</w:t>
      </w:r>
      <w:r>
        <w:rPr>
          <w:kern w:val="0"/>
          <w:sz w:val="24"/>
        </w:rPr>
        <w:t>800</w:t>
      </w:r>
      <w:r>
        <w:rPr>
          <w:kern w:val="0"/>
          <w:sz w:val="24"/>
        </w:rPr>
        <w:t>指数。此外，基于本基金近年来港股通股票资产的平均仓位，同时考虑到基金合同约定本基金需保持不低于</w:t>
      </w:r>
      <w:r>
        <w:rPr>
          <w:kern w:val="0"/>
          <w:sz w:val="24"/>
        </w:rPr>
        <w:t>基金资产净值</w:t>
      </w:r>
      <w:r>
        <w:rPr>
          <w:kern w:val="0"/>
          <w:sz w:val="24"/>
        </w:rPr>
        <w:t>5</w:t>
      </w:r>
      <w:r>
        <w:rPr>
          <w:sz w:val="24"/>
          <w:lang/>
        </w:rPr>
        <w:t>%</w:t>
      </w:r>
      <w:r>
        <w:rPr>
          <w:kern w:val="0"/>
          <w:sz w:val="24"/>
        </w:rPr>
        <w:t>的现金或者到期日在一年以内的政府债券，并结合基金合同约定的其他投资比例限制和产品定位，将业绩比较基准中的港股</w:t>
      </w:r>
      <w:r>
        <w:rPr>
          <w:rFonts w:hint="eastAsia"/>
          <w:kern w:val="0"/>
          <w:sz w:val="24"/>
        </w:rPr>
        <w:t>通</w:t>
      </w:r>
      <w:r>
        <w:rPr>
          <w:kern w:val="0"/>
          <w:sz w:val="24"/>
        </w:rPr>
        <w:t>股票部分所对应的基准要素权重从</w:t>
      </w:r>
      <w:r>
        <w:rPr>
          <w:kern w:val="0"/>
          <w:sz w:val="24"/>
        </w:rPr>
        <w:t>5%</w:t>
      </w:r>
      <w:r>
        <w:rPr>
          <w:kern w:val="0"/>
          <w:sz w:val="24"/>
        </w:rPr>
        <w:t>提高至</w:t>
      </w:r>
      <w:r>
        <w:rPr>
          <w:kern w:val="0"/>
          <w:sz w:val="24"/>
        </w:rPr>
        <w:t>15%</w:t>
      </w:r>
      <w:r>
        <w:rPr>
          <w:kern w:val="0"/>
          <w:sz w:val="24"/>
        </w:rPr>
        <w:t>，并将债券资产所对应的基准要素权重从</w:t>
      </w:r>
      <w:r>
        <w:rPr>
          <w:kern w:val="0"/>
          <w:sz w:val="24"/>
        </w:rPr>
        <w:t>60%</w:t>
      </w:r>
      <w:r>
        <w:rPr>
          <w:kern w:val="0"/>
          <w:sz w:val="24"/>
        </w:rPr>
        <w:t>调低至</w:t>
      </w:r>
      <w:r>
        <w:rPr>
          <w:kern w:val="0"/>
          <w:sz w:val="24"/>
        </w:rPr>
        <w:t>45%</w:t>
      </w:r>
      <w:r>
        <w:rPr>
          <w:kern w:val="0"/>
          <w:sz w:val="24"/>
        </w:rPr>
        <w:t>，同时</w:t>
      </w:r>
      <w:r>
        <w:rPr>
          <w:rFonts w:hint="eastAsia"/>
          <w:kern w:val="0"/>
          <w:sz w:val="24"/>
        </w:rPr>
        <w:t>基准要素</w:t>
      </w:r>
      <w:r>
        <w:rPr>
          <w:kern w:val="0"/>
          <w:sz w:val="24"/>
        </w:rPr>
        <w:t>增加</w:t>
      </w:r>
      <w:r>
        <w:rPr>
          <w:kern w:val="0"/>
          <w:sz w:val="24"/>
        </w:rPr>
        <w:t>5%</w:t>
      </w:r>
      <w:r>
        <w:rPr>
          <w:kern w:val="0"/>
          <w:sz w:val="24"/>
        </w:rPr>
        <w:t>的现金类资产，从而使得新业绩比较基准中各大资产类别所对应的基准要素权重与基金过往实际投资运作等相匹配。</w:t>
      </w:r>
    </w:p>
    <w:p w:rsidR="0016189C" w:rsidRDefault="00B34D58">
      <w:pPr>
        <w:spacing w:line="360" w:lineRule="auto"/>
        <w:ind w:firstLineChars="200" w:firstLine="480"/>
        <w:rPr>
          <w:kern w:val="0"/>
          <w:sz w:val="24"/>
        </w:rPr>
      </w:pPr>
      <w:r>
        <w:rPr>
          <w:kern w:val="0"/>
          <w:sz w:val="24"/>
        </w:rPr>
        <w:t>原业绩比较基准中，</w:t>
      </w:r>
      <w:r>
        <w:rPr>
          <w:kern w:val="0"/>
          <w:sz w:val="24"/>
          <w:szCs w:val="22"/>
        </w:rPr>
        <w:t>沪深</w:t>
      </w:r>
      <w:r>
        <w:rPr>
          <w:kern w:val="0"/>
          <w:sz w:val="24"/>
          <w:szCs w:val="22"/>
        </w:rPr>
        <w:t>300</w:t>
      </w:r>
      <w:r>
        <w:rPr>
          <w:kern w:val="0"/>
          <w:sz w:val="24"/>
          <w:szCs w:val="22"/>
        </w:rPr>
        <w:t>指数（指数代码</w:t>
      </w:r>
      <w:r>
        <w:rPr>
          <w:kern w:val="0"/>
          <w:sz w:val="24"/>
          <w:szCs w:val="22"/>
        </w:rPr>
        <w:t>000300</w:t>
      </w:r>
      <w:r>
        <w:rPr>
          <w:kern w:val="0"/>
          <w:sz w:val="24"/>
          <w:szCs w:val="22"/>
        </w:rPr>
        <w:t>）由沪深市场中规模大、流动性好的最具代表性的</w:t>
      </w:r>
      <w:r>
        <w:rPr>
          <w:kern w:val="0"/>
          <w:sz w:val="24"/>
          <w:szCs w:val="22"/>
        </w:rPr>
        <w:t>300</w:t>
      </w:r>
      <w:r>
        <w:rPr>
          <w:kern w:val="0"/>
          <w:sz w:val="24"/>
          <w:szCs w:val="22"/>
        </w:rPr>
        <w:t>只证券组成，以反映沪深市场上市公司证券的整体表现</w:t>
      </w:r>
      <w:r>
        <w:rPr>
          <w:kern w:val="0"/>
          <w:sz w:val="24"/>
        </w:rPr>
        <w:t>；调整后</w:t>
      </w:r>
      <w:r>
        <w:rPr>
          <w:kern w:val="0"/>
          <w:sz w:val="24"/>
        </w:rPr>
        <w:t>的新业绩比较基准中，中证</w:t>
      </w:r>
      <w:r>
        <w:rPr>
          <w:kern w:val="0"/>
          <w:sz w:val="24"/>
        </w:rPr>
        <w:t>800</w:t>
      </w:r>
      <w:r>
        <w:rPr>
          <w:kern w:val="0"/>
          <w:sz w:val="24"/>
        </w:rPr>
        <w:t>指数（指数代码</w:t>
      </w:r>
      <w:r>
        <w:rPr>
          <w:kern w:val="0"/>
          <w:sz w:val="24"/>
        </w:rPr>
        <w:t>000906</w:t>
      </w:r>
      <w:r>
        <w:rPr>
          <w:kern w:val="0"/>
          <w:sz w:val="24"/>
        </w:rPr>
        <w:t>）由沪深市场市值较大、流动性较好的</w:t>
      </w:r>
      <w:r>
        <w:rPr>
          <w:kern w:val="0"/>
          <w:sz w:val="24"/>
        </w:rPr>
        <w:t>800</w:t>
      </w:r>
      <w:r>
        <w:rPr>
          <w:kern w:val="0"/>
          <w:sz w:val="24"/>
        </w:rPr>
        <w:t>只股票构成，反映沪深市场大中盘上市公司证券的整体表现，调整后的中证</w:t>
      </w:r>
      <w:r>
        <w:rPr>
          <w:kern w:val="0"/>
          <w:sz w:val="24"/>
        </w:rPr>
        <w:t>800</w:t>
      </w:r>
      <w:r>
        <w:rPr>
          <w:kern w:val="0"/>
          <w:sz w:val="24"/>
        </w:rPr>
        <w:t>指数与基金实际持股风格更为匹配，从而能够更好反映本基金的产品定位和投资风格。此外，调整后的新业绩比较基准中活期存款基准利率具有较强的权威性和市场影响力，适合作为本基金现金类资产的业绩比较基准要素。</w:t>
      </w:r>
    </w:p>
    <w:p w:rsidR="0016189C" w:rsidRDefault="00B34D58">
      <w:pPr>
        <w:spacing w:line="360" w:lineRule="auto"/>
        <w:ind w:firstLineChars="200" w:firstLine="480"/>
        <w:rPr>
          <w:kern w:val="0"/>
          <w:sz w:val="24"/>
        </w:rPr>
      </w:pPr>
      <w:r>
        <w:rPr>
          <w:kern w:val="0"/>
          <w:sz w:val="24"/>
        </w:rPr>
        <w:t>上述调整对本基金投资运作、基金份额持有人利益无实质性不利影响。</w:t>
      </w:r>
    </w:p>
    <w:p w:rsidR="0016189C" w:rsidRDefault="0016189C">
      <w:pPr>
        <w:spacing w:line="360" w:lineRule="auto"/>
        <w:ind w:firstLineChars="200" w:firstLine="480"/>
        <w:rPr>
          <w:kern w:val="0"/>
          <w:sz w:val="24"/>
        </w:rPr>
      </w:pPr>
    </w:p>
    <w:p w:rsidR="0016189C" w:rsidRDefault="00B34D58">
      <w:pPr>
        <w:spacing w:line="360" w:lineRule="auto"/>
        <w:ind w:firstLineChars="200" w:firstLine="480"/>
        <w:outlineLvl w:val="1"/>
        <w:rPr>
          <w:kern w:val="0"/>
          <w:sz w:val="24"/>
        </w:rPr>
      </w:pPr>
      <w:r>
        <w:rPr>
          <w:kern w:val="0"/>
          <w:sz w:val="24"/>
        </w:rPr>
        <w:t>2</w:t>
      </w:r>
      <w:r>
        <w:rPr>
          <w:kern w:val="0"/>
          <w:sz w:val="24"/>
        </w:rPr>
        <w:t>、易方达新益灵活配置混合型证券投资基金</w:t>
      </w:r>
    </w:p>
    <w:p w:rsidR="0016189C" w:rsidRDefault="00B34D58">
      <w:pPr>
        <w:spacing w:line="360" w:lineRule="auto"/>
        <w:ind w:firstLineChars="200" w:firstLine="480"/>
        <w:rPr>
          <w:kern w:val="0"/>
          <w:sz w:val="24"/>
        </w:rPr>
      </w:pPr>
      <w:r>
        <w:rPr>
          <w:kern w:val="0"/>
          <w:sz w:val="24"/>
        </w:rPr>
        <w:t>（</w:t>
      </w:r>
      <w:r>
        <w:rPr>
          <w:kern w:val="0"/>
          <w:sz w:val="24"/>
        </w:rPr>
        <w:t>1</w:t>
      </w:r>
      <w:r>
        <w:rPr>
          <w:kern w:val="0"/>
          <w:sz w:val="24"/>
        </w:rPr>
        <w:t>）</w:t>
      </w:r>
      <w:r>
        <w:rPr>
          <w:b/>
          <w:kern w:val="0"/>
          <w:sz w:val="24"/>
        </w:rPr>
        <w:t>当前业绩比较基准：</w:t>
      </w:r>
      <w:r>
        <w:rPr>
          <w:kern w:val="0"/>
          <w:sz w:val="24"/>
        </w:rPr>
        <w:t>中债</w:t>
      </w:r>
      <w:r>
        <w:rPr>
          <w:kern w:val="0"/>
          <w:sz w:val="24"/>
        </w:rPr>
        <w:t>-</w:t>
      </w:r>
      <w:r>
        <w:rPr>
          <w:kern w:val="0"/>
          <w:sz w:val="24"/>
        </w:rPr>
        <w:t>优选投资</w:t>
      </w:r>
      <w:r>
        <w:rPr>
          <w:kern w:val="0"/>
          <w:sz w:val="24"/>
        </w:rPr>
        <w:t>级信用债财富指数收益率</w:t>
      </w:r>
      <w:r>
        <w:rPr>
          <w:kern w:val="0"/>
          <w:sz w:val="24"/>
        </w:rPr>
        <w:t>×80%+</w:t>
      </w:r>
      <w:r>
        <w:rPr>
          <w:kern w:val="0"/>
          <w:sz w:val="24"/>
        </w:rPr>
        <w:t>沪深</w:t>
      </w:r>
      <w:r>
        <w:rPr>
          <w:kern w:val="0"/>
          <w:sz w:val="24"/>
        </w:rPr>
        <w:t>300</w:t>
      </w:r>
      <w:r>
        <w:rPr>
          <w:kern w:val="0"/>
          <w:sz w:val="24"/>
        </w:rPr>
        <w:t>指数收益率</w:t>
      </w:r>
      <w:r>
        <w:rPr>
          <w:kern w:val="0"/>
          <w:sz w:val="24"/>
        </w:rPr>
        <w:t>×20%</w:t>
      </w:r>
    </w:p>
    <w:p w:rsidR="0016189C" w:rsidRDefault="00B34D58" w:rsidP="00B34D58">
      <w:pPr>
        <w:spacing w:line="360" w:lineRule="auto"/>
        <w:ind w:firstLineChars="200" w:firstLine="482"/>
        <w:rPr>
          <w:kern w:val="0"/>
          <w:sz w:val="24"/>
        </w:rPr>
      </w:pPr>
      <w:r>
        <w:rPr>
          <w:b/>
          <w:kern w:val="0"/>
          <w:sz w:val="24"/>
        </w:rPr>
        <w:t>调整后新业绩比较基准：</w:t>
      </w:r>
      <w:r>
        <w:rPr>
          <w:kern w:val="0"/>
          <w:sz w:val="24"/>
        </w:rPr>
        <w:t>中证</w:t>
      </w:r>
      <w:r>
        <w:rPr>
          <w:kern w:val="0"/>
          <w:sz w:val="24"/>
        </w:rPr>
        <w:t>800</w:t>
      </w:r>
      <w:r>
        <w:rPr>
          <w:kern w:val="0"/>
          <w:sz w:val="24"/>
        </w:rPr>
        <w:t>指数收益率</w:t>
      </w:r>
      <w:r>
        <w:rPr>
          <w:kern w:val="0"/>
          <w:sz w:val="24"/>
        </w:rPr>
        <w:t>×55%+</w:t>
      </w:r>
      <w:r>
        <w:rPr>
          <w:kern w:val="0"/>
          <w:sz w:val="24"/>
        </w:rPr>
        <w:t>中债</w:t>
      </w:r>
      <w:r>
        <w:rPr>
          <w:kern w:val="0"/>
          <w:sz w:val="24"/>
        </w:rPr>
        <w:t>-</w:t>
      </w:r>
      <w:r>
        <w:rPr>
          <w:kern w:val="0"/>
          <w:sz w:val="24"/>
        </w:rPr>
        <w:t>新综合财富（总值）指数收益率</w:t>
      </w:r>
      <w:r>
        <w:rPr>
          <w:kern w:val="0"/>
          <w:sz w:val="24"/>
        </w:rPr>
        <w:t>×40%+</w:t>
      </w:r>
      <w:r>
        <w:rPr>
          <w:kern w:val="0"/>
          <w:sz w:val="24"/>
        </w:rPr>
        <w:t>活期存款基准利率</w:t>
      </w:r>
      <w:r>
        <w:rPr>
          <w:kern w:val="0"/>
          <w:sz w:val="24"/>
        </w:rPr>
        <w:t>×5%</w:t>
      </w:r>
    </w:p>
    <w:p w:rsidR="0016189C" w:rsidRDefault="00B34D58">
      <w:pPr>
        <w:spacing w:line="360" w:lineRule="auto"/>
        <w:ind w:firstLineChars="200" w:firstLine="480"/>
        <w:rPr>
          <w:b/>
          <w:kern w:val="0"/>
          <w:sz w:val="24"/>
        </w:rPr>
      </w:pPr>
      <w:r>
        <w:rPr>
          <w:kern w:val="0"/>
          <w:sz w:val="24"/>
        </w:rPr>
        <w:t>（</w:t>
      </w:r>
      <w:r>
        <w:rPr>
          <w:kern w:val="0"/>
          <w:sz w:val="24"/>
        </w:rPr>
        <w:t>2</w:t>
      </w:r>
      <w:r>
        <w:rPr>
          <w:kern w:val="0"/>
          <w:sz w:val="24"/>
        </w:rPr>
        <w:t>）</w:t>
      </w:r>
      <w:r>
        <w:rPr>
          <w:b/>
          <w:kern w:val="0"/>
          <w:sz w:val="24"/>
        </w:rPr>
        <w:t>新的业绩比较基准选择原因、差异及影响：</w:t>
      </w:r>
    </w:p>
    <w:p w:rsidR="0016189C" w:rsidRDefault="00B34D58">
      <w:pPr>
        <w:spacing w:line="360" w:lineRule="auto"/>
        <w:ind w:firstLineChars="200" w:firstLine="480"/>
        <w:rPr>
          <w:kern w:val="0"/>
          <w:sz w:val="24"/>
          <w:szCs w:val="22"/>
        </w:rPr>
      </w:pPr>
      <w:r>
        <w:rPr>
          <w:kern w:val="0"/>
          <w:sz w:val="24"/>
          <w:szCs w:val="22"/>
        </w:rPr>
        <w:t>此次本基金业绩比较基准调整同时涉及基准指数、基准要素权重调整。</w:t>
      </w:r>
    </w:p>
    <w:p w:rsidR="0016189C" w:rsidRDefault="00B34D58">
      <w:pPr>
        <w:spacing w:line="360" w:lineRule="auto"/>
        <w:ind w:firstLineChars="200" w:firstLine="480"/>
        <w:rPr>
          <w:kern w:val="0"/>
          <w:sz w:val="24"/>
        </w:rPr>
      </w:pPr>
      <w:r>
        <w:rPr>
          <w:kern w:val="0"/>
          <w:sz w:val="24"/>
        </w:rPr>
        <w:t>基于本基金的投资目标、投资范围和投资策略，本基金的股票资产采用全市场选股策略，通过行业分析、公司基本面分析及估值水平分析等，进行股票组合的构建；本基金的债券资产主要通过类属配置与券种选择两个层次进行投资管理，预计将覆盖不同类型券种。经审慎评估，综合考虑基准指数与产品定位和投资风格的匹配度，同时兼顾考虑基准指数的表征性、认可度，以及股票指数的市值覆盖、行业与个股分布和债券指数的券种、评级、剩余期限等，将股票资产所对应的基准指数从沪深</w:t>
      </w:r>
      <w:r>
        <w:rPr>
          <w:kern w:val="0"/>
          <w:sz w:val="24"/>
        </w:rPr>
        <w:t>300</w:t>
      </w:r>
      <w:r>
        <w:rPr>
          <w:kern w:val="0"/>
          <w:sz w:val="24"/>
        </w:rPr>
        <w:t>指数调整为中证</w:t>
      </w:r>
      <w:r>
        <w:rPr>
          <w:kern w:val="0"/>
          <w:sz w:val="24"/>
        </w:rPr>
        <w:t>800</w:t>
      </w:r>
      <w:r>
        <w:rPr>
          <w:kern w:val="0"/>
          <w:sz w:val="24"/>
        </w:rPr>
        <w:t>指数，将债券资产所对应的基准指数从中债</w:t>
      </w:r>
      <w:r>
        <w:rPr>
          <w:kern w:val="0"/>
          <w:sz w:val="24"/>
        </w:rPr>
        <w:t>-</w:t>
      </w:r>
      <w:r>
        <w:rPr>
          <w:kern w:val="0"/>
          <w:sz w:val="24"/>
        </w:rPr>
        <w:t>优选投资级信</w:t>
      </w:r>
      <w:r>
        <w:rPr>
          <w:kern w:val="0"/>
          <w:sz w:val="24"/>
        </w:rPr>
        <w:t>用债财富指数调整为中债</w:t>
      </w:r>
      <w:r>
        <w:rPr>
          <w:kern w:val="0"/>
          <w:sz w:val="24"/>
        </w:rPr>
        <w:t>-</w:t>
      </w:r>
      <w:r>
        <w:rPr>
          <w:kern w:val="0"/>
          <w:sz w:val="24"/>
        </w:rPr>
        <w:t>新综合财富（总值）指数。此外，基于本基金的长期产品定位和投资策略，同时考虑到基金合同约定本基金需保持不低于基金资产净值</w:t>
      </w:r>
      <w:r>
        <w:rPr>
          <w:kern w:val="0"/>
          <w:sz w:val="24"/>
        </w:rPr>
        <w:t>5</w:t>
      </w:r>
      <w:r>
        <w:rPr>
          <w:sz w:val="24"/>
          <w:lang/>
        </w:rPr>
        <w:t>%</w:t>
      </w:r>
      <w:r>
        <w:rPr>
          <w:kern w:val="0"/>
          <w:sz w:val="24"/>
        </w:rPr>
        <w:t>的现金或者到期日在一年以内的政府债券，并结合基金合同约定的其他投资比例限制，将业绩比较基准中的股票资产所对应的基准要素权重从</w:t>
      </w:r>
      <w:r>
        <w:rPr>
          <w:kern w:val="0"/>
          <w:sz w:val="24"/>
        </w:rPr>
        <w:t>20%</w:t>
      </w:r>
      <w:r>
        <w:rPr>
          <w:kern w:val="0"/>
          <w:sz w:val="24"/>
        </w:rPr>
        <w:t>提高至</w:t>
      </w:r>
      <w:r>
        <w:rPr>
          <w:kern w:val="0"/>
          <w:sz w:val="24"/>
        </w:rPr>
        <w:t>55%</w:t>
      </w:r>
      <w:r>
        <w:rPr>
          <w:kern w:val="0"/>
          <w:sz w:val="24"/>
        </w:rPr>
        <w:t>，同时</w:t>
      </w:r>
      <w:r>
        <w:rPr>
          <w:rFonts w:hint="eastAsia"/>
          <w:kern w:val="0"/>
          <w:sz w:val="24"/>
        </w:rPr>
        <w:t>基准要素</w:t>
      </w:r>
      <w:r>
        <w:rPr>
          <w:kern w:val="0"/>
          <w:sz w:val="24"/>
        </w:rPr>
        <w:t>增加</w:t>
      </w:r>
      <w:r>
        <w:rPr>
          <w:kern w:val="0"/>
          <w:sz w:val="24"/>
        </w:rPr>
        <w:t>5%</w:t>
      </w:r>
      <w:r>
        <w:rPr>
          <w:kern w:val="0"/>
          <w:sz w:val="24"/>
        </w:rPr>
        <w:t>的现金</w:t>
      </w:r>
      <w:r>
        <w:rPr>
          <w:rFonts w:hint="eastAsia"/>
          <w:kern w:val="0"/>
          <w:sz w:val="24"/>
        </w:rPr>
        <w:t>类</w:t>
      </w:r>
      <w:r>
        <w:rPr>
          <w:kern w:val="0"/>
          <w:sz w:val="24"/>
        </w:rPr>
        <w:t>资产，从而使得新业绩比较基准中各大资产类别所对应的基准要素权重与</w:t>
      </w:r>
      <w:r>
        <w:rPr>
          <w:rFonts w:hint="eastAsia"/>
          <w:kern w:val="0"/>
          <w:sz w:val="24"/>
        </w:rPr>
        <w:t>产品的长期定位</w:t>
      </w:r>
      <w:r>
        <w:rPr>
          <w:kern w:val="0"/>
          <w:sz w:val="24"/>
        </w:rPr>
        <w:t>相匹配。</w:t>
      </w:r>
    </w:p>
    <w:p w:rsidR="0016189C" w:rsidRDefault="00B34D58">
      <w:pPr>
        <w:spacing w:line="360" w:lineRule="auto"/>
        <w:ind w:firstLineChars="200" w:firstLine="480"/>
        <w:rPr>
          <w:kern w:val="0"/>
          <w:sz w:val="24"/>
          <w:szCs w:val="22"/>
        </w:rPr>
      </w:pPr>
      <w:r>
        <w:rPr>
          <w:kern w:val="0"/>
          <w:sz w:val="24"/>
          <w:szCs w:val="22"/>
        </w:rPr>
        <w:t>原业绩比较基准中，沪深</w:t>
      </w:r>
      <w:r>
        <w:rPr>
          <w:kern w:val="0"/>
          <w:sz w:val="24"/>
          <w:szCs w:val="22"/>
        </w:rPr>
        <w:t>300</w:t>
      </w:r>
      <w:r>
        <w:rPr>
          <w:kern w:val="0"/>
          <w:sz w:val="24"/>
          <w:szCs w:val="22"/>
        </w:rPr>
        <w:t>指数（指数代码</w:t>
      </w:r>
      <w:r>
        <w:rPr>
          <w:kern w:val="0"/>
          <w:sz w:val="24"/>
          <w:szCs w:val="22"/>
        </w:rPr>
        <w:t>000300</w:t>
      </w:r>
      <w:r>
        <w:rPr>
          <w:kern w:val="0"/>
          <w:sz w:val="24"/>
          <w:szCs w:val="22"/>
        </w:rPr>
        <w:t>）由沪深市场中规模大、流动性好的最具代表性的</w:t>
      </w:r>
      <w:r>
        <w:rPr>
          <w:kern w:val="0"/>
          <w:sz w:val="24"/>
          <w:szCs w:val="22"/>
        </w:rPr>
        <w:t>300</w:t>
      </w:r>
      <w:r>
        <w:rPr>
          <w:kern w:val="0"/>
          <w:sz w:val="24"/>
          <w:szCs w:val="22"/>
        </w:rPr>
        <w:t>只</w:t>
      </w:r>
      <w:r>
        <w:rPr>
          <w:kern w:val="0"/>
          <w:sz w:val="24"/>
          <w:szCs w:val="22"/>
        </w:rPr>
        <w:t>证券组成，以反映沪深市场上市公司证券的整体表现；中债</w:t>
      </w:r>
      <w:r>
        <w:rPr>
          <w:kern w:val="0"/>
          <w:sz w:val="24"/>
          <w:szCs w:val="22"/>
        </w:rPr>
        <w:t>-</w:t>
      </w:r>
      <w:r>
        <w:rPr>
          <w:kern w:val="0"/>
          <w:sz w:val="24"/>
          <w:szCs w:val="22"/>
        </w:rPr>
        <w:t>优选投资级信用债财富指数（指数代码</w:t>
      </w:r>
      <w:r>
        <w:rPr>
          <w:kern w:val="0"/>
          <w:sz w:val="24"/>
          <w:szCs w:val="22"/>
        </w:rPr>
        <w:t>CBA20901</w:t>
      </w:r>
      <w:r>
        <w:rPr>
          <w:kern w:val="0"/>
          <w:sz w:val="24"/>
          <w:szCs w:val="22"/>
        </w:rPr>
        <w:t>）选取境内公开发行且上市流通的中债市场隐含评级</w:t>
      </w:r>
      <w:r>
        <w:rPr>
          <w:kern w:val="0"/>
          <w:sz w:val="24"/>
          <w:szCs w:val="22"/>
        </w:rPr>
        <w:t>AA+</w:t>
      </w:r>
      <w:r>
        <w:rPr>
          <w:kern w:val="0"/>
          <w:sz w:val="24"/>
          <w:szCs w:val="22"/>
        </w:rPr>
        <w:t>及以上、主体评级</w:t>
      </w:r>
      <w:r>
        <w:rPr>
          <w:kern w:val="0"/>
          <w:sz w:val="24"/>
          <w:szCs w:val="22"/>
        </w:rPr>
        <w:t>AA+</w:t>
      </w:r>
      <w:r>
        <w:rPr>
          <w:kern w:val="0"/>
          <w:sz w:val="24"/>
          <w:szCs w:val="22"/>
        </w:rPr>
        <w:t>及以上的信用债作为样本，以反映该类债券的整体表现。调整后的新业绩比较基准中，中证</w:t>
      </w:r>
      <w:r>
        <w:rPr>
          <w:kern w:val="0"/>
          <w:sz w:val="24"/>
          <w:szCs w:val="22"/>
        </w:rPr>
        <w:t>800</w:t>
      </w:r>
      <w:r>
        <w:rPr>
          <w:kern w:val="0"/>
          <w:sz w:val="24"/>
          <w:szCs w:val="22"/>
        </w:rPr>
        <w:t>指数（指数代码</w:t>
      </w:r>
      <w:r>
        <w:rPr>
          <w:kern w:val="0"/>
          <w:sz w:val="24"/>
          <w:szCs w:val="22"/>
        </w:rPr>
        <w:t>000906</w:t>
      </w:r>
      <w:r>
        <w:rPr>
          <w:kern w:val="0"/>
          <w:sz w:val="24"/>
          <w:szCs w:val="22"/>
        </w:rPr>
        <w:t>）由沪深市场市值较大、流动性较好的</w:t>
      </w:r>
      <w:r>
        <w:rPr>
          <w:kern w:val="0"/>
          <w:sz w:val="24"/>
          <w:szCs w:val="22"/>
        </w:rPr>
        <w:t>800</w:t>
      </w:r>
      <w:r>
        <w:rPr>
          <w:kern w:val="0"/>
          <w:sz w:val="24"/>
          <w:szCs w:val="22"/>
        </w:rPr>
        <w:t>只股票构成，反映沪深市场大中盘上市公司证券的整体表现；中债</w:t>
      </w:r>
      <w:r>
        <w:rPr>
          <w:kern w:val="0"/>
          <w:sz w:val="24"/>
          <w:szCs w:val="22"/>
        </w:rPr>
        <w:t>-</w:t>
      </w:r>
      <w:r>
        <w:rPr>
          <w:kern w:val="0"/>
          <w:sz w:val="24"/>
          <w:szCs w:val="22"/>
        </w:rPr>
        <w:t>新综合财富（总值）指数（指数代码</w:t>
      </w:r>
      <w:r>
        <w:rPr>
          <w:kern w:val="0"/>
          <w:sz w:val="24"/>
          <w:szCs w:val="22"/>
        </w:rPr>
        <w:t>CBA00101</w:t>
      </w:r>
      <w:r>
        <w:rPr>
          <w:kern w:val="0"/>
          <w:sz w:val="24"/>
          <w:szCs w:val="22"/>
        </w:rPr>
        <w:t>）成份券包含除资产支持证券、美元债券、可转债以外的在境内公开发行且上市流通</w:t>
      </w:r>
      <w:r>
        <w:rPr>
          <w:kern w:val="0"/>
          <w:sz w:val="24"/>
          <w:szCs w:val="22"/>
        </w:rPr>
        <w:t>的债券，反映境内人民币债券市场价格走势情况。调整后的中证</w:t>
      </w:r>
      <w:r>
        <w:rPr>
          <w:kern w:val="0"/>
          <w:sz w:val="24"/>
          <w:szCs w:val="22"/>
        </w:rPr>
        <w:t>800</w:t>
      </w:r>
      <w:r>
        <w:rPr>
          <w:kern w:val="0"/>
          <w:sz w:val="24"/>
          <w:szCs w:val="22"/>
        </w:rPr>
        <w:t>指数与基金实际持股风格更为匹配，中债</w:t>
      </w:r>
      <w:r>
        <w:rPr>
          <w:kern w:val="0"/>
          <w:sz w:val="24"/>
          <w:szCs w:val="22"/>
        </w:rPr>
        <w:t>-</w:t>
      </w:r>
      <w:r>
        <w:rPr>
          <w:kern w:val="0"/>
          <w:sz w:val="24"/>
          <w:szCs w:val="22"/>
        </w:rPr>
        <w:t>新综合财富（总值）指数涵盖的券种更为广泛，与基金实际投资范围更为匹配，能够更好反映本基金的产品定位和投资风格。此外，调整后的新业绩比较基准中活期存款基准利率具有较强的权威性和市场影响力，适合作为本基金现金类资产的业绩比较基准要素。</w:t>
      </w:r>
    </w:p>
    <w:p w:rsidR="0016189C" w:rsidRDefault="00B34D58">
      <w:pPr>
        <w:spacing w:line="360" w:lineRule="auto"/>
        <w:ind w:firstLineChars="200" w:firstLine="480"/>
        <w:rPr>
          <w:kern w:val="0"/>
          <w:sz w:val="24"/>
        </w:rPr>
      </w:pPr>
      <w:r>
        <w:rPr>
          <w:kern w:val="0"/>
          <w:sz w:val="24"/>
        </w:rPr>
        <w:t>上述调整对本基金投资运作、基金份额持有人利益无实质性不利影响。</w:t>
      </w:r>
    </w:p>
    <w:p w:rsidR="0016189C" w:rsidRDefault="0016189C">
      <w:pPr>
        <w:spacing w:line="360" w:lineRule="auto"/>
        <w:ind w:firstLineChars="200" w:firstLine="480"/>
        <w:rPr>
          <w:kern w:val="0"/>
          <w:sz w:val="24"/>
          <w:szCs w:val="22"/>
        </w:rPr>
      </w:pPr>
    </w:p>
    <w:p w:rsidR="0016189C" w:rsidRDefault="00B34D58">
      <w:pPr>
        <w:spacing w:line="360" w:lineRule="auto"/>
        <w:ind w:firstLineChars="200" w:firstLine="480"/>
        <w:outlineLvl w:val="1"/>
        <w:rPr>
          <w:b/>
          <w:kern w:val="0"/>
          <w:sz w:val="24"/>
        </w:rPr>
      </w:pPr>
      <w:r>
        <w:rPr>
          <w:kern w:val="0"/>
          <w:sz w:val="24"/>
        </w:rPr>
        <w:t>3</w:t>
      </w:r>
      <w:r>
        <w:rPr>
          <w:kern w:val="0"/>
          <w:sz w:val="24"/>
        </w:rPr>
        <w:t>、易方达瑞康灵活配置混合型证券投资基金</w:t>
      </w:r>
    </w:p>
    <w:p w:rsidR="0016189C" w:rsidRDefault="00B34D58">
      <w:pPr>
        <w:spacing w:line="360" w:lineRule="auto"/>
        <w:ind w:firstLineChars="200" w:firstLine="480"/>
        <w:rPr>
          <w:kern w:val="0"/>
          <w:sz w:val="24"/>
        </w:rPr>
      </w:pPr>
      <w:r>
        <w:rPr>
          <w:kern w:val="0"/>
          <w:sz w:val="24"/>
        </w:rPr>
        <w:t>（</w:t>
      </w:r>
      <w:r>
        <w:rPr>
          <w:kern w:val="0"/>
          <w:sz w:val="24"/>
        </w:rPr>
        <w:t>1</w:t>
      </w:r>
      <w:r>
        <w:rPr>
          <w:kern w:val="0"/>
          <w:sz w:val="24"/>
        </w:rPr>
        <w:t>）</w:t>
      </w:r>
      <w:r>
        <w:rPr>
          <w:b/>
          <w:kern w:val="0"/>
          <w:sz w:val="24"/>
        </w:rPr>
        <w:t>当前业绩比较基准：</w:t>
      </w:r>
      <w:r>
        <w:rPr>
          <w:kern w:val="0"/>
          <w:sz w:val="24"/>
        </w:rPr>
        <w:t>中债新综合指数（财富）收益率</w:t>
      </w:r>
      <w:r>
        <w:rPr>
          <w:kern w:val="0"/>
          <w:sz w:val="24"/>
        </w:rPr>
        <w:t>×60%+</w:t>
      </w:r>
      <w:r>
        <w:rPr>
          <w:kern w:val="0"/>
          <w:sz w:val="24"/>
        </w:rPr>
        <w:t>沪深</w:t>
      </w:r>
      <w:r>
        <w:rPr>
          <w:kern w:val="0"/>
          <w:sz w:val="24"/>
        </w:rPr>
        <w:t>300</w:t>
      </w:r>
      <w:r>
        <w:rPr>
          <w:kern w:val="0"/>
          <w:sz w:val="24"/>
        </w:rPr>
        <w:t>指数收益率</w:t>
      </w:r>
      <w:r>
        <w:rPr>
          <w:kern w:val="0"/>
          <w:sz w:val="24"/>
        </w:rPr>
        <w:t>×35%+</w:t>
      </w:r>
      <w:r>
        <w:rPr>
          <w:kern w:val="0"/>
          <w:sz w:val="24"/>
        </w:rPr>
        <w:t>中证港股通综合指数收益率</w:t>
      </w:r>
      <w:r>
        <w:rPr>
          <w:kern w:val="0"/>
          <w:sz w:val="24"/>
        </w:rPr>
        <w:t>×5%</w:t>
      </w:r>
    </w:p>
    <w:p w:rsidR="0016189C" w:rsidRDefault="00B34D58" w:rsidP="00B34D58">
      <w:pPr>
        <w:spacing w:line="360" w:lineRule="auto"/>
        <w:ind w:firstLineChars="200" w:firstLine="482"/>
        <w:rPr>
          <w:kern w:val="0"/>
          <w:sz w:val="24"/>
        </w:rPr>
      </w:pPr>
      <w:r>
        <w:rPr>
          <w:b/>
          <w:kern w:val="0"/>
          <w:sz w:val="24"/>
        </w:rPr>
        <w:t>调整后新业绩比较基准：</w:t>
      </w:r>
      <w:r>
        <w:rPr>
          <w:kern w:val="0"/>
          <w:sz w:val="24"/>
        </w:rPr>
        <w:t>沪深</w:t>
      </w:r>
      <w:r>
        <w:rPr>
          <w:kern w:val="0"/>
          <w:sz w:val="24"/>
        </w:rPr>
        <w:t>300</w:t>
      </w:r>
      <w:r>
        <w:rPr>
          <w:kern w:val="0"/>
          <w:sz w:val="24"/>
        </w:rPr>
        <w:t>指数收益率</w:t>
      </w:r>
      <w:r>
        <w:rPr>
          <w:kern w:val="0"/>
          <w:sz w:val="24"/>
        </w:rPr>
        <w:t>×40%+</w:t>
      </w:r>
      <w:r>
        <w:rPr>
          <w:kern w:val="0"/>
          <w:sz w:val="24"/>
        </w:rPr>
        <w:t>中证港股通综合指数（人民币）收益率</w:t>
      </w:r>
      <w:r>
        <w:rPr>
          <w:kern w:val="0"/>
          <w:sz w:val="24"/>
        </w:rPr>
        <w:t>×10%+</w:t>
      </w:r>
      <w:r>
        <w:rPr>
          <w:kern w:val="0"/>
          <w:sz w:val="24"/>
        </w:rPr>
        <w:t>中债</w:t>
      </w:r>
      <w:r>
        <w:rPr>
          <w:kern w:val="0"/>
          <w:sz w:val="24"/>
        </w:rPr>
        <w:t>-</w:t>
      </w:r>
      <w:r>
        <w:rPr>
          <w:kern w:val="0"/>
          <w:sz w:val="24"/>
        </w:rPr>
        <w:t>新综合财富（总值）指数收益率</w:t>
      </w:r>
      <w:r>
        <w:rPr>
          <w:kern w:val="0"/>
          <w:sz w:val="24"/>
        </w:rPr>
        <w:t>×45%+</w:t>
      </w:r>
      <w:r>
        <w:rPr>
          <w:kern w:val="0"/>
          <w:sz w:val="24"/>
        </w:rPr>
        <w:t>活期存款基准利率</w:t>
      </w:r>
      <w:r>
        <w:rPr>
          <w:kern w:val="0"/>
          <w:sz w:val="24"/>
        </w:rPr>
        <w:t>×5%</w:t>
      </w:r>
    </w:p>
    <w:p w:rsidR="0016189C" w:rsidRDefault="00B34D58">
      <w:pPr>
        <w:spacing w:line="360" w:lineRule="auto"/>
        <w:ind w:firstLineChars="200" w:firstLine="480"/>
        <w:rPr>
          <w:b/>
          <w:kern w:val="0"/>
          <w:sz w:val="24"/>
        </w:rPr>
      </w:pPr>
      <w:r>
        <w:rPr>
          <w:kern w:val="0"/>
          <w:sz w:val="24"/>
        </w:rPr>
        <w:t>（</w:t>
      </w:r>
      <w:r>
        <w:rPr>
          <w:kern w:val="0"/>
          <w:sz w:val="24"/>
        </w:rPr>
        <w:t>2</w:t>
      </w:r>
      <w:r>
        <w:rPr>
          <w:kern w:val="0"/>
          <w:sz w:val="24"/>
        </w:rPr>
        <w:t>）</w:t>
      </w:r>
      <w:r>
        <w:rPr>
          <w:b/>
          <w:kern w:val="0"/>
          <w:sz w:val="24"/>
        </w:rPr>
        <w:t>新的业绩比较基准选择原因、差异及影响：</w:t>
      </w:r>
    </w:p>
    <w:p w:rsidR="0016189C" w:rsidRDefault="00B34D58">
      <w:pPr>
        <w:spacing w:line="360" w:lineRule="auto"/>
        <w:ind w:firstLineChars="200" w:firstLine="480"/>
        <w:rPr>
          <w:kern w:val="0"/>
          <w:sz w:val="24"/>
        </w:rPr>
      </w:pPr>
      <w:r>
        <w:rPr>
          <w:kern w:val="0"/>
          <w:sz w:val="24"/>
        </w:rPr>
        <w:t>此次本基金业绩比较基准调整涉及基准要素</w:t>
      </w:r>
      <w:r>
        <w:rPr>
          <w:rFonts w:hint="eastAsia"/>
          <w:kern w:val="0"/>
          <w:sz w:val="24"/>
        </w:rPr>
        <w:t>及其</w:t>
      </w:r>
      <w:r>
        <w:rPr>
          <w:kern w:val="0"/>
          <w:sz w:val="24"/>
        </w:rPr>
        <w:t>权重调整，不涉及具体指数调整，并按照要求对业绩比较基准表述进行了规范。</w:t>
      </w:r>
    </w:p>
    <w:p w:rsidR="0016189C" w:rsidRDefault="00B34D58">
      <w:pPr>
        <w:spacing w:line="360" w:lineRule="auto"/>
        <w:ind w:firstLineChars="200" w:firstLine="480"/>
        <w:rPr>
          <w:kern w:val="0"/>
          <w:sz w:val="24"/>
        </w:rPr>
      </w:pPr>
      <w:r>
        <w:rPr>
          <w:kern w:val="0"/>
          <w:sz w:val="24"/>
        </w:rPr>
        <w:t>基于本基金的长期产品定位和投资策略，同时考虑到基金合同约定本基金需保持不低于基金资产净值</w:t>
      </w:r>
      <w:r>
        <w:rPr>
          <w:kern w:val="0"/>
          <w:sz w:val="24"/>
        </w:rPr>
        <w:t>5</w:t>
      </w:r>
      <w:r>
        <w:rPr>
          <w:sz w:val="24"/>
          <w:lang/>
        </w:rPr>
        <w:t>%</w:t>
      </w:r>
      <w:r>
        <w:rPr>
          <w:kern w:val="0"/>
          <w:sz w:val="24"/>
        </w:rPr>
        <w:t>的现金或者到期日在一年以内的政府债券，并结合</w:t>
      </w:r>
      <w:r>
        <w:rPr>
          <w:kern w:val="0"/>
          <w:sz w:val="24"/>
        </w:rPr>
        <w:t>基金合同约定的其他投资比例限制，将业绩比较基准中的股票资产所对应的基准要素权重从</w:t>
      </w:r>
      <w:r>
        <w:rPr>
          <w:kern w:val="0"/>
          <w:sz w:val="24"/>
        </w:rPr>
        <w:t>40%</w:t>
      </w:r>
      <w:r>
        <w:rPr>
          <w:kern w:val="0"/>
          <w:sz w:val="24"/>
        </w:rPr>
        <w:t>提高至</w:t>
      </w:r>
      <w:r>
        <w:rPr>
          <w:kern w:val="0"/>
          <w:sz w:val="24"/>
        </w:rPr>
        <w:t>50%</w:t>
      </w:r>
      <w:r>
        <w:rPr>
          <w:kern w:val="0"/>
          <w:sz w:val="24"/>
        </w:rPr>
        <w:t>（其中</w:t>
      </w:r>
      <w:r>
        <w:rPr>
          <w:kern w:val="0"/>
          <w:sz w:val="24"/>
        </w:rPr>
        <w:t>A</w:t>
      </w:r>
      <w:r>
        <w:rPr>
          <w:kern w:val="0"/>
          <w:sz w:val="24"/>
        </w:rPr>
        <w:t>股股票部分的基准要素权重相应从</w:t>
      </w:r>
      <w:r>
        <w:rPr>
          <w:kern w:val="0"/>
          <w:sz w:val="24"/>
        </w:rPr>
        <w:t>35%</w:t>
      </w:r>
      <w:r>
        <w:rPr>
          <w:kern w:val="0"/>
          <w:sz w:val="24"/>
        </w:rPr>
        <w:t>提高至</w:t>
      </w:r>
      <w:r>
        <w:rPr>
          <w:kern w:val="0"/>
          <w:sz w:val="24"/>
        </w:rPr>
        <w:t>40%</w:t>
      </w:r>
      <w:r>
        <w:rPr>
          <w:kern w:val="0"/>
          <w:sz w:val="24"/>
        </w:rPr>
        <w:t>，港股通股票部分的基准要素权重从</w:t>
      </w:r>
      <w:r>
        <w:rPr>
          <w:kern w:val="0"/>
          <w:sz w:val="24"/>
        </w:rPr>
        <w:t>5%</w:t>
      </w:r>
      <w:r>
        <w:rPr>
          <w:kern w:val="0"/>
          <w:sz w:val="24"/>
        </w:rPr>
        <w:t>提高至</w:t>
      </w:r>
      <w:r>
        <w:rPr>
          <w:kern w:val="0"/>
          <w:sz w:val="24"/>
        </w:rPr>
        <w:t>10%</w:t>
      </w:r>
      <w:r>
        <w:rPr>
          <w:kern w:val="0"/>
          <w:sz w:val="24"/>
        </w:rPr>
        <w:t>），将债券资产所对应的基准要素权重从</w:t>
      </w:r>
      <w:r>
        <w:rPr>
          <w:rFonts w:hint="eastAsia"/>
          <w:kern w:val="0"/>
          <w:sz w:val="24"/>
        </w:rPr>
        <w:t>6</w:t>
      </w:r>
      <w:r>
        <w:rPr>
          <w:kern w:val="0"/>
          <w:sz w:val="24"/>
        </w:rPr>
        <w:t>0%</w:t>
      </w:r>
      <w:r>
        <w:rPr>
          <w:kern w:val="0"/>
          <w:sz w:val="24"/>
        </w:rPr>
        <w:t>调整至</w:t>
      </w:r>
      <w:r>
        <w:rPr>
          <w:rFonts w:hint="eastAsia"/>
          <w:kern w:val="0"/>
          <w:sz w:val="24"/>
        </w:rPr>
        <w:t>4</w:t>
      </w:r>
      <w:r>
        <w:rPr>
          <w:kern w:val="0"/>
          <w:sz w:val="24"/>
        </w:rPr>
        <w:t>5%</w:t>
      </w:r>
      <w:r>
        <w:rPr>
          <w:kern w:val="0"/>
          <w:sz w:val="24"/>
        </w:rPr>
        <w:t>，同时</w:t>
      </w:r>
      <w:r>
        <w:rPr>
          <w:rFonts w:hint="eastAsia"/>
          <w:kern w:val="0"/>
          <w:sz w:val="24"/>
        </w:rPr>
        <w:t>基准要素</w:t>
      </w:r>
      <w:r>
        <w:rPr>
          <w:kern w:val="0"/>
          <w:sz w:val="24"/>
        </w:rPr>
        <w:t>增加</w:t>
      </w:r>
      <w:r>
        <w:rPr>
          <w:kern w:val="0"/>
          <w:sz w:val="24"/>
        </w:rPr>
        <w:t>5%</w:t>
      </w:r>
      <w:r>
        <w:rPr>
          <w:kern w:val="0"/>
          <w:sz w:val="24"/>
        </w:rPr>
        <w:t>的现金类资产</w:t>
      </w:r>
      <w:r>
        <w:rPr>
          <w:rFonts w:hint="eastAsia"/>
          <w:kern w:val="0"/>
          <w:sz w:val="24"/>
        </w:rPr>
        <w:t>，使其与产品</w:t>
      </w:r>
      <w:r>
        <w:rPr>
          <w:kern w:val="0"/>
          <w:sz w:val="24"/>
        </w:rPr>
        <w:t>的</w:t>
      </w:r>
      <w:r>
        <w:rPr>
          <w:rFonts w:hint="eastAsia"/>
          <w:kern w:val="0"/>
          <w:sz w:val="24"/>
        </w:rPr>
        <w:t>长期定位相匹配。调整后的新业绩比较基准中活期存款基准利率具有较强的权威性和市场影响力，适合作为本基金现金类资产的业绩比较基准要素。</w:t>
      </w:r>
    </w:p>
    <w:p w:rsidR="0016189C" w:rsidRDefault="00B34D58">
      <w:pPr>
        <w:spacing w:line="360" w:lineRule="auto"/>
        <w:ind w:firstLineChars="200" w:firstLine="480"/>
        <w:rPr>
          <w:rFonts w:ascii="等线" w:eastAsia="等线" w:hAnsi="等线"/>
          <w:kern w:val="0"/>
          <w:sz w:val="24"/>
          <w:szCs w:val="22"/>
        </w:rPr>
      </w:pPr>
      <w:r>
        <w:rPr>
          <w:kern w:val="0"/>
          <w:sz w:val="24"/>
        </w:rPr>
        <w:t>上述调整对本基金投资运作、基金份额持有人利益无实质性不利影响。</w:t>
      </w:r>
    </w:p>
    <w:p w:rsidR="0016189C" w:rsidRDefault="0016189C">
      <w:pPr>
        <w:spacing w:line="360" w:lineRule="auto"/>
        <w:ind w:firstLineChars="200" w:firstLine="480"/>
        <w:rPr>
          <w:kern w:val="0"/>
          <w:sz w:val="24"/>
        </w:rPr>
      </w:pPr>
    </w:p>
    <w:p w:rsidR="0016189C" w:rsidRDefault="00B34D58">
      <w:pPr>
        <w:spacing w:line="360" w:lineRule="auto"/>
        <w:ind w:firstLineChars="200" w:firstLine="480"/>
        <w:outlineLvl w:val="1"/>
        <w:rPr>
          <w:kern w:val="0"/>
          <w:sz w:val="24"/>
        </w:rPr>
      </w:pPr>
      <w:r>
        <w:rPr>
          <w:kern w:val="0"/>
          <w:sz w:val="24"/>
        </w:rPr>
        <w:t>4</w:t>
      </w:r>
      <w:r>
        <w:rPr>
          <w:kern w:val="0"/>
          <w:sz w:val="24"/>
        </w:rPr>
        <w:t>、易方达国防军工混合型证券投资基金</w:t>
      </w:r>
    </w:p>
    <w:p w:rsidR="0016189C" w:rsidRDefault="00B34D58">
      <w:pPr>
        <w:spacing w:line="360" w:lineRule="auto"/>
        <w:ind w:firstLineChars="200" w:firstLine="480"/>
        <w:rPr>
          <w:kern w:val="0"/>
          <w:sz w:val="24"/>
        </w:rPr>
      </w:pPr>
      <w:r>
        <w:rPr>
          <w:kern w:val="0"/>
          <w:sz w:val="24"/>
        </w:rPr>
        <w:t>（</w:t>
      </w:r>
      <w:r>
        <w:rPr>
          <w:kern w:val="0"/>
          <w:sz w:val="24"/>
        </w:rPr>
        <w:t>1</w:t>
      </w:r>
      <w:r>
        <w:rPr>
          <w:kern w:val="0"/>
          <w:sz w:val="24"/>
        </w:rPr>
        <w:t>）</w:t>
      </w:r>
      <w:r>
        <w:rPr>
          <w:b/>
          <w:kern w:val="0"/>
          <w:sz w:val="24"/>
        </w:rPr>
        <w:t>当前业绩比较基准：</w:t>
      </w:r>
      <w:r>
        <w:rPr>
          <w:kern w:val="0"/>
          <w:sz w:val="24"/>
        </w:rPr>
        <w:t>申万国防军工指数收益率</w:t>
      </w:r>
      <w:r>
        <w:rPr>
          <w:sz w:val="24"/>
        </w:rPr>
        <w:t>×</w:t>
      </w:r>
      <w:r>
        <w:rPr>
          <w:kern w:val="0"/>
          <w:sz w:val="24"/>
        </w:rPr>
        <w:t>70%+</w:t>
      </w:r>
      <w:r>
        <w:rPr>
          <w:kern w:val="0"/>
          <w:sz w:val="24"/>
        </w:rPr>
        <w:t>一年期人民币定期存款利率</w:t>
      </w:r>
      <w:r>
        <w:rPr>
          <w:kern w:val="0"/>
          <w:sz w:val="24"/>
        </w:rPr>
        <w:t>(</w:t>
      </w:r>
      <w:r>
        <w:rPr>
          <w:kern w:val="0"/>
          <w:sz w:val="24"/>
        </w:rPr>
        <w:t>税后</w:t>
      </w:r>
      <w:r>
        <w:rPr>
          <w:kern w:val="0"/>
          <w:sz w:val="24"/>
        </w:rPr>
        <w:t>)</w:t>
      </w:r>
      <w:r>
        <w:rPr>
          <w:sz w:val="24"/>
        </w:rPr>
        <w:t>×</w:t>
      </w:r>
      <w:r>
        <w:rPr>
          <w:kern w:val="0"/>
          <w:sz w:val="24"/>
        </w:rPr>
        <w:t>30%</w:t>
      </w:r>
    </w:p>
    <w:p w:rsidR="0016189C" w:rsidRDefault="00B34D58" w:rsidP="00B34D58">
      <w:pPr>
        <w:spacing w:line="360" w:lineRule="auto"/>
        <w:ind w:firstLineChars="200" w:firstLine="482"/>
        <w:rPr>
          <w:kern w:val="0"/>
          <w:sz w:val="24"/>
        </w:rPr>
      </w:pPr>
      <w:r>
        <w:rPr>
          <w:b/>
          <w:kern w:val="0"/>
          <w:sz w:val="24"/>
        </w:rPr>
        <w:t>调整后新业绩比较基准：</w:t>
      </w:r>
      <w:r>
        <w:rPr>
          <w:kern w:val="0"/>
          <w:sz w:val="24"/>
        </w:rPr>
        <w:t>中证军工指数收益率</w:t>
      </w:r>
      <w:r>
        <w:rPr>
          <w:sz w:val="24"/>
        </w:rPr>
        <w:t>×</w:t>
      </w:r>
      <w:r>
        <w:rPr>
          <w:kern w:val="0"/>
          <w:sz w:val="24"/>
        </w:rPr>
        <w:t>90%+</w:t>
      </w:r>
      <w:r>
        <w:rPr>
          <w:kern w:val="0"/>
          <w:sz w:val="24"/>
        </w:rPr>
        <w:t>中债</w:t>
      </w:r>
      <w:r>
        <w:rPr>
          <w:kern w:val="0"/>
          <w:sz w:val="24"/>
        </w:rPr>
        <w:t>-</w:t>
      </w:r>
      <w:r>
        <w:rPr>
          <w:kern w:val="0"/>
          <w:sz w:val="24"/>
        </w:rPr>
        <w:t>总全价（总值）指数收益率</w:t>
      </w:r>
      <w:r>
        <w:rPr>
          <w:sz w:val="24"/>
        </w:rPr>
        <w:t>×</w:t>
      </w:r>
      <w:r>
        <w:rPr>
          <w:kern w:val="0"/>
          <w:sz w:val="24"/>
        </w:rPr>
        <w:t>10%</w:t>
      </w:r>
    </w:p>
    <w:p w:rsidR="0016189C" w:rsidRDefault="00B34D58">
      <w:pPr>
        <w:spacing w:line="360" w:lineRule="auto"/>
        <w:ind w:firstLineChars="200" w:firstLine="480"/>
        <w:rPr>
          <w:b/>
          <w:kern w:val="0"/>
          <w:sz w:val="24"/>
        </w:rPr>
      </w:pPr>
      <w:r>
        <w:rPr>
          <w:kern w:val="0"/>
          <w:sz w:val="24"/>
        </w:rPr>
        <w:t>（</w:t>
      </w:r>
      <w:r>
        <w:rPr>
          <w:kern w:val="0"/>
          <w:sz w:val="24"/>
        </w:rPr>
        <w:t>2</w:t>
      </w:r>
      <w:r>
        <w:rPr>
          <w:kern w:val="0"/>
          <w:sz w:val="24"/>
        </w:rPr>
        <w:t>）</w:t>
      </w:r>
      <w:r>
        <w:rPr>
          <w:b/>
          <w:kern w:val="0"/>
          <w:sz w:val="24"/>
        </w:rPr>
        <w:t>新的业绩比较基准选择原因、差异及影响：</w:t>
      </w:r>
    </w:p>
    <w:p w:rsidR="0016189C" w:rsidRDefault="00B34D58">
      <w:pPr>
        <w:spacing w:line="360" w:lineRule="auto"/>
        <w:ind w:firstLineChars="200" w:firstLine="480"/>
        <w:rPr>
          <w:kern w:val="0"/>
          <w:sz w:val="24"/>
        </w:rPr>
      </w:pPr>
      <w:r>
        <w:rPr>
          <w:kern w:val="0"/>
          <w:sz w:val="24"/>
        </w:rPr>
        <w:t>此次本基金业绩比较基准调整同时涉及基准指数、基准要素权重调整。</w:t>
      </w:r>
    </w:p>
    <w:p w:rsidR="0016189C" w:rsidRDefault="00B34D58">
      <w:pPr>
        <w:spacing w:line="360" w:lineRule="auto"/>
        <w:ind w:firstLineChars="200" w:firstLine="480"/>
        <w:rPr>
          <w:kern w:val="0"/>
          <w:sz w:val="24"/>
        </w:rPr>
      </w:pPr>
      <w:r>
        <w:rPr>
          <w:kern w:val="0"/>
          <w:sz w:val="24"/>
        </w:rPr>
        <w:t>基于本基金的投资目标、投资范围和投资策略，本基金的股票资产主要投资于国防军工行业的公司，主要由国防投入领域涉及的相关公司组成，包括航空、航天、兵器、船舶、信息安全等子行业，从而在</w:t>
      </w:r>
      <w:r>
        <w:rPr>
          <w:kern w:val="0"/>
          <w:sz w:val="24"/>
        </w:rPr>
        <w:t>控制风险的前提下，追求超越业绩比较基准的投资回报。综合考虑基准指数与产品定位、投资风格的匹配度，同时兼顾考虑基准指数的表征性、认可度，以及指数主题界定、市值覆盖、行业与个股分布等，本基金的股票部分所对应的基准指数从申万国防军工指数调整为中证军工指数。此外，本基金的债券资产主要通过类属配置与</w:t>
      </w:r>
      <w:r>
        <w:rPr>
          <w:rFonts w:hint="eastAsia"/>
          <w:kern w:val="0"/>
          <w:sz w:val="24"/>
        </w:rPr>
        <w:t>券种选择</w:t>
      </w:r>
      <w:r>
        <w:rPr>
          <w:rFonts w:hint="eastAsia"/>
          <w:bCs/>
          <w:sz w:val="24"/>
        </w:rPr>
        <w:t>两个层次进行投资管理</w:t>
      </w:r>
      <w:r>
        <w:rPr>
          <w:kern w:val="0"/>
          <w:sz w:val="24"/>
        </w:rPr>
        <w:t>，经审慎评估，综合考虑基准指数与产品定位和投资风格的匹配度，同时兼顾考虑基准指数的表征性、认可度，以及基准指数券种等，新增中债</w:t>
      </w:r>
      <w:r>
        <w:rPr>
          <w:kern w:val="0"/>
          <w:sz w:val="24"/>
        </w:rPr>
        <w:t>-</w:t>
      </w:r>
      <w:r>
        <w:rPr>
          <w:kern w:val="0"/>
          <w:sz w:val="24"/>
        </w:rPr>
        <w:t>总全价（总值）指数作为债券部分的业绩比较基准要素。</w:t>
      </w:r>
    </w:p>
    <w:p w:rsidR="0016189C" w:rsidRDefault="00B34D58">
      <w:pPr>
        <w:spacing w:line="360" w:lineRule="auto"/>
        <w:ind w:firstLineChars="200" w:firstLine="480"/>
        <w:rPr>
          <w:kern w:val="0"/>
          <w:sz w:val="24"/>
        </w:rPr>
      </w:pPr>
      <w:r>
        <w:rPr>
          <w:kern w:val="0"/>
          <w:sz w:val="24"/>
        </w:rPr>
        <w:t>基于本基金近年</w:t>
      </w:r>
      <w:r>
        <w:rPr>
          <w:kern w:val="0"/>
          <w:sz w:val="24"/>
        </w:rPr>
        <w:t>来股票资产的平均仓位，并结合基金合同约定的投资比例限制和产品定位，将业绩比较基准中的股票资产所对应的基准要素权重从</w:t>
      </w:r>
      <w:r>
        <w:rPr>
          <w:kern w:val="0"/>
          <w:sz w:val="24"/>
        </w:rPr>
        <w:t>70%</w:t>
      </w:r>
      <w:r>
        <w:rPr>
          <w:kern w:val="0"/>
          <w:sz w:val="24"/>
        </w:rPr>
        <w:t>提高至</w:t>
      </w:r>
      <w:r>
        <w:rPr>
          <w:kern w:val="0"/>
          <w:sz w:val="24"/>
        </w:rPr>
        <w:t>90%</w:t>
      </w:r>
      <w:r>
        <w:rPr>
          <w:kern w:val="0"/>
          <w:sz w:val="24"/>
        </w:rPr>
        <w:t>，并将债券资产所对应的基准要素权重设置为</w:t>
      </w:r>
      <w:r>
        <w:rPr>
          <w:kern w:val="0"/>
          <w:sz w:val="24"/>
        </w:rPr>
        <w:t>10%</w:t>
      </w:r>
      <w:r>
        <w:rPr>
          <w:kern w:val="0"/>
          <w:sz w:val="24"/>
        </w:rPr>
        <w:t>，从而使得新业绩比较基准中各大资产类别所对应的基准要素权重与基金过往实际投资运作等相匹配。</w:t>
      </w:r>
    </w:p>
    <w:p w:rsidR="0016189C" w:rsidRDefault="00B34D58">
      <w:pPr>
        <w:spacing w:line="360" w:lineRule="auto"/>
        <w:ind w:firstLineChars="200" w:firstLine="480"/>
        <w:rPr>
          <w:kern w:val="0"/>
          <w:sz w:val="24"/>
        </w:rPr>
      </w:pPr>
      <w:r>
        <w:rPr>
          <w:kern w:val="0"/>
          <w:sz w:val="24"/>
        </w:rPr>
        <w:t>原业绩比较基准中，申万国防军工指数（指数代码</w:t>
      </w:r>
      <w:r>
        <w:rPr>
          <w:kern w:val="0"/>
          <w:sz w:val="24"/>
        </w:rPr>
        <w:t>801740</w:t>
      </w:r>
      <w:r>
        <w:rPr>
          <w:kern w:val="0"/>
          <w:sz w:val="24"/>
        </w:rPr>
        <w:t>）成份股基于申万一级行业分类，纳入国防军工行业上市公司，反映</w:t>
      </w:r>
      <w:r>
        <w:rPr>
          <w:kern w:val="0"/>
          <w:sz w:val="24"/>
        </w:rPr>
        <w:t>A</w:t>
      </w:r>
      <w:r>
        <w:rPr>
          <w:kern w:val="0"/>
          <w:sz w:val="24"/>
        </w:rPr>
        <w:t>股国防军工行业上市公司的整体表现。调整后的新业绩比较基准中，中证军工指数（指数代码</w:t>
      </w:r>
      <w:r>
        <w:rPr>
          <w:kern w:val="0"/>
          <w:sz w:val="24"/>
        </w:rPr>
        <w:t>399967</w:t>
      </w:r>
      <w:r>
        <w:rPr>
          <w:kern w:val="0"/>
          <w:sz w:val="24"/>
        </w:rPr>
        <w:t>）选取十大军工集团控股的且主营</w:t>
      </w:r>
      <w:r>
        <w:rPr>
          <w:kern w:val="0"/>
          <w:sz w:val="24"/>
        </w:rPr>
        <w:t>业务与军工行业相关的上市公司证券，以及其他主营业务为军工行业的代表性上市公司证券作为成份股，反映军工行业公司的整体表现；中债</w:t>
      </w:r>
      <w:r>
        <w:rPr>
          <w:kern w:val="0"/>
          <w:sz w:val="24"/>
        </w:rPr>
        <w:t>-</w:t>
      </w:r>
      <w:r>
        <w:rPr>
          <w:kern w:val="0"/>
          <w:sz w:val="24"/>
        </w:rPr>
        <w:t>总全价（总值）指数（指数代码</w:t>
      </w:r>
      <w:r>
        <w:rPr>
          <w:kern w:val="0"/>
          <w:sz w:val="24"/>
        </w:rPr>
        <w:t>CBA00303</w:t>
      </w:r>
      <w:r>
        <w:rPr>
          <w:kern w:val="0"/>
          <w:sz w:val="24"/>
        </w:rPr>
        <w:t>）成份券由在境内公开发行且上市流通的记账式国债、央行票据和政策性银行债组成，反映境内利率类债券整体价格走势。调整后的中证军工指数、中债</w:t>
      </w:r>
      <w:r>
        <w:rPr>
          <w:kern w:val="0"/>
          <w:sz w:val="24"/>
        </w:rPr>
        <w:t>-</w:t>
      </w:r>
      <w:r>
        <w:rPr>
          <w:kern w:val="0"/>
          <w:sz w:val="24"/>
        </w:rPr>
        <w:t>总全价（总值）指数与基金实际持券风格更为匹配，从而能够更好反映本基金的产品定位和投资风格。</w:t>
      </w:r>
    </w:p>
    <w:p w:rsidR="0016189C" w:rsidRDefault="00B34D58">
      <w:pPr>
        <w:spacing w:line="360" w:lineRule="auto"/>
        <w:ind w:firstLineChars="200" w:firstLine="480"/>
        <w:rPr>
          <w:kern w:val="0"/>
          <w:sz w:val="24"/>
        </w:rPr>
      </w:pPr>
      <w:r>
        <w:rPr>
          <w:kern w:val="0"/>
          <w:sz w:val="24"/>
        </w:rPr>
        <w:t>上述调整对本基金投资运作、基金份额持有人利益无实质性不利影响。</w:t>
      </w:r>
    </w:p>
    <w:p w:rsidR="0016189C" w:rsidRDefault="0016189C">
      <w:pPr>
        <w:spacing w:line="360" w:lineRule="auto"/>
        <w:ind w:firstLineChars="200" w:firstLine="480"/>
        <w:rPr>
          <w:kern w:val="0"/>
          <w:sz w:val="24"/>
        </w:rPr>
      </w:pPr>
    </w:p>
    <w:p w:rsidR="0016189C" w:rsidRDefault="00B34D58">
      <w:pPr>
        <w:spacing w:line="360" w:lineRule="auto"/>
        <w:ind w:firstLineChars="200" w:firstLine="480"/>
        <w:outlineLvl w:val="1"/>
        <w:rPr>
          <w:kern w:val="0"/>
          <w:sz w:val="24"/>
        </w:rPr>
      </w:pPr>
      <w:r>
        <w:rPr>
          <w:kern w:val="0"/>
          <w:sz w:val="24"/>
        </w:rPr>
        <w:t>5</w:t>
      </w:r>
      <w:r>
        <w:rPr>
          <w:kern w:val="0"/>
          <w:sz w:val="24"/>
        </w:rPr>
        <w:t>、易方达全球成长精选混合型证券投资基金</w:t>
      </w:r>
      <w:r>
        <w:rPr>
          <w:kern w:val="0"/>
          <w:sz w:val="24"/>
        </w:rPr>
        <w:t>(QDI</w:t>
      </w:r>
      <w:r>
        <w:rPr>
          <w:kern w:val="0"/>
          <w:sz w:val="24"/>
        </w:rPr>
        <w:t>I)</w:t>
      </w:r>
    </w:p>
    <w:p w:rsidR="0016189C" w:rsidRDefault="00B34D58">
      <w:pPr>
        <w:spacing w:line="360" w:lineRule="auto"/>
        <w:ind w:firstLineChars="200" w:firstLine="480"/>
        <w:rPr>
          <w:kern w:val="0"/>
          <w:sz w:val="24"/>
        </w:rPr>
      </w:pPr>
      <w:r>
        <w:rPr>
          <w:kern w:val="0"/>
          <w:sz w:val="24"/>
        </w:rPr>
        <w:t>（</w:t>
      </w:r>
      <w:r>
        <w:rPr>
          <w:kern w:val="0"/>
          <w:sz w:val="24"/>
        </w:rPr>
        <w:t>1</w:t>
      </w:r>
      <w:r>
        <w:rPr>
          <w:kern w:val="0"/>
          <w:sz w:val="24"/>
        </w:rPr>
        <w:t>）</w:t>
      </w:r>
      <w:r>
        <w:rPr>
          <w:b/>
          <w:kern w:val="0"/>
          <w:sz w:val="24"/>
        </w:rPr>
        <w:t>当前业绩比较基准：</w:t>
      </w:r>
      <w:r>
        <w:rPr>
          <w:kern w:val="0"/>
          <w:sz w:val="24"/>
        </w:rPr>
        <w:t>中证</w:t>
      </w:r>
      <w:r>
        <w:rPr>
          <w:kern w:val="0"/>
          <w:sz w:val="24"/>
        </w:rPr>
        <w:t>800</w:t>
      </w:r>
      <w:r>
        <w:rPr>
          <w:kern w:val="0"/>
          <w:sz w:val="24"/>
        </w:rPr>
        <w:t>指数收益率</w:t>
      </w:r>
      <w:r>
        <w:rPr>
          <w:sz w:val="24"/>
        </w:rPr>
        <w:t>×</w:t>
      </w:r>
      <w:r>
        <w:rPr>
          <w:kern w:val="0"/>
          <w:sz w:val="24"/>
        </w:rPr>
        <w:t>65%+</w:t>
      </w:r>
      <w:r>
        <w:rPr>
          <w:kern w:val="0"/>
          <w:sz w:val="24"/>
        </w:rPr>
        <w:t>标普全球</w:t>
      </w:r>
      <w:r>
        <w:rPr>
          <w:kern w:val="0"/>
          <w:sz w:val="24"/>
        </w:rPr>
        <w:t>1200</w:t>
      </w:r>
      <w:r>
        <w:rPr>
          <w:kern w:val="0"/>
          <w:sz w:val="24"/>
        </w:rPr>
        <w:t>指数</w:t>
      </w:r>
      <w:r>
        <w:rPr>
          <w:kern w:val="0"/>
          <w:sz w:val="24"/>
        </w:rPr>
        <w:t>(</w:t>
      </w:r>
      <w:r>
        <w:rPr>
          <w:kern w:val="0"/>
          <w:sz w:val="24"/>
        </w:rPr>
        <w:t>使用估值汇率折算</w:t>
      </w:r>
      <w:r>
        <w:rPr>
          <w:kern w:val="0"/>
          <w:sz w:val="24"/>
        </w:rPr>
        <w:t>)</w:t>
      </w:r>
      <w:r>
        <w:rPr>
          <w:kern w:val="0"/>
          <w:sz w:val="24"/>
        </w:rPr>
        <w:t>收益率</w:t>
      </w:r>
      <w:r>
        <w:rPr>
          <w:sz w:val="24"/>
        </w:rPr>
        <w:t>×</w:t>
      </w:r>
      <w:r>
        <w:rPr>
          <w:kern w:val="0"/>
          <w:sz w:val="24"/>
        </w:rPr>
        <w:t>20%+</w:t>
      </w:r>
      <w:r>
        <w:rPr>
          <w:kern w:val="0"/>
          <w:sz w:val="24"/>
        </w:rPr>
        <w:t>中债总指数收益率</w:t>
      </w:r>
      <w:r>
        <w:rPr>
          <w:sz w:val="24"/>
        </w:rPr>
        <w:t>×</w:t>
      </w:r>
      <w:r>
        <w:rPr>
          <w:kern w:val="0"/>
          <w:sz w:val="24"/>
        </w:rPr>
        <w:t>15%</w:t>
      </w:r>
    </w:p>
    <w:p w:rsidR="0016189C" w:rsidRDefault="00B34D58" w:rsidP="00B34D58">
      <w:pPr>
        <w:spacing w:line="360" w:lineRule="auto"/>
        <w:ind w:firstLineChars="200" w:firstLine="482"/>
        <w:rPr>
          <w:kern w:val="0"/>
          <w:sz w:val="24"/>
        </w:rPr>
      </w:pPr>
      <w:r>
        <w:rPr>
          <w:b/>
          <w:kern w:val="0"/>
          <w:sz w:val="24"/>
        </w:rPr>
        <w:t>调整后新业绩比较基准：</w:t>
      </w:r>
      <w:r>
        <w:rPr>
          <w:kern w:val="0"/>
          <w:sz w:val="24"/>
        </w:rPr>
        <w:t>MSCI</w:t>
      </w:r>
      <w:r>
        <w:rPr>
          <w:kern w:val="0"/>
          <w:sz w:val="24"/>
        </w:rPr>
        <w:t>全球指数（</w:t>
      </w:r>
      <w:r>
        <w:rPr>
          <w:kern w:val="0"/>
          <w:sz w:val="24"/>
        </w:rPr>
        <w:t>MSCI All Country World Index</w:t>
      </w:r>
      <w:r>
        <w:rPr>
          <w:kern w:val="0"/>
          <w:sz w:val="24"/>
        </w:rPr>
        <w:t>）收益率</w:t>
      </w:r>
      <w:r>
        <w:rPr>
          <w:sz w:val="24"/>
        </w:rPr>
        <w:t>×</w:t>
      </w:r>
      <w:r>
        <w:rPr>
          <w:kern w:val="0"/>
          <w:sz w:val="24"/>
        </w:rPr>
        <w:t>30%+</w:t>
      </w:r>
      <w:r>
        <w:rPr>
          <w:kern w:val="0"/>
          <w:sz w:val="24"/>
        </w:rPr>
        <w:t>中证港股通综合指数（人民币）收益率</w:t>
      </w:r>
      <w:r>
        <w:rPr>
          <w:sz w:val="24"/>
        </w:rPr>
        <w:t>×</w:t>
      </w:r>
      <w:r>
        <w:rPr>
          <w:kern w:val="0"/>
          <w:sz w:val="24"/>
        </w:rPr>
        <w:t>25%+</w:t>
      </w:r>
      <w:r>
        <w:rPr>
          <w:kern w:val="0"/>
          <w:sz w:val="24"/>
        </w:rPr>
        <w:t>中证</w:t>
      </w:r>
      <w:r>
        <w:rPr>
          <w:kern w:val="0"/>
          <w:sz w:val="24"/>
        </w:rPr>
        <w:t>800</w:t>
      </w:r>
      <w:r>
        <w:rPr>
          <w:kern w:val="0"/>
          <w:sz w:val="24"/>
        </w:rPr>
        <w:t>指数收益率</w:t>
      </w:r>
      <w:r>
        <w:rPr>
          <w:sz w:val="24"/>
        </w:rPr>
        <w:t>×</w:t>
      </w:r>
      <w:r>
        <w:rPr>
          <w:kern w:val="0"/>
          <w:sz w:val="24"/>
        </w:rPr>
        <w:t>30%+</w:t>
      </w:r>
      <w:r>
        <w:rPr>
          <w:kern w:val="0"/>
          <w:sz w:val="24"/>
        </w:rPr>
        <w:t>中债</w:t>
      </w:r>
      <w:r>
        <w:rPr>
          <w:kern w:val="0"/>
          <w:sz w:val="24"/>
        </w:rPr>
        <w:t>-</w:t>
      </w:r>
      <w:r>
        <w:rPr>
          <w:kern w:val="0"/>
          <w:sz w:val="24"/>
        </w:rPr>
        <w:t>总全价（总值）指数收益率</w:t>
      </w:r>
      <w:r>
        <w:rPr>
          <w:sz w:val="24"/>
        </w:rPr>
        <w:t>×</w:t>
      </w:r>
      <w:r>
        <w:rPr>
          <w:kern w:val="0"/>
          <w:sz w:val="24"/>
        </w:rPr>
        <w:t>15%</w:t>
      </w:r>
    </w:p>
    <w:p w:rsidR="0016189C" w:rsidRDefault="00B34D58">
      <w:pPr>
        <w:spacing w:line="360" w:lineRule="auto"/>
        <w:ind w:firstLineChars="200" w:firstLine="480"/>
        <w:rPr>
          <w:b/>
          <w:kern w:val="0"/>
          <w:sz w:val="24"/>
        </w:rPr>
      </w:pPr>
      <w:r>
        <w:rPr>
          <w:kern w:val="0"/>
          <w:sz w:val="24"/>
        </w:rPr>
        <w:t>（</w:t>
      </w:r>
      <w:r>
        <w:rPr>
          <w:kern w:val="0"/>
          <w:sz w:val="24"/>
        </w:rPr>
        <w:t>2</w:t>
      </w:r>
      <w:r>
        <w:rPr>
          <w:kern w:val="0"/>
          <w:sz w:val="24"/>
        </w:rPr>
        <w:t>）</w:t>
      </w:r>
      <w:r>
        <w:rPr>
          <w:b/>
          <w:kern w:val="0"/>
          <w:sz w:val="24"/>
        </w:rPr>
        <w:t>新的业绩比较基准选择原因、差异及影响：</w:t>
      </w:r>
    </w:p>
    <w:p w:rsidR="0016189C" w:rsidRDefault="00B34D58">
      <w:pPr>
        <w:spacing w:line="360" w:lineRule="auto"/>
        <w:ind w:firstLineChars="200" w:firstLine="480"/>
      </w:pPr>
      <w:r>
        <w:rPr>
          <w:kern w:val="0"/>
          <w:sz w:val="24"/>
        </w:rPr>
        <w:t>此次本基金业绩比较基准调整同时涉及基准指数、基准要素权重调整，并按照要求对业绩比较基准表述进行了规范。</w:t>
      </w:r>
    </w:p>
    <w:p w:rsidR="0016189C" w:rsidRDefault="00B34D58">
      <w:pPr>
        <w:spacing w:line="360" w:lineRule="auto"/>
        <w:ind w:firstLineChars="200" w:firstLine="480"/>
        <w:rPr>
          <w:kern w:val="0"/>
          <w:sz w:val="24"/>
        </w:rPr>
      </w:pPr>
      <w:r>
        <w:rPr>
          <w:kern w:val="0"/>
          <w:sz w:val="24"/>
        </w:rPr>
        <w:t>基于本基金的投资目标、投资范围和投资策略，本基金的股票资产主要投资于全球市场具备持续性竞争优势、良好成长性的公司，从而在控制风险的前提下，追求基金资产的长期增值。综合考虑基准指数与产品定位和投资风格的匹配度，同时兼顾考虑基准指数的表征性、认可度，以及指数市值覆盖、风格特征、行业与个股分布等，本基金的境外股票部分所对应的基准指数从标普全球</w:t>
      </w:r>
      <w:r>
        <w:rPr>
          <w:kern w:val="0"/>
          <w:sz w:val="24"/>
        </w:rPr>
        <w:t>1200</w:t>
      </w:r>
      <w:r>
        <w:rPr>
          <w:kern w:val="0"/>
          <w:sz w:val="24"/>
        </w:rPr>
        <w:t>指数调整为</w:t>
      </w:r>
      <w:r>
        <w:rPr>
          <w:kern w:val="0"/>
          <w:sz w:val="24"/>
        </w:rPr>
        <w:t>MSCI</w:t>
      </w:r>
      <w:r>
        <w:rPr>
          <w:kern w:val="0"/>
          <w:sz w:val="24"/>
        </w:rPr>
        <w:t>全球指数（</w:t>
      </w:r>
      <w:r>
        <w:rPr>
          <w:kern w:val="0"/>
          <w:sz w:val="24"/>
        </w:rPr>
        <w:t xml:space="preserve">MSCI All Country </w:t>
      </w:r>
      <w:r>
        <w:rPr>
          <w:kern w:val="0"/>
          <w:sz w:val="24"/>
        </w:rPr>
        <w:t>World Index</w:t>
      </w:r>
      <w:r>
        <w:rPr>
          <w:kern w:val="0"/>
          <w:sz w:val="24"/>
        </w:rPr>
        <w:t>）和中证港股通综合指数（人民币），</w:t>
      </w:r>
      <w:r>
        <w:rPr>
          <w:kern w:val="0"/>
          <w:sz w:val="24"/>
        </w:rPr>
        <w:t>A</w:t>
      </w:r>
      <w:r>
        <w:rPr>
          <w:kern w:val="0"/>
          <w:sz w:val="24"/>
        </w:rPr>
        <w:t>股股票部分所对应的基准指数保持不变。此外，基于本基金近年来股票资产的平均仓位，</w:t>
      </w:r>
      <w:r>
        <w:rPr>
          <w:rFonts w:hint="eastAsia"/>
          <w:kern w:val="0"/>
          <w:sz w:val="24"/>
        </w:rPr>
        <w:t>并结合基金合同约定的投资比例限制和产品定位</w:t>
      </w:r>
      <w:r>
        <w:rPr>
          <w:kern w:val="0"/>
          <w:sz w:val="24"/>
        </w:rPr>
        <w:t>，将业绩比较基准中的</w:t>
      </w:r>
      <w:r>
        <w:rPr>
          <w:kern w:val="0"/>
          <w:sz w:val="24"/>
        </w:rPr>
        <w:t>A</w:t>
      </w:r>
      <w:r>
        <w:rPr>
          <w:kern w:val="0"/>
          <w:sz w:val="24"/>
        </w:rPr>
        <w:t>股股票部分所对应的基准要素权重从</w:t>
      </w:r>
      <w:r>
        <w:rPr>
          <w:kern w:val="0"/>
          <w:sz w:val="24"/>
        </w:rPr>
        <w:t>65%</w:t>
      </w:r>
      <w:r>
        <w:rPr>
          <w:kern w:val="0"/>
          <w:sz w:val="24"/>
        </w:rPr>
        <w:t>调低至</w:t>
      </w:r>
      <w:r>
        <w:rPr>
          <w:kern w:val="0"/>
          <w:sz w:val="24"/>
        </w:rPr>
        <w:t>30%</w:t>
      </w:r>
      <w:r>
        <w:rPr>
          <w:kern w:val="0"/>
          <w:sz w:val="24"/>
        </w:rPr>
        <w:t>，境外股票部分所对应的基准要素权重从</w:t>
      </w:r>
      <w:r>
        <w:rPr>
          <w:kern w:val="0"/>
          <w:sz w:val="24"/>
        </w:rPr>
        <w:t>20%</w:t>
      </w:r>
      <w:r>
        <w:rPr>
          <w:kern w:val="0"/>
          <w:sz w:val="24"/>
        </w:rPr>
        <w:t>提高至</w:t>
      </w:r>
      <w:r>
        <w:rPr>
          <w:kern w:val="0"/>
          <w:sz w:val="24"/>
        </w:rPr>
        <w:t>55%</w:t>
      </w:r>
      <w:r>
        <w:rPr>
          <w:rFonts w:hint="eastAsia"/>
          <w:kern w:val="0"/>
          <w:sz w:val="24"/>
        </w:rPr>
        <w:t>（</w:t>
      </w:r>
      <w:r>
        <w:rPr>
          <w:kern w:val="0"/>
          <w:sz w:val="24"/>
        </w:rPr>
        <w:t>港股股票部分</w:t>
      </w:r>
      <w:r>
        <w:rPr>
          <w:rFonts w:hint="eastAsia"/>
          <w:kern w:val="0"/>
          <w:sz w:val="24"/>
        </w:rPr>
        <w:t>和其他境外股票部分所对应</w:t>
      </w:r>
      <w:r>
        <w:rPr>
          <w:kern w:val="0"/>
          <w:sz w:val="24"/>
        </w:rPr>
        <w:t>的基准要素权重</w:t>
      </w:r>
      <w:r>
        <w:rPr>
          <w:rFonts w:hint="eastAsia"/>
          <w:kern w:val="0"/>
          <w:sz w:val="24"/>
        </w:rPr>
        <w:t>分别设置为</w:t>
      </w:r>
      <w:r>
        <w:rPr>
          <w:rFonts w:hint="eastAsia"/>
          <w:kern w:val="0"/>
          <w:sz w:val="24"/>
        </w:rPr>
        <w:t>2</w:t>
      </w:r>
      <w:r>
        <w:rPr>
          <w:kern w:val="0"/>
          <w:sz w:val="24"/>
        </w:rPr>
        <w:t>5%</w:t>
      </w:r>
      <w:r>
        <w:rPr>
          <w:rFonts w:hint="eastAsia"/>
          <w:kern w:val="0"/>
          <w:sz w:val="24"/>
        </w:rPr>
        <w:t>、</w:t>
      </w:r>
      <w:r>
        <w:rPr>
          <w:rFonts w:hint="eastAsia"/>
          <w:kern w:val="0"/>
          <w:sz w:val="24"/>
        </w:rPr>
        <w:t>3</w:t>
      </w:r>
      <w:r>
        <w:rPr>
          <w:kern w:val="0"/>
          <w:sz w:val="24"/>
        </w:rPr>
        <w:t>0%</w:t>
      </w:r>
      <w:r>
        <w:rPr>
          <w:rFonts w:hint="eastAsia"/>
          <w:kern w:val="0"/>
          <w:sz w:val="24"/>
        </w:rPr>
        <w:t>）</w:t>
      </w:r>
      <w:r>
        <w:rPr>
          <w:kern w:val="0"/>
          <w:sz w:val="24"/>
        </w:rPr>
        <w:t>，从而使得新业绩比较基准中各大资产类别所对应的基准要素权重与基金过往实际投资运作等相匹配。</w:t>
      </w:r>
    </w:p>
    <w:p w:rsidR="0016189C" w:rsidRDefault="00B34D58">
      <w:pPr>
        <w:spacing w:line="360" w:lineRule="auto"/>
        <w:ind w:firstLineChars="200" w:firstLine="480"/>
        <w:rPr>
          <w:kern w:val="0"/>
          <w:sz w:val="24"/>
        </w:rPr>
      </w:pPr>
      <w:r>
        <w:rPr>
          <w:kern w:val="0"/>
          <w:sz w:val="24"/>
        </w:rPr>
        <w:t>原业绩比较基准中，标普全球</w:t>
      </w:r>
      <w:r>
        <w:rPr>
          <w:kern w:val="0"/>
          <w:sz w:val="24"/>
        </w:rPr>
        <w:t>1200</w:t>
      </w:r>
      <w:r>
        <w:rPr>
          <w:kern w:val="0"/>
          <w:sz w:val="24"/>
        </w:rPr>
        <w:t>指数（指数代码</w:t>
      </w:r>
      <w:r>
        <w:rPr>
          <w:kern w:val="0"/>
          <w:sz w:val="24"/>
        </w:rPr>
        <w:t>SPG1200</w:t>
      </w:r>
      <w:r>
        <w:rPr>
          <w:kern w:val="0"/>
          <w:sz w:val="24"/>
        </w:rPr>
        <w:t>）的成份股由七大国家及区域权益基准指数的全部个股组成，反映全球市场大盘股的整体表现。调整后的新业绩比较基准中，</w:t>
      </w:r>
      <w:r>
        <w:rPr>
          <w:kern w:val="0"/>
          <w:sz w:val="24"/>
        </w:rPr>
        <w:t>MSCI</w:t>
      </w:r>
      <w:r>
        <w:rPr>
          <w:kern w:val="0"/>
          <w:sz w:val="24"/>
        </w:rPr>
        <w:t>全球指数（</w:t>
      </w:r>
      <w:r>
        <w:rPr>
          <w:kern w:val="0"/>
          <w:sz w:val="24"/>
        </w:rPr>
        <w:t>MSCI All Country World Index</w:t>
      </w:r>
      <w:r>
        <w:rPr>
          <w:kern w:val="0"/>
          <w:sz w:val="24"/>
        </w:rPr>
        <w:t>）（指数代码</w:t>
      </w:r>
      <w:r>
        <w:rPr>
          <w:kern w:val="0"/>
          <w:sz w:val="24"/>
        </w:rPr>
        <w:t>892400</w:t>
      </w:r>
      <w:r>
        <w:rPr>
          <w:kern w:val="0"/>
          <w:sz w:val="24"/>
        </w:rPr>
        <w:t>）成份股包含</w:t>
      </w:r>
      <w:r>
        <w:rPr>
          <w:rFonts w:hint="eastAsia"/>
          <w:kern w:val="0"/>
          <w:sz w:val="24"/>
        </w:rPr>
        <w:t>一定数量</w:t>
      </w:r>
      <w:r>
        <w:rPr>
          <w:kern w:val="0"/>
          <w:sz w:val="24"/>
        </w:rPr>
        <w:t>发达市场和新兴市场国家的大中型股代表，覆盖了全球可投资股票约</w:t>
      </w:r>
      <w:r>
        <w:rPr>
          <w:kern w:val="0"/>
          <w:sz w:val="24"/>
        </w:rPr>
        <w:t>85%</w:t>
      </w:r>
      <w:r>
        <w:rPr>
          <w:kern w:val="0"/>
          <w:sz w:val="24"/>
        </w:rPr>
        <w:t>的份额，以反映全球股票市场的整体表现；中证港股通综合指数（人民币）（指数代码</w:t>
      </w:r>
      <w:r>
        <w:rPr>
          <w:kern w:val="0"/>
          <w:sz w:val="24"/>
        </w:rPr>
        <w:t>930933</w:t>
      </w:r>
      <w:r>
        <w:rPr>
          <w:kern w:val="0"/>
          <w:sz w:val="24"/>
        </w:rPr>
        <w:t>）选取符合港股通资格的上市公司证券作为样本，反映港股通范围内上市公司的整体表现。调整后的境外股票部分所</w:t>
      </w:r>
      <w:r>
        <w:rPr>
          <w:kern w:val="0"/>
          <w:sz w:val="24"/>
        </w:rPr>
        <w:t>对应的基准指数与基金实际持股风格更为匹配，从而能够更好反映本基金的产品定位和投资风格。</w:t>
      </w:r>
    </w:p>
    <w:p w:rsidR="0016189C" w:rsidRDefault="00B34D58">
      <w:pPr>
        <w:spacing w:line="360" w:lineRule="auto"/>
        <w:ind w:firstLineChars="200" w:firstLine="480"/>
        <w:rPr>
          <w:kern w:val="0"/>
          <w:sz w:val="24"/>
        </w:rPr>
      </w:pPr>
      <w:r>
        <w:rPr>
          <w:kern w:val="0"/>
          <w:sz w:val="24"/>
        </w:rPr>
        <w:t>上述调整对本基金投资运作、基金份额持有人利益无实质性不利影响。</w:t>
      </w:r>
    </w:p>
    <w:p w:rsidR="0016189C" w:rsidRDefault="0016189C">
      <w:pPr>
        <w:spacing w:line="360" w:lineRule="auto"/>
        <w:ind w:firstLineChars="200" w:firstLine="480"/>
        <w:rPr>
          <w:kern w:val="0"/>
          <w:sz w:val="24"/>
        </w:rPr>
      </w:pPr>
    </w:p>
    <w:p w:rsidR="0016189C" w:rsidRDefault="00B34D58">
      <w:pPr>
        <w:spacing w:line="360" w:lineRule="auto"/>
        <w:ind w:firstLineChars="200" w:firstLine="480"/>
        <w:outlineLvl w:val="1"/>
        <w:rPr>
          <w:kern w:val="0"/>
          <w:sz w:val="24"/>
        </w:rPr>
      </w:pPr>
      <w:r>
        <w:rPr>
          <w:kern w:val="0"/>
          <w:sz w:val="24"/>
        </w:rPr>
        <w:t>6</w:t>
      </w:r>
      <w:r>
        <w:rPr>
          <w:kern w:val="0"/>
          <w:sz w:val="24"/>
        </w:rPr>
        <w:t>、易方达信息产业混合型证券投资基金</w:t>
      </w:r>
    </w:p>
    <w:p w:rsidR="0016189C" w:rsidRDefault="00B34D58">
      <w:pPr>
        <w:spacing w:line="360" w:lineRule="auto"/>
        <w:ind w:firstLineChars="200" w:firstLine="480"/>
        <w:rPr>
          <w:kern w:val="0"/>
          <w:sz w:val="24"/>
        </w:rPr>
      </w:pPr>
      <w:r>
        <w:rPr>
          <w:kern w:val="0"/>
          <w:sz w:val="24"/>
        </w:rPr>
        <w:t>（</w:t>
      </w:r>
      <w:r>
        <w:rPr>
          <w:kern w:val="0"/>
          <w:sz w:val="24"/>
        </w:rPr>
        <w:t>1</w:t>
      </w:r>
      <w:r>
        <w:rPr>
          <w:kern w:val="0"/>
          <w:sz w:val="24"/>
        </w:rPr>
        <w:t>）</w:t>
      </w:r>
      <w:r>
        <w:rPr>
          <w:b/>
          <w:kern w:val="0"/>
          <w:sz w:val="24"/>
        </w:rPr>
        <w:t>当前业绩比较基准：</w:t>
      </w:r>
      <w:r>
        <w:rPr>
          <w:rFonts w:hint="eastAsia"/>
          <w:kern w:val="0"/>
          <w:sz w:val="24"/>
        </w:rPr>
        <w:t>中证</w:t>
      </w:r>
      <w:r>
        <w:rPr>
          <w:kern w:val="0"/>
          <w:sz w:val="24"/>
        </w:rPr>
        <w:t>TMT</w:t>
      </w:r>
      <w:r>
        <w:rPr>
          <w:rFonts w:hint="eastAsia"/>
          <w:kern w:val="0"/>
          <w:sz w:val="24"/>
        </w:rPr>
        <w:t>产业主题指数收益率×</w:t>
      </w:r>
      <w:r>
        <w:rPr>
          <w:kern w:val="0"/>
          <w:sz w:val="24"/>
        </w:rPr>
        <w:t>70%+</w:t>
      </w:r>
      <w:r>
        <w:rPr>
          <w:rFonts w:hint="eastAsia"/>
          <w:kern w:val="0"/>
          <w:sz w:val="24"/>
        </w:rPr>
        <w:t>一年期人民币定期存款利率（税后）×</w:t>
      </w:r>
      <w:r>
        <w:rPr>
          <w:kern w:val="0"/>
          <w:sz w:val="24"/>
        </w:rPr>
        <w:t>30%</w:t>
      </w:r>
    </w:p>
    <w:p w:rsidR="0016189C" w:rsidRDefault="00B34D58" w:rsidP="00B34D58">
      <w:pPr>
        <w:spacing w:line="360" w:lineRule="auto"/>
        <w:ind w:firstLineChars="200" w:firstLine="482"/>
        <w:rPr>
          <w:kern w:val="0"/>
          <w:sz w:val="24"/>
        </w:rPr>
      </w:pPr>
      <w:r>
        <w:rPr>
          <w:b/>
          <w:kern w:val="0"/>
          <w:sz w:val="24"/>
        </w:rPr>
        <w:t>调整后新业绩比较基准：</w:t>
      </w:r>
      <w:r>
        <w:rPr>
          <w:kern w:val="0"/>
          <w:sz w:val="24"/>
        </w:rPr>
        <w:t>中证</w:t>
      </w:r>
      <w:r>
        <w:rPr>
          <w:kern w:val="0"/>
          <w:sz w:val="24"/>
        </w:rPr>
        <w:t>TMT</w:t>
      </w:r>
      <w:r>
        <w:rPr>
          <w:kern w:val="0"/>
          <w:sz w:val="24"/>
        </w:rPr>
        <w:t>产业主题指数收益率</w:t>
      </w:r>
      <w:r>
        <w:rPr>
          <w:sz w:val="24"/>
        </w:rPr>
        <w:t>×</w:t>
      </w:r>
      <w:r>
        <w:rPr>
          <w:kern w:val="0"/>
          <w:sz w:val="24"/>
        </w:rPr>
        <w:t>85%+</w:t>
      </w:r>
      <w:r>
        <w:rPr>
          <w:kern w:val="0"/>
          <w:sz w:val="24"/>
        </w:rPr>
        <w:t>中债</w:t>
      </w:r>
      <w:r>
        <w:rPr>
          <w:kern w:val="0"/>
          <w:sz w:val="24"/>
        </w:rPr>
        <w:t>-</w:t>
      </w:r>
      <w:r>
        <w:rPr>
          <w:kern w:val="0"/>
          <w:sz w:val="24"/>
        </w:rPr>
        <w:t>总全价（总值）指数收益率</w:t>
      </w:r>
      <w:r>
        <w:rPr>
          <w:sz w:val="24"/>
        </w:rPr>
        <w:t>×</w:t>
      </w:r>
      <w:r>
        <w:rPr>
          <w:kern w:val="0"/>
          <w:sz w:val="24"/>
        </w:rPr>
        <w:t>15%</w:t>
      </w:r>
    </w:p>
    <w:p w:rsidR="0016189C" w:rsidRDefault="00B34D58">
      <w:pPr>
        <w:spacing w:line="360" w:lineRule="auto"/>
        <w:ind w:firstLineChars="200" w:firstLine="480"/>
        <w:rPr>
          <w:b/>
          <w:kern w:val="0"/>
          <w:sz w:val="24"/>
        </w:rPr>
      </w:pPr>
      <w:r>
        <w:rPr>
          <w:kern w:val="0"/>
          <w:sz w:val="24"/>
        </w:rPr>
        <w:t>（</w:t>
      </w:r>
      <w:r>
        <w:rPr>
          <w:kern w:val="0"/>
          <w:sz w:val="24"/>
        </w:rPr>
        <w:t>2</w:t>
      </w:r>
      <w:r>
        <w:rPr>
          <w:kern w:val="0"/>
          <w:sz w:val="24"/>
        </w:rPr>
        <w:t>）</w:t>
      </w:r>
      <w:r>
        <w:rPr>
          <w:b/>
          <w:kern w:val="0"/>
          <w:sz w:val="24"/>
        </w:rPr>
        <w:t>新的业绩比较基准选择原因、差异及影响：</w:t>
      </w:r>
    </w:p>
    <w:p w:rsidR="0016189C" w:rsidRDefault="00B34D58">
      <w:pPr>
        <w:spacing w:line="360" w:lineRule="auto"/>
        <w:ind w:firstLineChars="200" w:firstLine="480"/>
        <w:rPr>
          <w:kern w:val="0"/>
          <w:sz w:val="24"/>
        </w:rPr>
      </w:pPr>
      <w:r>
        <w:rPr>
          <w:kern w:val="0"/>
          <w:sz w:val="24"/>
        </w:rPr>
        <w:t>此次本基金业绩比较基准调整同时涉及基准指数、基准要素权重调整。</w:t>
      </w:r>
    </w:p>
    <w:p w:rsidR="0016189C" w:rsidRDefault="00B34D58">
      <w:pPr>
        <w:spacing w:line="360" w:lineRule="auto"/>
        <w:ind w:firstLineChars="200" w:firstLine="480"/>
        <w:rPr>
          <w:kern w:val="0"/>
          <w:sz w:val="24"/>
        </w:rPr>
      </w:pPr>
      <w:r>
        <w:rPr>
          <w:kern w:val="0"/>
          <w:sz w:val="24"/>
        </w:rPr>
        <w:t>基于本</w:t>
      </w:r>
      <w:r>
        <w:rPr>
          <w:kern w:val="0"/>
          <w:sz w:val="24"/>
        </w:rPr>
        <w:t>基金的投资目标、投资范围和投资策略，本基金的债券资产采用全市场策略，主要通过类属配置与券种选择两个层次进行投资管理，经审慎评估，综合考虑基准指数与产品定位和投资风格的匹配度，同时兼顾考虑基准指数的表征性、认可度，以及基准指数券种等，新增中债</w:t>
      </w:r>
      <w:r>
        <w:rPr>
          <w:kern w:val="0"/>
          <w:sz w:val="24"/>
        </w:rPr>
        <w:t>-</w:t>
      </w:r>
      <w:r>
        <w:rPr>
          <w:kern w:val="0"/>
          <w:sz w:val="24"/>
        </w:rPr>
        <w:t>总全价（总值）指数</w:t>
      </w:r>
      <w:r w:rsidR="00184011" w:rsidRPr="00184011">
        <w:rPr>
          <w:rFonts w:hint="eastAsia"/>
          <w:kern w:val="0"/>
          <w:sz w:val="24"/>
        </w:rPr>
        <w:t>（指数代码</w:t>
      </w:r>
      <w:r w:rsidR="00184011" w:rsidRPr="00184011">
        <w:rPr>
          <w:rFonts w:hint="eastAsia"/>
          <w:kern w:val="0"/>
          <w:sz w:val="24"/>
        </w:rPr>
        <w:t>CBA00303</w:t>
      </w:r>
      <w:r w:rsidR="00184011" w:rsidRPr="00184011">
        <w:rPr>
          <w:rFonts w:hint="eastAsia"/>
          <w:kern w:val="0"/>
          <w:sz w:val="24"/>
        </w:rPr>
        <w:t>）</w:t>
      </w:r>
      <w:r>
        <w:rPr>
          <w:kern w:val="0"/>
          <w:sz w:val="24"/>
        </w:rPr>
        <w:t>作为债券部分的业绩比较基准要素。中债</w:t>
      </w:r>
      <w:r>
        <w:rPr>
          <w:kern w:val="0"/>
          <w:sz w:val="24"/>
        </w:rPr>
        <w:t>-</w:t>
      </w:r>
      <w:r>
        <w:rPr>
          <w:kern w:val="0"/>
          <w:sz w:val="24"/>
        </w:rPr>
        <w:t>总全价（总值）指数成份券由在境内公开发行且上市流通的记账式国债、央行票据和政策性银行债组成，反映境内利率类债券整体价格走势，适合作为本基金债券部分的业绩比较基准要素。</w:t>
      </w:r>
    </w:p>
    <w:p w:rsidR="0016189C" w:rsidRDefault="00B34D58">
      <w:pPr>
        <w:spacing w:line="360" w:lineRule="auto"/>
        <w:ind w:firstLineChars="200" w:firstLine="480"/>
        <w:rPr>
          <w:kern w:val="0"/>
          <w:sz w:val="24"/>
        </w:rPr>
      </w:pPr>
      <w:r>
        <w:rPr>
          <w:kern w:val="0"/>
          <w:sz w:val="24"/>
        </w:rPr>
        <w:t>基于本基金近年来股</w:t>
      </w:r>
      <w:r>
        <w:rPr>
          <w:kern w:val="0"/>
          <w:sz w:val="24"/>
        </w:rPr>
        <w:t>票资产的平均仓位，并结合基金合同约定的投资比例限制和产品定位，将业绩比较基准中的股票资产所对应的基准要素权重从</w:t>
      </w:r>
      <w:r>
        <w:rPr>
          <w:kern w:val="0"/>
          <w:sz w:val="24"/>
        </w:rPr>
        <w:t>70%</w:t>
      </w:r>
      <w:r>
        <w:rPr>
          <w:kern w:val="0"/>
          <w:sz w:val="24"/>
        </w:rPr>
        <w:t>提高至</w:t>
      </w:r>
      <w:r>
        <w:rPr>
          <w:kern w:val="0"/>
          <w:sz w:val="24"/>
        </w:rPr>
        <w:t>85%</w:t>
      </w:r>
      <w:r>
        <w:rPr>
          <w:kern w:val="0"/>
          <w:sz w:val="24"/>
        </w:rPr>
        <w:t>，并将债券资产所对应的基准要素权重设置为</w:t>
      </w:r>
      <w:r>
        <w:rPr>
          <w:kern w:val="0"/>
          <w:sz w:val="24"/>
        </w:rPr>
        <w:t>15%</w:t>
      </w:r>
      <w:r>
        <w:rPr>
          <w:kern w:val="0"/>
          <w:sz w:val="24"/>
        </w:rPr>
        <w:t>，从而使得新业绩比较基准中各大资产类别所对应的基准要素权重与基金过往实际投资运作等相匹配。</w:t>
      </w:r>
    </w:p>
    <w:p w:rsidR="0016189C" w:rsidRDefault="00B34D58">
      <w:pPr>
        <w:spacing w:line="360" w:lineRule="auto"/>
        <w:ind w:firstLineChars="200" w:firstLine="480"/>
        <w:rPr>
          <w:kern w:val="0"/>
          <w:sz w:val="24"/>
        </w:rPr>
      </w:pPr>
      <w:r>
        <w:rPr>
          <w:kern w:val="0"/>
          <w:sz w:val="24"/>
        </w:rPr>
        <w:t>上述调整对本基金投资运作、基金份额持有人利益无实质性不利影响。</w:t>
      </w:r>
    </w:p>
    <w:p w:rsidR="0016189C" w:rsidRDefault="0016189C">
      <w:pPr>
        <w:spacing w:line="360" w:lineRule="auto"/>
        <w:ind w:firstLineChars="200" w:firstLine="480"/>
        <w:rPr>
          <w:kern w:val="0"/>
          <w:sz w:val="24"/>
        </w:rPr>
      </w:pPr>
    </w:p>
    <w:p w:rsidR="0016189C" w:rsidRDefault="00B34D58">
      <w:pPr>
        <w:spacing w:line="360" w:lineRule="auto"/>
        <w:ind w:firstLineChars="200" w:firstLine="480"/>
        <w:outlineLvl w:val="1"/>
        <w:rPr>
          <w:kern w:val="0"/>
          <w:sz w:val="24"/>
        </w:rPr>
      </w:pPr>
      <w:r>
        <w:rPr>
          <w:kern w:val="0"/>
          <w:sz w:val="24"/>
        </w:rPr>
        <w:t>7</w:t>
      </w:r>
      <w:r>
        <w:rPr>
          <w:kern w:val="0"/>
          <w:sz w:val="24"/>
        </w:rPr>
        <w:t>、易方达供给改革灵活配置混合型证券投资基金</w:t>
      </w:r>
    </w:p>
    <w:p w:rsidR="0016189C" w:rsidRDefault="00B34D58">
      <w:pPr>
        <w:spacing w:line="360" w:lineRule="auto"/>
        <w:ind w:firstLineChars="200" w:firstLine="480"/>
        <w:rPr>
          <w:kern w:val="0"/>
          <w:sz w:val="24"/>
        </w:rPr>
      </w:pPr>
      <w:r>
        <w:rPr>
          <w:kern w:val="0"/>
          <w:sz w:val="24"/>
        </w:rPr>
        <w:t>（</w:t>
      </w:r>
      <w:r>
        <w:rPr>
          <w:kern w:val="0"/>
          <w:sz w:val="24"/>
        </w:rPr>
        <w:t>1</w:t>
      </w:r>
      <w:r>
        <w:rPr>
          <w:kern w:val="0"/>
          <w:sz w:val="24"/>
        </w:rPr>
        <w:t>）</w:t>
      </w:r>
      <w:r>
        <w:rPr>
          <w:b/>
          <w:kern w:val="0"/>
          <w:sz w:val="24"/>
        </w:rPr>
        <w:t>当前业绩比较基准：</w:t>
      </w:r>
      <w:r>
        <w:rPr>
          <w:kern w:val="0"/>
          <w:sz w:val="24"/>
        </w:rPr>
        <w:t>沪深</w:t>
      </w:r>
      <w:r>
        <w:rPr>
          <w:kern w:val="0"/>
          <w:sz w:val="24"/>
        </w:rPr>
        <w:t>300</w:t>
      </w:r>
      <w:r>
        <w:rPr>
          <w:kern w:val="0"/>
          <w:sz w:val="24"/>
        </w:rPr>
        <w:t>指数收益率</w:t>
      </w:r>
      <w:r>
        <w:rPr>
          <w:sz w:val="24"/>
        </w:rPr>
        <w:t>×</w:t>
      </w:r>
      <w:r>
        <w:rPr>
          <w:kern w:val="0"/>
          <w:sz w:val="24"/>
        </w:rPr>
        <w:t>65%+</w:t>
      </w:r>
      <w:r>
        <w:rPr>
          <w:kern w:val="0"/>
          <w:sz w:val="24"/>
        </w:rPr>
        <w:t>中债新综合财富指数收益率</w:t>
      </w:r>
      <w:r>
        <w:rPr>
          <w:sz w:val="24"/>
        </w:rPr>
        <w:t>×</w:t>
      </w:r>
      <w:r>
        <w:rPr>
          <w:kern w:val="0"/>
          <w:sz w:val="24"/>
        </w:rPr>
        <w:t>35%</w:t>
      </w:r>
    </w:p>
    <w:p w:rsidR="0016189C" w:rsidRDefault="00B34D58" w:rsidP="00B34D58">
      <w:pPr>
        <w:spacing w:line="360" w:lineRule="auto"/>
        <w:ind w:firstLineChars="200" w:firstLine="482"/>
        <w:rPr>
          <w:kern w:val="0"/>
          <w:sz w:val="24"/>
        </w:rPr>
      </w:pPr>
      <w:r>
        <w:rPr>
          <w:b/>
          <w:kern w:val="0"/>
          <w:sz w:val="24"/>
        </w:rPr>
        <w:t>调整后新业绩比较基准：</w:t>
      </w:r>
      <w:r>
        <w:rPr>
          <w:kern w:val="0"/>
          <w:sz w:val="24"/>
        </w:rPr>
        <w:t>中证</w:t>
      </w:r>
      <w:r>
        <w:rPr>
          <w:kern w:val="0"/>
          <w:sz w:val="24"/>
        </w:rPr>
        <w:t>800</w:t>
      </w:r>
      <w:r>
        <w:rPr>
          <w:kern w:val="0"/>
          <w:sz w:val="24"/>
        </w:rPr>
        <w:t>指数收益率</w:t>
      </w:r>
      <w:r>
        <w:rPr>
          <w:sz w:val="24"/>
        </w:rPr>
        <w:t>×</w:t>
      </w:r>
      <w:r>
        <w:rPr>
          <w:kern w:val="0"/>
          <w:sz w:val="24"/>
        </w:rPr>
        <w:t>8</w:t>
      </w:r>
      <w:r>
        <w:rPr>
          <w:kern w:val="0"/>
          <w:sz w:val="24"/>
        </w:rPr>
        <w:t>5%+</w:t>
      </w:r>
      <w:r>
        <w:rPr>
          <w:kern w:val="0"/>
          <w:sz w:val="24"/>
        </w:rPr>
        <w:t>中债</w:t>
      </w:r>
      <w:r>
        <w:rPr>
          <w:kern w:val="0"/>
          <w:sz w:val="24"/>
        </w:rPr>
        <w:t>-</w:t>
      </w:r>
      <w:r>
        <w:rPr>
          <w:kern w:val="0"/>
          <w:sz w:val="24"/>
        </w:rPr>
        <w:t>新综合财富（总值）指数收益率</w:t>
      </w:r>
      <w:r>
        <w:rPr>
          <w:sz w:val="24"/>
        </w:rPr>
        <w:t>×</w:t>
      </w:r>
      <w:r>
        <w:rPr>
          <w:kern w:val="0"/>
          <w:sz w:val="24"/>
        </w:rPr>
        <w:t>15%</w:t>
      </w:r>
    </w:p>
    <w:p w:rsidR="0016189C" w:rsidRDefault="00B34D58">
      <w:pPr>
        <w:spacing w:line="360" w:lineRule="auto"/>
        <w:ind w:firstLineChars="200" w:firstLine="480"/>
        <w:rPr>
          <w:kern w:val="0"/>
          <w:sz w:val="24"/>
        </w:rPr>
      </w:pPr>
      <w:r>
        <w:rPr>
          <w:kern w:val="0"/>
          <w:sz w:val="24"/>
        </w:rPr>
        <w:t>（</w:t>
      </w:r>
      <w:r>
        <w:rPr>
          <w:kern w:val="0"/>
          <w:sz w:val="24"/>
        </w:rPr>
        <w:t>2</w:t>
      </w:r>
      <w:r>
        <w:rPr>
          <w:kern w:val="0"/>
          <w:sz w:val="24"/>
        </w:rPr>
        <w:t>）</w:t>
      </w:r>
      <w:r>
        <w:rPr>
          <w:b/>
          <w:kern w:val="0"/>
          <w:sz w:val="24"/>
        </w:rPr>
        <w:t>新的业绩比较基准选择原因、差异及影响：</w:t>
      </w:r>
    </w:p>
    <w:p w:rsidR="0016189C" w:rsidRDefault="00B34D58">
      <w:pPr>
        <w:spacing w:line="360" w:lineRule="auto"/>
        <w:ind w:firstLineChars="200" w:firstLine="480"/>
        <w:rPr>
          <w:kern w:val="0"/>
          <w:sz w:val="24"/>
        </w:rPr>
      </w:pPr>
      <w:r>
        <w:rPr>
          <w:kern w:val="0"/>
          <w:sz w:val="24"/>
        </w:rPr>
        <w:t>此次本基金业绩比较基准调整同时涉及基准指数、基准要素权重调整，并按照要求对业绩比较基准表述进行了规范。</w:t>
      </w:r>
    </w:p>
    <w:p w:rsidR="0016189C" w:rsidRDefault="00B34D58">
      <w:pPr>
        <w:spacing w:line="360" w:lineRule="auto"/>
        <w:ind w:firstLineChars="200" w:firstLine="480"/>
        <w:rPr>
          <w:kern w:val="0"/>
          <w:sz w:val="24"/>
        </w:rPr>
      </w:pPr>
      <w:r>
        <w:rPr>
          <w:kern w:val="0"/>
          <w:sz w:val="24"/>
        </w:rPr>
        <w:t>基于本基金的投资目标、投资范围和投资策略，本基金的股票资产采用全市场选股策略，主要投资于供给改革主题相关公司，从而在控制风险的前提下，追求超越业绩比较基准的投资回报。经审慎评估，综合考虑基准指数与产品定位和投资风格的匹配度，同时兼顾考虑基准指数的表征性、认可度，以及指数市值覆盖、行业与个股分布等，将股票部分所对</w:t>
      </w:r>
      <w:r>
        <w:rPr>
          <w:kern w:val="0"/>
          <w:sz w:val="24"/>
        </w:rPr>
        <w:t>应的基准指数从沪深</w:t>
      </w:r>
      <w:r>
        <w:rPr>
          <w:kern w:val="0"/>
          <w:sz w:val="24"/>
        </w:rPr>
        <w:t>300</w:t>
      </w:r>
      <w:r>
        <w:rPr>
          <w:kern w:val="0"/>
          <w:sz w:val="24"/>
        </w:rPr>
        <w:t>指数调整为中证</w:t>
      </w:r>
      <w:r>
        <w:rPr>
          <w:kern w:val="0"/>
          <w:sz w:val="24"/>
        </w:rPr>
        <w:t>800</w:t>
      </w:r>
      <w:r>
        <w:rPr>
          <w:kern w:val="0"/>
          <w:sz w:val="24"/>
        </w:rPr>
        <w:t>指数。此外，基于本基金近年来股票资产的平均仓位，并结合基金合同约定的投资比例限制和产品定位，将业绩比较基准中的股票资产所对应的基准要素权重从</w:t>
      </w:r>
      <w:r>
        <w:rPr>
          <w:kern w:val="0"/>
          <w:sz w:val="24"/>
        </w:rPr>
        <w:t>65%</w:t>
      </w:r>
      <w:r>
        <w:rPr>
          <w:kern w:val="0"/>
          <w:sz w:val="24"/>
        </w:rPr>
        <w:t>提高至</w:t>
      </w:r>
      <w:r>
        <w:rPr>
          <w:kern w:val="0"/>
          <w:sz w:val="24"/>
        </w:rPr>
        <w:t>85%</w:t>
      </w:r>
      <w:r>
        <w:rPr>
          <w:kern w:val="0"/>
          <w:sz w:val="24"/>
        </w:rPr>
        <w:t>，并将债券资产所对应的基准要素权重从</w:t>
      </w:r>
      <w:r>
        <w:rPr>
          <w:kern w:val="0"/>
          <w:sz w:val="24"/>
        </w:rPr>
        <w:t>35%</w:t>
      </w:r>
      <w:r>
        <w:rPr>
          <w:kern w:val="0"/>
          <w:sz w:val="24"/>
        </w:rPr>
        <w:t>调低至</w:t>
      </w:r>
      <w:r>
        <w:rPr>
          <w:rFonts w:hint="eastAsia"/>
          <w:kern w:val="0"/>
          <w:sz w:val="24"/>
        </w:rPr>
        <w:t>1</w:t>
      </w:r>
      <w:r>
        <w:rPr>
          <w:kern w:val="0"/>
          <w:sz w:val="24"/>
        </w:rPr>
        <w:t>5%</w:t>
      </w:r>
      <w:r>
        <w:rPr>
          <w:kern w:val="0"/>
          <w:sz w:val="24"/>
        </w:rPr>
        <w:t>，</w:t>
      </w:r>
      <w:r>
        <w:rPr>
          <w:rFonts w:hint="eastAsia"/>
          <w:kern w:val="0"/>
          <w:sz w:val="24"/>
        </w:rPr>
        <w:t>从而</w:t>
      </w:r>
      <w:r>
        <w:rPr>
          <w:kern w:val="0"/>
          <w:sz w:val="24"/>
        </w:rPr>
        <w:t>使得新业绩比较基准中各大资产类别所对应的基准要素权重与基金过往实际投资运作相匹配。</w:t>
      </w:r>
    </w:p>
    <w:p w:rsidR="0016189C" w:rsidRDefault="00B34D58">
      <w:pPr>
        <w:spacing w:line="360" w:lineRule="auto"/>
        <w:ind w:firstLineChars="200" w:firstLine="480"/>
        <w:rPr>
          <w:kern w:val="0"/>
          <w:sz w:val="24"/>
        </w:rPr>
      </w:pPr>
      <w:r>
        <w:rPr>
          <w:kern w:val="0"/>
          <w:sz w:val="24"/>
        </w:rPr>
        <w:t>原业绩比较基准中，沪深</w:t>
      </w:r>
      <w:r>
        <w:rPr>
          <w:kern w:val="0"/>
          <w:sz w:val="24"/>
        </w:rPr>
        <w:t>300</w:t>
      </w:r>
      <w:r>
        <w:rPr>
          <w:kern w:val="0"/>
          <w:sz w:val="24"/>
        </w:rPr>
        <w:t>指数（指数代码</w:t>
      </w:r>
      <w:r>
        <w:rPr>
          <w:kern w:val="0"/>
          <w:sz w:val="24"/>
        </w:rPr>
        <w:t>000300</w:t>
      </w:r>
      <w:r>
        <w:rPr>
          <w:kern w:val="0"/>
          <w:sz w:val="24"/>
        </w:rPr>
        <w:t>）由沪深市场中规模大、流动性好的最具代表性的</w:t>
      </w:r>
      <w:r>
        <w:rPr>
          <w:kern w:val="0"/>
          <w:sz w:val="24"/>
        </w:rPr>
        <w:t>300</w:t>
      </w:r>
      <w:r>
        <w:rPr>
          <w:kern w:val="0"/>
          <w:sz w:val="24"/>
        </w:rPr>
        <w:t>只证券组成，以反映沪深市场上市公司证券的整体表现；调整后的新业</w:t>
      </w:r>
      <w:r>
        <w:rPr>
          <w:kern w:val="0"/>
          <w:sz w:val="24"/>
        </w:rPr>
        <w:t>绩比较基准中，中证</w:t>
      </w:r>
      <w:r>
        <w:rPr>
          <w:kern w:val="0"/>
          <w:sz w:val="24"/>
        </w:rPr>
        <w:t>800</w:t>
      </w:r>
      <w:r>
        <w:rPr>
          <w:kern w:val="0"/>
          <w:sz w:val="24"/>
        </w:rPr>
        <w:t>指数（指数代码</w:t>
      </w:r>
      <w:r>
        <w:rPr>
          <w:kern w:val="0"/>
          <w:sz w:val="24"/>
        </w:rPr>
        <w:t>000906</w:t>
      </w:r>
      <w:r>
        <w:rPr>
          <w:kern w:val="0"/>
          <w:sz w:val="24"/>
        </w:rPr>
        <w:t>）由沪深市场市值较大、流动性较好的</w:t>
      </w:r>
      <w:r>
        <w:rPr>
          <w:kern w:val="0"/>
          <w:sz w:val="24"/>
        </w:rPr>
        <w:t>800</w:t>
      </w:r>
      <w:r>
        <w:rPr>
          <w:kern w:val="0"/>
          <w:sz w:val="24"/>
        </w:rPr>
        <w:t>只股票构成，反映沪深市场大中盘上市公司证券的整体表现。调整后的中证</w:t>
      </w:r>
      <w:r>
        <w:rPr>
          <w:kern w:val="0"/>
          <w:sz w:val="24"/>
        </w:rPr>
        <w:t>800</w:t>
      </w:r>
      <w:r>
        <w:rPr>
          <w:kern w:val="0"/>
          <w:sz w:val="24"/>
        </w:rPr>
        <w:t>指数与基金实际持股风格更为匹配，从而能够更好反映本基金的产品定位和投资风格。</w:t>
      </w:r>
    </w:p>
    <w:p w:rsidR="0016189C" w:rsidRDefault="00B34D58">
      <w:pPr>
        <w:spacing w:line="360" w:lineRule="auto"/>
        <w:ind w:firstLineChars="200" w:firstLine="480"/>
        <w:rPr>
          <w:kern w:val="0"/>
          <w:sz w:val="24"/>
        </w:rPr>
      </w:pPr>
      <w:r>
        <w:rPr>
          <w:kern w:val="0"/>
          <w:sz w:val="24"/>
        </w:rPr>
        <w:t>上述调整对本基金投资运作、基金份额持有人利益无实质性不利影响。</w:t>
      </w:r>
    </w:p>
    <w:p w:rsidR="0016189C" w:rsidRDefault="0016189C">
      <w:pPr>
        <w:spacing w:line="360" w:lineRule="auto"/>
        <w:ind w:firstLineChars="200" w:firstLine="480"/>
        <w:rPr>
          <w:kern w:val="0"/>
          <w:sz w:val="24"/>
        </w:rPr>
      </w:pPr>
    </w:p>
    <w:p w:rsidR="0016189C" w:rsidRDefault="00B34D58">
      <w:pPr>
        <w:spacing w:line="360" w:lineRule="auto"/>
        <w:ind w:firstLineChars="200" w:firstLine="480"/>
        <w:outlineLvl w:val="1"/>
        <w:rPr>
          <w:kern w:val="0"/>
          <w:sz w:val="24"/>
        </w:rPr>
      </w:pPr>
      <w:r>
        <w:rPr>
          <w:kern w:val="0"/>
          <w:sz w:val="24"/>
        </w:rPr>
        <w:t>8</w:t>
      </w:r>
      <w:r>
        <w:rPr>
          <w:kern w:val="0"/>
          <w:sz w:val="24"/>
        </w:rPr>
        <w:t>、易方达积极成长证券投资基金</w:t>
      </w:r>
    </w:p>
    <w:p w:rsidR="0016189C" w:rsidRDefault="00B34D58">
      <w:pPr>
        <w:spacing w:line="360" w:lineRule="auto"/>
        <w:ind w:firstLineChars="200" w:firstLine="480"/>
        <w:rPr>
          <w:kern w:val="0"/>
          <w:sz w:val="24"/>
        </w:rPr>
      </w:pPr>
      <w:r>
        <w:rPr>
          <w:kern w:val="0"/>
          <w:sz w:val="24"/>
        </w:rPr>
        <w:t>（</w:t>
      </w:r>
      <w:r>
        <w:rPr>
          <w:kern w:val="0"/>
          <w:sz w:val="24"/>
        </w:rPr>
        <w:t>1</w:t>
      </w:r>
      <w:r>
        <w:rPr>
          <w:kern w:val="0"/>
          <w:sz w:val="24"/>
        </w:rPr>
        <w:t>）</w:t>
      </w:r>
      <w:r>
        <w:rPr>
          <w:b/>
          <w:kern w:val="0"/>
          <w:sz w:val="24"/>
        </w:rPr>
        <w:t>当前业绩比较基准：</w:t>
      </w:r>
      <w:r>
        <w:rPr>
          <w:kern w:val="0"/>
          <w:sz w:val="24"/>
        </w:rPr>
        <w:t>上证</w:t>
      </w:r>
      <w:r>
        <w:rPr>
          <w:kern w:val="0"/>
          <w:sz w:val="24"/>
        </w:rPr>
        <w:t>A</w:t>
      </w:r>
      <w:r>
        <w:rPr>
          <w:kern w:val="0"/>
          <w:sz w:val="24"/>
        </w:rPr>
        <w:t>股指数</w:t>
      </w:r>
    </w:p>
    <w:p w:rsidR="0016189C" w:rsidRDefault="00B34D58" w:rsidP="00B34D58">
      <w:pPr>
        <w:spacing w:line="360" w:lineRule="auto"/>
        <w:ind w:firstLineChars="200" w:firstLine="482"/>
        <w:rPr>
          <w:kern w:val="0"/>
          <w:sz w:val="24"/>
        </w:rPr>
      </w:pPr>
      <w:r>
        <w:rPr>
          <w:b/>
          <w:kern w:val="0"/>
          <w:sz w:val="24"/>
        </w:rPr>
        <w:t>调整后新业绩比较基准：</w:t>
      </w:r>
      <w:r>
        <w:rPr>
          <w:kern w:val="0"/>
          <w:sz w:val="24"/>
        </w:rPr>
        <w:t>中证</w:t>
      </w:r>
      <w:r>
        <w:rPr>
          <w:kern w:val="0"/>
          <w:sz w:val="24"/>
        </w:rPr>
        <w:t>800</w:t>
      </w:r>
      <w:r>
        <w:rPr>
          <w:kern w:val="0"/>
          <w:sz w:val="24"/>
        </w:rPr>
        <w:t>成长指数收益率</w:t>
      </w:r>
      <w:r>
        <w:rPr>
          <w:sz w:val="24"/>
        </w:rPr>
        <w:t>×</w:t>
      </w:r>
      <w:r>
        <w:rPr>
          <w:kern w:val="0"/>
          <w:sz w:val="24"/>
        </w:rPr>
        <w:t>85%+</w:t>
      </w:r>
      <w:r>
        <w:rPr>
          <w:kern w:val="0"/>
          <w:sz w:val="24"/>
        </w:rPr>
        <w:t>中债</w:t>
      </w:r>
      <w:r>
        <w:rPr>
          <w:kern w:val="0"/>
          <w:sz w:val="24"/>
        </w:rPr>
        <w:t>-</w:t>
      </w:r>
      <w:r>
        <w:rPr>
          <w:kern w:val="0"/>
          <w:sz w:val="24"/>
        </w:rPr>
        <w:t>总全价（总值）指数收益率</w:t>
      </w:r>
      <w:r>
        <w:rPr>
          <w:sz w:val="24"/>
        </w:rPr>
        <w:t>×</w:t>
      </w:r>
      <w:r>
        <w:rPr>
          <w:kern w:val="0"/>
          <w:sz w:val="24"/>
        </w:rPr>
        <w:t>15%</w:t>
      </w:r>
    </w:p>
    <w:p w:rsidR="0016189C" w:rsidRDefault="00B34D58">
      <w:pPr>
        <w:spacing w:line="360" w:lineRule="auto"/>
        <w:ind w:firstLineChars="200" w:firstLine="480"/>
        <w:rPr>
          <w:b/>
          <w:kern w:val="0"/>
          <w:sz w:val="24"/>
        </w:rPr>
      </w:pPr>
      <w:r>
        <w:rPr>
          <w:kern w:val="0"/>
          <w:sz w:val="24"/>
        </w:rPr>
        <w:t>（</w:t>
      </w:r>
      <w:r>
        <w:rPr>
          <w:kern w:val="0"/>
          <w:sz w:val="24"/>
        </w:rPr>
        <w:t>2</w:t>
      </w:r>
      <w:r>
        <w:rPr>
          <w:kern w:val="0"/>
          <w:sz w:val="24"/>
        </w:rPr>
        <w:t>）</w:t>
      </w:r>
      <w:r>
        <w:rPr>
          <w:b/>
          <w:kern w:val="0"/>
          <w:sz w:val="24"/>
        </w:rPr>
        <w:t>新的业绩比较基准选择原因、差异及影响：</w:t>
      </w:r>
    </w:p>
    <w:p w:rsidR="0016189C" w:rsidRDefault="00B34D58">
      <w:pPr>
        <w:spacing w:line="360" w:lineRule="auto"/>
        <w:ind w:firstLineChars="200" w:firstLine="480"/>
        <w:rPr>
          <w:kern w:val="0"/>
          <w:sz w:val="24"/>
        </w:rPr>
      </w:pPr>
      <w:r>
        <w:rPr>
          <w:kern w:val="0"/>
          <w:sz w:val="24"/>
        </w:rPr>
        <w:t>此次本基金业绩比较基准调整同时涉及基准指数、基准要素权重调整。</w:t>
      </w:r>
    </w:p>
    <w:p w:rsidR="0016189C" w:rsidRDefault="00B34D58">
      <w:pPr>
        <w:spacing w:line="360" w:lineRule="auto"/>
        <w:ind w:firstLineChars="200" w:firstLine="480"/>
        <w:rPr>
          <w:kern w:val="0"/>
          <w:sz w:val="24"/>
        </w:rPr>
      </w:pPr>
      <w:r>
        <w:rPr>
          <w:kern w:val="0"/>
          <w:sz w:val="24"/>
        </w:rPr>
        <w:t>基于本基金的投资目标、投资范围和投资策略，本基金的股票资产采用全市场选股策略，</w:t>
      </w:r>
      <w:r>
        <w:rPr>
          <w:rFonts w:hint="eastAsia"/>
          <w:kern w:val="0"/>
          <w:sz w:val="24"/>
        </w:rPr>
        <w:t>通过定量分析与定性分析的方法选择具有良好成长性的上市公司进行投资，追求基金资产的长期最大化增值</w:t>
      </w:r>
      <w:r>
        <w:rPr>
          <w:kern w:val="0"/>
          <w:sz w:val="24"/>
        </w:rPr>
        <w:t>，预期整体偏向于成长投资风格。经审慎评估，综合考虑基准指数与产品定位和投资风格的匹配度，同时兼顾考虑基准指数的表征性、认可度，以及指数市值覆盖、风格特征、行业与个股分布等，将股票部分所对应的基准指数从上证</w:t>
      </w:r>
      <w:r>
        <w:rPr>
          <w:kern w:val="0"/>
          <w:sz w:val="24"/>
        </w:rPr>
        <w:t>A</w:t>
      </w:r>
      <w:r>
        <w:rPr>
          <w:kern w:val="0"/>
          <w:sz w:val="24"/>
        </w:rPr>
        <w:t>股指数调整为中证</w:t>
      </w:r>
      <w:r>
        <w:rPr>
          <w:kern w:val="0"/>
          <w:sz w:val="24"/>
        </w:rPr>
        <w:t>800</w:t>
      </w:r>
      <w:r>
        <w:rPr>
          <w:kern w:val="0"/>
          <w:sz w:val="24"/>
        </w:rPr>
        <w:t>成长指数。此外，本基金的债券资产采用全市场策略，将根据对利率走势的预测、债券等级、债券的期限结构、风险结构、不同品种流动性的高低等因素构造债券组合，经审慎评估，综合考虑基准指数与产品定位和投资风格的匹配度，同时兼顾考虑基准指数的表征性、认可度，以及基准指数券种等，新增中债</w:t>
      </w:r>
      <w:r>
        <w:rPr>
          <w:kern w:val="0"/>
          <w:sz w:val="24"/>
        </w:rPr>
        <w:t>-</w:t>
      </w:r>
      <w:r>
        <w:rPr>
          <w:kern w:val="0"/>
          <w:sz w:val="24"/>
        </w:rPr>
        <w:t>总全价（总值）指数作为债券部分的业绩比较基准要素。</w:t>
      </w:r>
    </w:p>
    <w:p w:rsidR="0016189C" w:rsidRDefault="00B34D58">
      <w:pPr>
        <w:spacing w:line="360" w:lineRule="auto"/>
        <w:ind w:firstLineChars="200" w:firstLine="480"/>
        <w:rPr>
          <w:kern w:val="0"/>
          <w:sz w:val="24"/>
        </w:rPr>
      </w:pPr>
      <w:r>
        <w:rPr>
          <w:kern w:val="0"/>
          <w:sz w:val="24"/>
        </w:rPr>
        <w:t>基于本基金近年来股票资产的平均仓位，并</w:t>
      </w:r>
      <w:r>
        <w:rPr>
          <w:rFonts w:hint="eastAsia"/>
          <w:kern w:val="0"/>
          <w:sz w:val="24"/>
        </w:rPr>
        <w:t>结合基金合同约定的投资比例限制和产品定位，</w:t>
      </w:r>
      <w:r>
        <w:rPr>
          <w:kern w:val="0"/>
          <w:sz w:val="24"/>
        </w:rPr>
        <w:t>将业绩比较基准中的股票资产所对应的基准要素权重从</w:t>
      </w:r>
      <w:r>
        <w:rPr>
          <w:kern w:val="0"/>
          <w:sz w:val="24"/>
        </w:rPr>
        <w:t>100%</w:t>
      </w:r>
      <w:r>
        <w:rPr>
          <w:kern w:val="0"/>
          <w:sz w:val="24"/>
        </w:rPr>
        <w:t>调低至</w:t>
      </w:r>
      <w:r>
        <w:rPr>
          <w:kern w:val="0"/>
          <w:sz w:val="24"/>
        </w:rPr>
        <w:t>85%</w:t>
      </w:r>
      <w:r>
        <w:rPr>
          <w:kern w:val="0"/>
          <w:sz w:val="24"/>
        </w:rPr>
        <w:t>，并将债券资产所对应的基准要素权重设置</w:t>
      </w:r>
      <w:r>
        <w:rPr>
          <w:kern w:val="0"/>
          <w:sz w:val="24"/>
        </w:rPr>
        <w:t>为</w:t>
      </w:r>
      <w:r>
        <w:rPr>
          <w:kern w:val="0"/>
          <w:sz w:val="24"/>
        </w:rPr>
        <w:t>15%</w:t>
      </w:r>
      <w:r>
        <w:rPr>
          <w:kern w:val="0"/>
          <w:sz w:val="24"/>
        </w:rPr>
        <w:t>，</w:t>
      </w:r>
      <w:r>
        <w:rPr>
          <w:rFonts w:hint="eastAsia"/>
          <w:kern w:val="0"/>
          <w:sz w:val="24"/>
        </w:rPr>
        <w:t>从而</w:t>
      </w:r>
      <w:r>
        <w:rPr>
          <w:kern w:val="0"/>
          <w:sz w:val="24"/>
        </w:rPr>
        <w:t>使得新业绩比较基准中各大资产类别所对应的基准要素权重与</w:t>
      </w:r>
      <w:r>
        <w:rPr>
          <w:rFonts w:hint="eastAsia"/>
          <w:kern w:val="0"/>
          <w:sz w:val="24"/>
        </w:rPr>
        <w:t>产品的长期定位</w:t>
      </w:r>
      <w:r>
        <w:rPr>
          <w:kern w:val="0"/>
          <w:sz w:val="24"/>
        </w:rPr>
        <w:t>相匹配。</w:t>
      </w:r>
    </w:p>
    <w:p w:rsidR="0016189C" w:rsidRDefault="00B34D58">
      <w:pPr>
        <w:spacing w:line="360" w:lineRule="auto"/>
        <w:ind w:firstLineChars="200" w:firstLine="480"/>
        <w:rPr>
          <w:kern w:val="0"/>
          <w:sz w:val="24"/>
        </w:rPr>
      </w:pPr>
      <w:r>
        <w:rPr>
          <w:kern w:val="0"/>
          <w:sz w:val="24"/>
        </w:rPr>
        <w:t>原业绩比较基准中，上证</w:t>
      </w:r>
      <w:r>
        <w:rPr>
          <w:kern w:val="0"/>
          <w:sz w:val="24"/>
        </w:rPr>
        <w:t>A</w:t>
      </w:r>
      <w:r>
        <w:rPr>
          <w:kern w:val="0"/>
          <w:sz w:val="24"/>
        </w:rPr>
        <w:t>股指数（指数代码</w:t>
      </w:r>
      <w:r>
        <w:rPr>
          <w:kern w:val="0"/>
          <w:sz w:val="24"/>
        </w:rPr>
        <w:t>000002</w:t>
      </w:r>
      <w:r>
        <w:rPr>
          <w:kern w:val="0"/>
          <w:sz w:val="24"/>
        </w:rPr>
        <w:t>）由上海证券交易所上市的符合条件的</w:t>
      </w:r>
      <w:r>
        <w:rPr>
          <w:kern w:val="0"/>
          <w:sz w:val="24"/>
        </w:rPr>
        <w:t>A</w:t>
      </w:r>
      <w:r>
        <w:rPr>
          <w:kern w:val="0"/>
          <w:sz w:val="24"/>
        </w:rPr>
        <w:t>股组成样本股，反映上海市场</w:t>
      </w:r>
      <w:r>
        <w:rPr>
          <w:kern w:val="0"/>
          <w:sz w:val="24"/>
        </w:rPr>
        <w:t>A</w:t>
      </w:r>
      <w:r>
        <w:rPr>
          <w:kern w:val="0"/>
          <w:sz w:val="24"/>
        </w:rPr>
        <w:t>股的股价整体表现；调整后的新业绩比较基准中，中证</w:t>
      </w:r>
      <w:r>
        <w:rPr>
          <w:kern w:val="0"/>
          <w:sz w:val="24"/>
        </w:rPr>
        <w:t>800</w:t>
      </w:r>
      <w:r>
        <w:rPr>
          <w:kern w:val="0"/>
          <w:sz w:val="24"/>
        </w:rPr>
        <w:t>成长指数（指数代码</w:t>
      </w:r>
      <w:r>
        <w:rPr>
          <w:kern w:val="0"/>
          <w:sz w:val="24"/>
        </w:rPr>
        <w:t>H30355</w:t>
      </w:r>
      <w:r>
        <w:rPr>
          <w:kern w:val="0"/>
          <w:sz w:val="24"/>
        </w:rPr>
        <w:t>）从中证</w:t>
      </w:r>
      <w:r>
        <w:rPr>
          <w:kern w:val="0"/>
          <w:sz w:val="24"/>
        </w:rPr>
        <w:t>800</w:t>
      </w:r>
      <w:r>
        <w:rPr>
          <w:kern w:val="0"/>
          <w:sz w:val="24"/>
        </w:rPr>
        <w:t>指数样本中，选取成长因子得分最高的</w:t>
      </w:r>
      <w:r>
        <w:rPr>
          <w:kern w:val="0"/>
          <w:sz w:val="24"/>
        </w:rPr>
        <w:t>150</w:t>
      </w:r>
      <w:r>
        <w:rPr>
          <w:kern w:val="0"/>
          <w:sz w:val="24"/>
        </w:rPr>
        <w:t>只证券作为指数样本，并采用成长因子得分调整后的自由流通市值加权，反映中证</w:t>
      </w:r>
      <w:r>
        <w:rPr>
          <w:kern w:val="0"/>
          <w:sz w:val="24"/>
        </w:rPr>
        <w:t>800</w:t>
      </w:r>
      <w:r>
        <w:rPr>
          <w:kern w:val="0"/>
          <w:sz w:val="24"/>
        </w:rPr>
        <w:t>指数样本中具有成长特征的上市公司证券的整体表现；中债</w:t>
      </w:r>
      <w:r>
        <w:rPr>
          <w:kern w:val="0"/>
          <w:sz w:val="24"/>
        </w:rPr>
        <w:t>-</w:t>
      </w:r>
      <w:r>
        <w:rPr>
          <w:kern w:val="0"/>
          <w:sz w:val="24"/>
        </w:rPr>
        <w:t>总全价（总值）指数（指数代码</w:t>
      </w:r>
      <w:r>
        <w:rPr>
          <w:kern w:val="0"/>
          <w:sz w:val="24"/>
        </w:rPr>
        <w:t>CBA</w:t>
      </w:r>
      <w:r>
        <w:rPr>
          <w:kern w:val="0"/>
          <w:sz w:val="24"/>
        </w:rPr>
        <w:t>00303</w:t>
      </w:r>
      <w:r>
        <w:rPr>
          <w:kern w:val="0"/>
          <w:sz w:val="24"/>
        </w:rPr>
        <w:t>）成份券由在境内公开发行且上市流通的记账式国债、央行票据和政策性银行债组成，反映境内利率类债券整体价格走势。调整后的中证</w:t>
      </w:r>
      <w:r>
        <w:rPr>
          <w:kern w:val="0"/>
          <w:sz w:val="24"/>
        </w:rPr>
        <w:t>800</w:t>
      </w:r>
      <w:r>
        <w:rPr>
          <w:kern w:val="0"/>
          <w:sz w:val="24"/>
        </w:rPr>
        <w:t>成长指数、中债</w:t>
      </w:r>
      <w:r>
        <w:rPr>
          <w:kern w:val="0"/>
          <w:sz w:val="24"/>
        </w:rPr>
        <w:t>-</w:t>
      </w:r>
      <w:r>
        <w:rPr>
          <w:kern w:val="0"/>
          <w:sz w:val="24"/>
        </w:rPr>
        <w:t>总全价（总值）指数与基金实际持券风格更为匹配，从而能够更好反映本基金的产品定位和投资风格。</w:t>
      </w:r>
    </w:p>
    <w:p w:rsidR="0016189C" w:rsidRDefault="00B34D58">
      <w:pPr>
        <w:spacing w:line="360" w:lineRule="auto"/>
        <w:ind w:firstLineChars="200" w:firstLine="480"/>
        <w:rPr>
          <w:kern w:val="0"/>
          <w:sz w:val="24"/>
        </w:rPr>
      </w:pPr>
      <w:r>
        <w:rPr>
          <w:kern w:val="0"/>
          <w:sz w:val="24"/>
        </w:rPr>
        <w:t>上述调整对本基金投资运作、基金份额持有人利益无实质性不利影响。</w:t>
      </w:r>
    </w:p>
    <w:p w:rsidR="0016189C" w:rsidRDefault="0016189C">
      <w:pPr>
        <w:spacing w:line="360" w:lineRule="auto"/>
        <w:ind w:firstLineChars="200" w:firstLine="480"/>
        <w:rPr>
          <w:kern w:val="0"/>
          <w:sz w:val="24"/>
        </w:rPr>
      </w:pPr>
    </w:p>
    <w:p w:rsidR="0016189C" w:rsidRDefault="00B34D58">
      <w:pPr>
        <w:spacing w:line="360" w:lineRule="auto"/>
        <w:ind w:firstLineChars="200" w:firstLine="480"/>
        <w:outlineLvl w:val="1"/>
        <w:rPr>
          <w:kern w:val="0"/>
          <w:sz w:val="24"/>
        </w:rPr>
      </w:pPr>
      <w:r>
        <w:rPr>
          <w:kern w:val="0"/>
          <w:sz w:val="24"/>
        </w:rPr>
        <w:t>9</w:t>
      </w:r>
      <w:r>
        <w:rPr>
          <w:kern w:val="0"/>
          <w:sz w:val="24"/>
        </w:rPr>
        <w:t>、易方达医药生物股票型证券投资基金</w:t>
      </w:r>
    </w:p>
    <w:p w:rsidR="0016189C" w:rsidRDefault="00B34D58">
      <w:pPr>
        <w:spacing w:line="360" w:lineRule="auto"/>
        <w:ind w:firstLineChars="200" w:firstLine="480"/>
        <w:rPr>
          <w:kern w:val="0"/>
          <w:sz w:val="24"/>
        </w:rPr>
      </w:pPr>
      <w:r>
        <w:rPr>
          <w:kern w:val="0"/>
          <w:sz w:val="24"/>
        </w:rPr>
        <w:t>（</w:t>
      </w:r>
      <w:r>
        <w:rPr>
          <w:kern w:val="0"/>
          <w:sz w:val="24"/>
        </w:rPr>
        <w:t>1</w:t>
      </w:r>
      <w:r>
        <w:rPr>
          <w:kern w:val="0"/>
          <w:sz w:val="24"/>
        </w:rPr>
        <w:t>）</w:t>
      </w:r>
      <w:r>
        <w:rPr>
          <w:b/>
          <w:kern w:val="0"/>
          <w:sz w:val="24"/>
        </w:rPr>
        <w:t>当前业绩比较基准：</w:t>
      </w:r>
      <w:r>
        <w:rPr>
          <w:kern w:val="0"/>
          <w:sz w:val="24"/>
        </w:rPr>
        <w:t>申万医药生物行业指数收益率</w:t>
      </w:r>
      <w:r>
        <w:rPr>
          <w:sz w:val="24"/>
        </w:rPr>
        <w:t>×</w:t>
      </w:r>
      <w:r>
        <w:rPr>
          <w:kern w:val="0"/>
          <w:sz w:val="24"/>
        </w:rPr>
        <w:t>70%+</w:t>
      </w:r>
      <w:r>
        <w:rPr>
          <w:kern w:val="0"/>
          <w:sz w:val="24"/>
        </w:rPr>
        <w:t>中证港股通医药卫生综合指数收益率</w:t>
      </w:r>
      <w:r>
        <w:rPr>
          <w:sz w:val="24"/>
        </w:rPr>
        <w:t>×</w:t>
      </w:r>
      <w:r>
        <w:rPr>
          <w:kern w:val="0"/>
          <w:sz w:val="24"/>
        </w:rPr>
        <w:t>15%+</w:t>
      </w:r>
      <w:r>
        <w:rPr>
          <w:kern w:val="0"/>
          <w:sz w:val="24"/>
        </w:rPr>
        <w:t>中债总指数收益率</w:t>
      </w:r>
      <w:r>
        <w:rPr>
          <w:sz w:val="24"/>
        </w:rPr>
        <w:t>×</w:t>
      </w:r>
      <w:r>
        <w:rPr>
          <w:kern w:val="0"/>
          <w:sz w:val="24"/>
        </w:rPr>
        <w:t>15%</w:t>
      </w:r>
    </w:p>
    <w:p w:rsidR="0016189C" w:rsidRDefault="00B34D58" w:rsidP="00B34D58">
      <w:pPr>
        <w:spacing w:line="360" w:lineRule="auto"/>
        <w:ind w:firstLineChars="200" w:firstLine="482"/>
        <w:rPr>
          <w:kern w:val="0"/>
          <w:sz w:val="24"/>
        </w:rPr>
      </w:pPr>
      <w:r>
        <w:rPr>
          <w:b/>
          <w:kern w:val="0"/>
          <w:sz w:val="24"/>
        </w:rPr>
        <w:t>调整后新业绩比较基准：</w:t>
      </w:r>
      <w:r>
        <w:rPr>
          <w:kern w:val="0"/>
          <w:sz w:val="24"/>
        </w:rPr>
        <w:t>中证全指医药卫</w:t>
      </w:r>
      <w:r>
        <w:rPr>
          <w:kern w:val="0"/>
          <w:sz w:val="24"/>
        </w:rPr>
        <w:t>生指数收益率</w:t>
      </w:r>
      <w:r>
        <w:rPr>
          <w:sz w:val="24"/>
        </w:rPr>
        <w:t>×</w:t>
      </w:r>
      <w:r>
        <w:rPr>
          <w:kern w:val="0"/>
          <w:sz w:val="24"/>
        </w:rPr>
        <w:t>50%+</w:t>
      </w:r>
      <w:r>
        <w:rPr>
          <w:kern w:val="0"/>
          <w:sz w:val="24"/>
        </w:rPr>
        <w:t>中证港股通医药卫生综合指数（人民币）收益率</w:t>
      </w:r>
      <w:r>
        <w:rPr>
          <w:sz w:val="24"/>
        </w:rPr>
        <w:t>×</w:t>
      </w:r>
      <w:r>
        <w:rPr>
          <w:kern w:val="0"/>
          <w:sz w:val="24"/>
        </w:rPr>
        <w:t>40%+</w:t>
      </w:r>
      <w:r>
        <w:rPr>
          <w:kern w:val="0"/>
          <w:sz w:val="24"/>
        </w:rPr>
        <w:t>中债</w:t>
      </w:r>
      <w:r>
        <w:rPr>
          <w:kern w:val="0"/>
          <w:sz w:val="24"/>
        </w:rPr>
        <w:t>-</w:t>
      </w:r>
      <w:r>
        <w:rPr>
          <w:kern w:val="0"/>
          <w:sz w:val="24"/>
        </w:rPr>
        <w:t>总全价（总值）指数收益率</w:t>
      </w:r>
      <w:r>
        <w:rPr>
          <w:sz w:val="24"/>
        </w:rPr>
        <w:t>×</w:t>
      </w:r>
      <w:r>
        <w:rPr>
          <w:kern w:val="0"/>
          <w:sz w:val="24"/>
        </w:rPr>
        <w:t>10%</w:t>
      </w:r>
    </w:p>
    <w:p w:rsidR="0016189C" w:rsidRDefault="00B34D58">
      <w:pPr>
        <w:spacing w:line="360" w:lineRule="auto"/>
        <w:ind w:firstLineChars="200" w:firstLine="480"/>
        <w:rPr>
          <w:b/>
          <w:kern w:val="0"/>
          <w:sz w:val="24"/>
        </w:rPr>
      </w:pPr>
      <w:r>
        <w:rPr>
          <w:kern w:val="0"/>
          <w:sz w:val="24"/>
        </w:rPr>
        <w:t>（</w:t>
      </w:r>
      <w:r>
        <w:rPr>
          <w:kern w:val="0"/>
          <w:sz w:val="24"/>
        </w:rPr>
        <w:t>2</w:t>
      </w:r>
      <w:r>
        <w:rPr>
          <w:kern w:val="0"/>
          <w:sz w:val="24"/>
        </w:rPr>
        <w:t>）</w:t>
      </w:r>
      <w:r>
        <w:rPr>
          <w:b/>
          <w:kern w:val="0"/>
          <w:sz w:val="24"/>
        </w:rPr>
        <w:t>新的业绩比较基准选择原因、差异及影响：</w:t>
      </w:r>
    </w:p>
    <w:p w:rsidR="0016189C" w:rsidRDefault="00B34D58">
      <w:pPr>
        <w:spacing w:line="360" w:lineRule="auto"/>
        <w:ind w:firstLineChars="200" w:firstLine="480"/>
        <w:rPr>
          <w:kern w:val="0"/>
          <w:sz w:val="24"/>
        </w:rPr>
      </w:pPr>
      <w:r>
        <w:rPr>
          <w:kern w:val="0"/>
          <w:sz w:val="24"/>
        </w:rPr>
        <w:t>此次本基金业绩比较基准调整同时涉及基准指数、基准要素权重调整，并按照要求对业绩比较基准表述进行了规范。</w:t>
      </w:r>
    </w:p>
    <w:p w:rsidR="0016189C" w:rsidRDefault="00B34D58">
      <w:pPr>
        <w:spacing w:line="360" w:lineRule="auto"/>
        <w:ind w:firstLineChars="200" w:firstLine="480"/>
        <w:rPr>
          <w:kern w:val="0"/>
          <w:sz w:val="24"/>
        </w:rPr>
      </w:pPr>
      <w:r>
        <w:rPr>
          <w:kern w:val="0"/>
          <w:sz w:val="24"/>
        </w:rPr>
        <w:t>基于本基金的投资目标、投资范围和投资策略，本基金的股票资产主要投资</w:t>
      </w:r>
      <w:r>
        <w:rPr>
          <w:rFonts w:hint="eastAsia"/>
          <w:kern w:val="0"/>
          <w:sz w:val="24"/>
        </w:rPr>
        <w:t>医药生物行业，</w:t>
      </w:r>
      <w:r>
        <w:rPr>
          <w:rFonts w:hint="eastAsia"/>
          <w:bCs/>
          <w:sz w:val="24"/>
        </w:rPr>
        <w:t>本基金所指的医药生物行业包括</w:t>
      </w:r>
      <w:r>
        <w:rPr>
          <w:kern w:val="0"/>
          <w:sz w:val="24"/>
        </w:rPr>
        <w:t>化学制药行业、中药行业、生物制品行业、医药商业行业、医疗器械行业和医疗服务行业</w:t>
      </w:r>
      <w:r>
        <w:rPr>
          <w:rFonts w:hint="eastAsia"/>
          <w:kern w:val="0"/>
          <w:sz w:val="24"/>
        </w:rPr>
        <w:t>等</w:t>
      </w:r>
      <w:r>
        <w:rPr>
          <w:kern w:val="0"/>
          <w:sz w:val="24"/>
        </w:rPr>
        <w:t>，</w:t>
      </w:r>
      <w:r w:rsidR="00CA264C" w:rsidRPr="00CA264C">
        <w:rPr>
          <w:rFonts w:hint="eastAsia"/>
          <w:kern w:val="0"/>
          <w:sz w:val="24"/>
        </w:rPr>
        <w:t>通过定性和定量指标的综合分析，选择具有较强竞争优势的公司，进行股票投资组合的构建</w:t>
      </w:r>
      <w:r w:rsidR="00CA264C">
        <w:rPr>
          <w:rFonts w:hint="eastAsia"/>
          <w:kern w:val="0"/>
          <w:sz w:val="24"/>
        </w:rPr>
        <w:t>，</w:t>
      </w:r>
      <w:r>
        <w:rPr>
          <w:kern w:val="0"/>
          <w:sz w:val="24"/>
        </w:rPr>
        <w:t>从而在控制风险的前提下，追求超越业绩比较基准的投资回报。综合考虑基准指数与产品定位、投资风格的匹配度，同时兼顾考虑基准指数的表征性、认可度，以及指数主题界定、市值覆盖、行业与个股分布等，本基金的</w:t>
      </w:r>
      <w:r>
        <w:rPr>
          <w:kern w:val="0"/>
          <w:sz w:val="24"/>
        </w:rPr>
        <w:t>A</w:t>
      </w:r>
      <w:r>
        <w:rPr>
          <w:kern w:val="0"/>
          <w:sz w:val="24"/>
        </w:rPr>
        <w:t>股股票部分所对应的基准指数从申万医药生物行业指数调整为中证全指医药卫生指数，港股通股票部分所对应的基准指数保持不变。此外，基于本基金近年来股票资产的平均仓位，</w:t>
      </w:r>
      <w:r>
        <w:rPr>
          <w:rFonts w:hint="eastAsia"/>
          <w:kern w:val="0"/>
          <w:sz w:val="24"/>
        </w:rPr>
        <w:t>并结合基金合同约定的投资比例限制和产品定位</w:t>
      </w:r>
      <w:r>
        <w:rPr>
          <w:kern w:val="0"/>
          <w:sz w:val="24"/>
        </w:rPr>
        <w:t>，将业绩比较基准中的股票资产所对应的基准要素权重从</w:t>
      </w:r>
      <w:r>
        <w:rPr>
          <w:kern w:val="0"/>
          <w:sz w:val="24"/>
        </w:rPr>
        <w:t>85%</w:t>
      </w:r>
      <w:r>
        <w:rPr>
          <w:kern w:val="0"/>
          <w:sz w:val="24"/>
        </w:rPr>
        <w:t>提高至</w:t>
      </w:r>
      <w:r>
        <w:rPr>
          <w:kern w:val="0"/>
          <w:sz w:val="24"/>
        </w:rPr>
        <w:t>90%</w:t>
      </w:r>
      <w:r>
        <w:rPr>
          <w:kern w:val="0"/>
          <w:sz w:val="24"/>
        </w:rPr>
        <w:t>（其中</w:t>
      </w:r>
      <w:r>
        <w:rPr>
          <w:kern w:val="0"/>
          <w:sz w:val="24"/>
        </w:rPr>
        <w:t>A</w:t>
      </w:r>
      <w:r>
        <w:rPr>
          <w:kern w:val="0"/>
          <w:sz w:val="24"/>
        </w:rPr>
        <w:t>股股票部分的基准</w:t>
      </w:r>
      <w:r>
        <w:rPr>
          <w:kern w:val="0"/>
          <w:sz w:val="24"/>
        </w:rPr>
        <w:t>要素权重相应从</w:t>
      </w:r>
      <w:r>
        <w:rPr>
          <w:kern w:val="0"/>
          <w:sz w:val="24"/>
        </w:rPr>
        <w:t>70%</w:t>
      </w:r>
      <w:r>
        <w:rPr>
          <w:kern w:val="0"/>
          <w:sz w:val="24"/>
        </w:rPr>
        <w:t>降低至</w:t>
      </w:r>
      <w:r>
        <w:rPr>
          <w:kern w:val="0"/>
          <w:sz w:val="24"/>
        </w:rPr>
        <w:t>50%</w:t>
      </w:r>
      <w:r>
        <w:rPr>
          <w:kern w:val="0"/>
          <w:sz w:val="24"/>
        </w:rPr>
        <w:t>，港股通股票部分的基准要素权重从</w:t>
      </w:r>
      <w:r>
        <w:rPr>
          <w:kern w:val="0"/>
          <w:sz w:val="24"/>
        </w:rPr>
        <w:t>15%</w:t>
      </w:r>
      <w:r>
        <w:rPr>
          <w:kern w:val="0"/>
          <w:sz w:val="24"/>
        </w:rPr>
        <w:t>提高至</w:t>
      </w:r>
      <w:r>
        <w:rPr>
          <w:kern w:val="0"/>
          <w:sz w:val="24"/>
        </w:rPr>
        <w:t>40%</w:t>
      </w:r>
      <w:r>
        <w:rPr>
          <w:kern w:val="0"/>
          <w:sz w:val="24"/>
        </w:rPr>
        <w:t>），并将债券资产所对应的基准要素权重从</w:t>
      </w:r>
      <w:r>
        <w:rPr>
          <w:kern w:val="0"/>
          <w:sz w:val="24"/>
        </w:rPr>
        <w:t>15%</w:t>
      </w:r>
      <w:r>
        <w:rPr>
          <w:kern w:val="0"/>
          <w:sz w:val="24"/>
        </w:rPr>
        <w:t>调低至</w:t>
      </w:r>
      <w:r>
        <w:rPr>
          <w:kern w:val="0"/>
          <w:sz w:val="24"/>
        </w:rPr>
        <w:t>10%</w:t>
      </w:r>
      <w:r>
        <w:rPr>
          <w:kern w:val="0"/>
          <w:sz w:val="24"/>
        </w:rPr>
        <w:t>，从而使得新业绩比较基准中各大资产类别所对应的基准要素权重与基金过往实际投资运作等相匹配。</w:t>
      </w:r>
    </w:p>
    <w:p w:rsidR="0016189C" w:rsidRDefault="00B34D58">
      <w:pPr>
        <w:spacing w:line="360" w:lineRule="auto"/>
        <w:ind w:firstLineChars="200" w:firstLine="480"/>
        <w:rPr>
          <w:kern w:val="0"/>
          <w:sz w:val="24"/>
        </w:rPr>
      </w:pPr>
      <w:r>
        <w:rPr>
          <w:kern w:val="0"/>
          <w:sz w:val="24"/>
        </w:rPr>
        <w:t>原业绩比较基准中，申万医药生物行业指数（指数代码</w:t>
      </w:r>
      <w:r>
        <w:rPr>
          <w:kern w:val="0"/>
          <w:sz w:val="24"/>
        </w:rPr>
        <w:t>801150</w:t>
      </w:r>
      <w:r>
        <w:rPr>
          <w:kern w:val="0"/>
          <w:sz w:val="24"/>
        </w:rPr>
        <w:t>）成份股基于申万一级行业分类，纳入医药生物行业上市公司，反映</w:t>
      </w:r>
      <w:r>
        <w:rPr>
          <w:kern w:val="0"/>
          <w:sz w:val="24"/>
        </w:rPr>
        <w:t>A</w:t>
      </w:r>
      <w:r>
        <w:rPr>
          <w:kern w:val="0"/>
          <w:sz w:val="24"/>
        </w:rPr>
        <w:t>股医药生物行业上市公司的整体表现；调整后的新业绩比较基准中，中证全指医药卫生指数（指数代码</w:t>
      </w:r>
      <w:r>
        <w:rPr>
          <w:kern w:val="0"/>
          <w:sz w:val="24"/>
        </w:rPr>
        <w:t>000991</w:t>
      </w:r>
      <w:r>
        <w:rPr>
          <w:kern w:val="0"/>
          <w:sz w:val="24"/>
        </w:rPr>
        <w:t>）从</w:t>
      </w:r>
      <w:r>
        <w:rPr>
          <w:rFonts w:hint="eastAsia"/>
          <w:bCs/>
          <w:sz w:val="24"/>
        </w:rPr>
        <w:t>医药卫生行业</w:t>
      </w:r>
      <w:r>
        <w:rPr>
          <w:kern w:val="0"/>
          <w:sz w:val="24"/>
        </w:rPr>
        <w:t>中选取符合一定流动性与市值筛选条件的上市公</w:t>
      </w:r>
      <w:r>
        <w:rPr>
          <w:kern w:val="0"/>
          <w:sz w:val="24"/>
        </w:rPr>
        <w:t>司作为指数样本，</w:t>
      </w:r>
      <w:r>
        <w:rPr>
          <w:rFonts w:hint="eastAsia"/>
          <w:bCs/>
          <w:sz w:val="24"/>
        </w:rPr>
        <w:t>以反映医药卫生行业内较具代表性与可投资性的上市公司证券的整体表现</w:t>
      </w:r>
      <w:r>
        <w:rPr>
          <w:kern w:val="0"/>
          <w:sz w:val="24"/>
        </w:rPr>
        <w:t>。调整后的中证全指医药卫生指数与基金实际持股风格更为匹配，从而能够更好反映本基金的产品定位和投资风格。</w:t>
      </w:r>
    </w:p>
    <w:p w:rsidR="0016189C" w:rsidRDefault="00B34D58">
      <w:pPr>
        <w:spacing w:line="360" w:lineRule="auto"/>
        <w:ind w:firstLineChars="200" w:firstLine="480"/>
        <w:rPr>
          <w:kern w:val="0"/>
          <w:sz w:val="24"/>
        </w:rPr>
      </w:pPr>
      <w:r>
        <w:rPr>
          <w:kern w:val="0"/>
          <w:sz w:val="24"/>
        </w:rPr>
        <w:t>上述调整对本基金投资运作、基金份额持有人利益无实质性不利影响。</w:t>
      </w:r>
    </w:p>
    <w:p w:rsidR="0016189C" w:rsidRDefault="0016189C">
      <w:pPr>
        <w:spacing w:line="360" w:lineRule="auto"/>
        <w:ind w:firstLineChars="200" w:firstLine="480"/>
        <w:rPr>
          <w:kern w:val="0"/>
          <w:sz w:val="24"/>
        </w:rPr>
      </w:pPr>
    </w:p>
    <w:p w:rsidR="0016189C" w:rsidRDefault="00B34D58">
      <w:pPr>
        <w:spacing w:line="360" w:lineRule="auto"/>
        <w:ind w:firstLineChars="200" w:firstLine="480"/>
        <w:outlineLvl w:val="1"/>
        <w:rPr>
          <w:kern w:val="0"/>
          <w:sz w:val="24"/>
        </w:rPr>
      </w:pPr>
      <w:r>
        <w:rPr>
          <w:kern w:val="0"/>
          <w:sz w:val="24"/>
        </w:rPr>
        <w:t>10</w:t>
      </w:r>
      <w:r>
        <w:rPr>
          <w:kern w:val="0"/>
          <w:sz w:val="24"/>
        </w:rPr>
        <w:t>、易方达新常态灵活配置混合型证券投资基金</w:t>
      </w:r>
    </w:p>
    <w:p w:rsidR="0016189C" w:rsidRDefault="00B34D58">
      <w:pPr>
        <w:spacing w:line="360" w:lineRule="auto"/>
        <w:ind w:firstLineChars="200" w:firstLine="480"/>
        <w:rPr>
          <w:kern w:val="0"/>
          <w:sz w:val="24"/>
        </w:rPr>
      </w:pPr>
      <w:r>
        <w:rPr>
          <w:kern w:val="0"/>
          <w:sz w:val="24"/>
        </w:rPr>
        <w:t>（</w:t>
      </w:r>
      <w:r>
        <w:rPr>
          <w:kern w:val="0"/>
          <w:sz w:val="24"/>
        </w:rPr>
        <w:t>1</w:t>
      </w:r>
      <w:r>
        <w:rPr>
          <w:kern w:val="0"/>
          <w:sz w:val="24"/>
        </w:rPr>
        <w:t>）</w:t>
      </w:r>
      <w:r>
        <w:rPr>
          <w:b/>
          <w:kern w:val="0"/>
          <w:sz w:val="24"/>
        </w:rPr>
        <w:t>当前业绩比较基准：</w:t>
      </w:r>
      <w:r>
        <w:rPr>
          <w:kern w:val="0"/>
          <w:sz w:val="24"/>
        </w:rPr>
        <w:t>中证</w:t>
      </w:r>
      <w:r>
        <w:rPr>
          <w:kern w:val="0"/>
          <w:sz w:val="24"/>
        </w:rPr>
        <w:t>800</w:t>
      </w:r>
      <w:r>
        <w:rPr>
          <w:kern w:val="0"/>
          <w:sz w:val="24"/>
        </w:rPr>
        <w:t>指数收益率</w:t>
      </w:r>
      <w:r>
        <w:rPr>
          <w:sz w:val="24"/>
        </w:rPr>
        <w:t>×</w:t>
      </w:r>
      <w:r>
        <w:rPr>
          <w:kern w:val="0"/>
          <w:sz w:val="24"/>
        </w:rPr>
        <w:t>65%+</w:t>
      </w:r>
      <w:r>
        <w:rPr>
          <w:kern w:val="0"/>
          <w:sz w:val="24"/>
        </w:rPr>
        <w:t>一年期人民币定期存款利率</w:t>
      </w:r>
      <w:r>
        <w:rPr>
          <w:kern w:val="0"/>
          <w:sz w:val="24"/>
        </w:rPr>
        <w:t>(</w:t>
      </w:r>
      <w:r>
        <w:rPr>
          <w:kern w:val="0"/>
          <w:sz w:val="24"/>
        </w:rPr>
        <w:t>税后</w:t>
      </w:r>
      <w:r>
        <w:rPr>
          <w:kern w:val="0"/>
          <w:sz w:val="24"/>
        </w:rPr>
        <w:t>)</w:t>
      </w:r>
      <w:r>
        <w:rPr>
          <w:sz w:val="24"/>
        </w:rPr>
        <w:t>×</w:t>
      </w:r>
      <w:r>
        <w:rPr>
          <w:kern w:val="0"/>
          <w:sz w:val="24"/>
        </w:rPr>
        <w:t>35%</w:t>
      </w:r>
    </w:p>
    <w:p w:rsidR="0016189C" w:rsidRDefault="00B34D58" w:rsidP="00B34D58">
      <w:pPr>
        <w:spacing w:line="360" w:lineRule="auto"/>
        <w:ind w:firstLineChars="200" w:firstLine="482"/>
        <w:rPr>
          <w:kern w:val="0"/>
          <w:sz w:val="24"/>
        </w:rPr>
      </w:pPr>
      <w:r>
        <w:rPr>
          <w:b/>
          <w:kern w:val="0"/>
          <w:sz w:val="24"/>
        </w:rPr>
        <w:t>调整后新业绩比较基准：</w:t>
      </w:r>
      <w:r>
        <w:rPr>
          <w:kern w:val="0"/>
          <w:sz w:val="24"/>
        </w:rPr>
        <w:t>中证</w:t>
      </w:r>
      <w:r>
        <w:rPr>
          <w:kern w:val="0"/>
          <w:sz w:val="24"/>
        </w:rPr>
        <w:t>800</w:t>
      </w:r>
      <w:r>
        <w:rPr>
          <w:kern w:val="0"/>
          <w:sz w:val="24"/>
        </w:rPr>
        <w:t>成长指数收益率</w:t>
      </w:r>
      <w:r>
        <w:rPr>
          <w:sz w:val="24"/>
        </w:rPr>
        <w:t>×</w:t>
      </w:r>
      <w:r>
        <w:rPr>
          <w:kern w:val="0"/>
          <w:sz w:val="24"/>
        </w:rPr>
        <w:t>85%+</w:t>
      </w:r>
      <w:r>
        <w:rPr>
          <w:kern w:val="0"/>
          <w:sz w:val="24"/>
        </w:rPr>
        <w:t>中债</w:t>
      </w:r>
      <w:r>
        <w:rPr>
          <w:kern w:val="0"/>
          <w:sz w:val="24"/>
        </w:rPr>
        <w:t>-</w:t>
      </w:r>
      <w:r>
        <w:rPr>
          <w:kern w:val="0"/>
          <w:sz w:val="24"/>
        </w:rPr>
        <w:t>总全价（总值）指数收益率</w:t>
      </w:r>
      <w:r>
        <w:rPr>
          <w:sz w:val="24"/>
        </w:rPr>
        <w:t>×</w:t>
      </w:r>
      <w:r>
        <w:rPr>
          <w:kern w:val="0"/>
          <w:sz w:val="24"/>
        </w:rPr>
        <w:t>15%</w:t>
      </w:r>
    </w:p>
    <w:p w:rsidR="0016189C" w:rsidRDefault="00B34D58">
      <w:pPr>
        <w:spacing w:line="360" w:lineRule="auto"/>
        <w:ind w:firstLineChars="200" w:firstLine="480"/>
        <w:rPr>
          <w:b/>
          <w:kern w:val="0"/>
          <w:sz w:val="24"/>
        </w:rPr>
      </w:pPr>
      <w:r>
        <w:rPr>
          <w:kern w:val="0"/>
          <w:sz w:val="24"/>
        </w:rPr>
        <w:t>（</w:t>
      </w:r>
      <w:r>
        <w:rPr>
          <w:kern w:val="0"/>
          <w:sz w:val="24"/>
        </w:rPr>
        <w:t>2</w:t>
      </w:r>
      <w:r>
        <w:rPr>
          <w:kern w:val="0"/>
          <w:sz w:val="24"/>
        </w:rPr>
        <w:t>）</w:t>
      </w:r>
      <w:r>
        <w:rPr>
          <w:b/>
          <w:kern w:val="0"/>
          <w:sz w:val="24"/>
        </w:rPr>
        <w:t>新的业绩比较基准选择原因、差异及影响：</w:t>
      </w:r>
    </w:p>
    <w:p w:rsidR="0016189C" w:rsidRDefault="00B34D58">
      <w:pPr>
        <w:spacing w:line="360" w:lineRule="auto"/>
        <w:ind w:firstLineChars="200" w:firstLine="480"/>
        <w:rPr>
          <w:kern w:val="0"/>
          <w:sz w:val="24"/>
        </w:rPr>
      </w:pPr>
      <w:r>
        <w:rPr>
          <w:kern w:val="0"/>
          <w:sz w:val="24"/>
        </w:rPr>
        <w:t>此次本基金业绩比较基准调整同时涉及基准指数、基准要素权重调整。</w:t>
      </w:r>
    </w:p>
    <w:p w:rsidR="0016189C" w:rsidRDefault="00B34D58">
      <w:pPr>
        <w:spacing w:line="360" w:lineRule="auto"/>
        <w:ind w:firstLineChars="200" w:firstLine="480"/>
        <w:rPr>
          <w:kern w:val="0"/>
          <w:sz w:val="24"/>
        </w:rPr>
      </w:pPr>
      <w:r>
        <w:rPr>
          <w:kern w:val="0"/>
          <w:sz w:val="24"/>
        </w:rPr>
        <w:t>基于本基金的投资目标、投资范围和投资策略，本基金的股票资产采用全市场选股策略，通过对定性和定量因素的综合分析，投资于新常态主题相关的资产，</w:t>
      </w:r>
      <w:r w:rsidR="00F64D21">
        <w:rPr>
          <w:rFonts w:hint="eastAsia"/>
          <w:kern w:val="0"/>
          <w:sz w:val="24"/>
        </w:rPr>
        <w:t>主要包括创新新常态、改革新常态、消费新常态和外交新常态等，预期投资风格偏成长</w:t>
      </w:r>
      <w:r>
        <w:rPr>
          <w:kern w:val="0"/>
          <w:sz w:val="24"/>
        </w:rPr>
        <w:t>。经审慎评估，综合考虑基准指数与产品定位和投资风格的匹配度，同时兼顾考虑基准指数的表征性、认可度，以及指数市值覆盖、风格特征、行业与个股分布等，将股票部分所对应的基准指数从中证</w:t>
      </w:r>
      <w:r>
        <w:rPr>
          <w:kern w:val="0"/>
          <w:sz w:val="24"/>
        </w:rPr>
        <w:t>800</w:t>
      </w:r>
      <w:r>
        <w:rPr>
          <w:kern w:val="0"/>
          <w:sz w:val="24"/>
        </w:rPr>
        <w:t>指数调整为中</w:t>
      </w:r>
      <w:r>
        <w:rPr>
          <w:kern w:val="0"/>
          <w:sz w:val="24"/>
        </w:rPr>
        <w:t>证</w:t>
      </w:r>
      <w:r>
        <w:rPr>
          <w:kern w:val="0"/>
          <w:sz w:val="24"/>
        </w:rPr>
        <w:t>800</w:t>
      </w:r>
      <w:r>
        <w:rPr>
          <w:kern w:val="0"/>
          <w:sz w:val="24"/>
        </w:rPr>
        <w:t>成长指数。此外，本基金的债券资产采用全市场策略，主要通过类属配置与券种选择两个层次进行投资管理，经审慎评估，综合考虑基准</w:t>
      </w:r>
      <w:r>
        <w:rPr>
          <w:rFonts w:hint="eastAsia"/>
          <w:kern w:val="0"/>
          <w:sz w:val="24"/>
        </w:rPr>
        <w:t>指数</w:t>
      </w:r>
      <w:r>
        <w:rPr>
          <w:kern w:val="0"/>
          <w:sz w:val="24"/>
        </w:rPr>
        <w:t>与产品定位</w:t>
      </w:r>
      <w:r>
        <w:rPr>
          <w:rFonts w:hint="eastAsia"/>
          <w:kern w:val="0"/>
          <w:sz w:val="24"/>
        </w:rPr>
        <w:t>、</w:t>
      </w:r>
      <w:r>
        <w:rPr>
          <w:kern w:val="0"/>
          <w:sz w:val="24"/>
        </w:rPr>
        <w:t>投资风格</w:t>
      </w:r>
      <w:r>
        <w:rPr>
          <w:rFonts w:hint="eastAsia"/>
          <w:kern w:val="0"/>
          <w:sz w:val="24"/>
        </w:rPr>
        <w:t>和基金过往实际投资运作情况</w:t>
      </w:r>
      <w:r>
        <w:rPr>
          <w:kern w:val="0"/>
          <w:sz w:val="24"/>
        </w:rPr>
        <w:t>的匹配度，同时兼顾考虑基准</w:t>
      </w:r>
      <w:r>
        <w:rPr>
          <w:rFonts w:hint="eastAsia"/>
          <w:kern w:val="0"/>
          <w:sz w:val="24"/>
        </w:rPr>
        <w:t>指数</w:t>
      </w:r>
      <w:r>
        <w:rPr>
          <w:kern w:val="0"/>
          <w:sz w:val="24"/>
        </w:rPr>
        <w:t>的表征性、认可度，以及基准</w:t>
      </w:r>
      <w:r>
        <w:rPr>
          <w:rFonts w:hint="eastAsia"/>
          <w:kern w:val="0"/>
          <w:sz w:val="24"/>
        </w:rPr>
        <w:t>指数</w:t>
      </w:r>
      <w:r>
        <w:rPr>
          <w:kern w:val="0"/>
          <w:sz w:val="24"/>
        </w:rPr>
        <w:t>券种等，</w:t>
      </w:r>
      <w:r>
        <w:rPr>
          <w:rFonts w:hint="eastAsia"/>
          <w:kern w:val="0"/>
          <w:sz w:val="24"/>
        </w:rPr>
        <w:t>选择</w:t>
      </w:r>
      <w:r>
        <w:rPr>
          <w:kern w:val="0"/>
          <w:sz w:val="24"/>
        </w:rPr>
        <w:t>中债</w:t>
      </w:r>
      <w:r>
        <w:rPr>
          <w:kern w:val="0"/>
          <w:sz w:val="24"/>
        </w:rPr>
        <w:t>-</w:t>
      </w:r>
      <w:r>
        <w:rPr>
          <w:kern w:val="0"/>
          <w:sz w:val="24"/>
        </w:rPr>
        <w:t>总全价（总值）指数作为债券部分的业绩比较基准要素。</w:t>
      </w:r>
    </w:p>
    <w:p w:rsidR="0016189C" w:rsidRDefault="00B34D58">
      <w:pPr>
        <w:spacing w:line="360" w:lineRule="auto"/>
        <w:ind w:firstLineChars="200" w:firstLine="480"/>
        <w:rPr>
          <w:kern w:val="0"/>
          <w:sz w:val="24"/>
        </w:rPr>
      </w:pPr>
      <w:r>
        <w:rPr>
          <w:kern w:val="0"/>
          <w:sz w:val="24"/>
        </w:rPr>
        <w:t>基于本基金近年来股票资产的平均仓位，</w:t>
      </w:r>
      <w:r>
        <w:rPr>
          <w:rFonts w:hint="eastAsia"/>
          <w:kern w:val="0"/>
          <w:sz w:val="24"/>
        </w:rPr>
        <w:t>并结合基金合同约定的投资比例限制和产品定位，</w:t>
      </w:r>
      <w:r>
        <w:rPr>
          <w:kern w:val="0"/>
          <w:sz w:val="24"/>
        </w:rPr>
        <w:t>将业绩比较基准中的股票资产所对应的基准要素权重从</w:t>
      </w:r>
      <w:r>
        <w:rPr>
          <w:kern w:val="0"/>
          <w:sz w:val="24"/>
        </w:rPr>
        <w:t>65%</w:t>
      </w:r>
      <w:r>
        <w:rPr>
          <w:kern w:val="0"/>
          <w:sz w:val="24"/>
        </w:rPr>
        <w:t>提高至</w:t>
      </w:r>
      <w:r>
        <w:rPr>
          <w:kern w:val="0"/>
          <w:sz w:val="24"/>
        </w:rPr>
        <w:t>85%</w:t>
      </w:r>
      <w:r>
        <w:rPr>
          <w:kern w:val="0"/>
          <w:sz w:val="24"/>
        </w:rPr>
        <w:t>，并将债券资产所对应的基准要素权重设置为</w:t>
      </w:r>
      <w:r>
        <w:rPr>
          <w:kern w:val="0"/>
          <w:sz w:val="24"/>
        </w:rPr>
        <w:t>15%</w:t>
      </w:r>
      <w:r>
        <w:rPr>
          <w:kern w:val="0"/>
          <w:sz w:val="24"/>
        </w:rPr>
        <w:t>，从而使得新</w:t>
      </w:r>
      <w:r>
        <w:rPr>
          <w:kern w:val="0"/>
          <w:sz w:val="24"/>
        </w:rPr>
        <w:t>业绩比较基准中各大资产类别所对应的基准要素权重与基金过往实际投资运作等相匹配。</w:t>
      </w:r>
    </w:p>
    <w:p w:rsidR="0016189C" w:rsidRDefault="00B34D58">
      <w:pPr>
        <w:spacing w:line="360" w:lineRule="auto"/>
        <w:ind w:firstLineChars="200" w:firstLine="480"/>
        <w:rPr>
          <w:kern w:val="0"/>
          <w:sz w:val="24"/>
        </w:rPr>
      </w:pPr>
      <w:r>
        <w:rPr>
          <w:kern w:val="0"/>
          <w:sz w:val="24"/>
        </w:rPr>
        <w:t>原业绩比较基准中，中证</w:t>
      </w:r>
      <w:r>
        <w:rPr>
          <w:kern w:val="0"/>
          <w:sz w:val="24"/>
        </w:rPr>
        <w:t>800</w:t>
      </w:r>
      <w:r>
        <w:rPr>
          <w:kern w:val="0"/>
          <w:sz w:val="24"/>
        </w:rPr>
        <w:t>指数（指数代码</w:t>
      </w:r>
      <w:r>
        <w:rPr>
          <w:kern w:val="0"/>
          <w:sz w:val="24"/>
        </w:rPr>
        <w:t>000906</w:t>
      </w:r>
      <w:r>
        <w:rPr>
          <w:kern w:val="0"/>
          <w:sz w:val="24"/>
        </w:rPr>
        <w:t>）由沪深市场市值较大、流动性较好的</w:t>
      </w:r>
      <w:r>
        <w:rPr>
          <w:kern w:val="0"/>
          <w:sz w:val="24"/>
        </w:rPr>
        <w:t>800</w:t>
      </w:r>
      <w:r>
        <w:rPr>
          <w:kern w:val="0"/>
          <w:sz w:val="24"/>
        </w:rPr>
        <w:t>只股票构成，反映沪深市场大中盘上市公司证券的整体表现；调整后的新业绩比较基准中，中证</w:t>
      </w:r>
      <w:r>
        <w:rPr>
          <w:kern w:val="0"/>
          <w:sz w:val="24"/>
        </w:rPr>
        <w:t>800</w:t>
      </w:r>
      <w:r>
        <w:rPr>
          <w:kern w:val="0"/>
          <w:sz w:val="24"/>
        </w:rPr>
        <w:t>成长指数（指数代码</w:t>
      </w:r>
      <w:r>
        <w:rPr>
          <w:kern w:val="0"/>
          <w:sz w:val="24"/>
        </w:rPr>
        <w:t>H30355</w:t>
      </w:r>
      <w:r>
        <w:rPr>
          <w:kern w:val="0"/>
          <w:sz w:val="24"/>
        </w:rPr>
        <w:t>）从中证</w:t>
      </w:r>
      <w:r>
        <w:rPr>
          <w:kern w:val="0"/>
          <w:sz w:val="24"/>
        </w:rPr>
        <w:t>800</w:t>
      </w:r>
      <w:r>
        <w:rPr>
          <w:kern w:val="0"/>
          <w:sz w:val="24"/>
        </w:rPr>
        <w:t>指数样本中，选取成长因子得分最高的</w:t>
      </w:r>
      <w:r>
        <w:rPr>
          <w:kern w:val="0"/>
          <w:sz w:val="24"/>
        </w:rPr>
        <w:t>150</w:t>
      </w:r>
      <w:r>
        <w:rPr>
          <w:kern w:val="0"/>
          <w:sz w:val="24"/>
        </w:rPr>
        <w:t>只证券作为指数样本，并采用成长因子得分调整后的自由流通市值加权，反映中证</w:t>
      </w:r>
      <w:r>
        <w:rPr>
          <w:kern w:val="0"/>
          <w:sz w:val="24"/>
        </w:rPr>
        <w:t>800</w:t>
      </w:r>
      <w:r>
        <w:rPr>
          <w:kern w:val="0"/>
          <w:sz w:val="24"/>
        </w:rPr>
        <w:t>指数样本中具有成长特征的上市公司证券的整体表现；中债</w:t>
      </w:r>
      <w:r>
        <w:rPr>
          <w:kern w:val="0"/>
          <w:sz w:val="24"/>
        </w:rPr>
        <w:t>-</w:t>
      </w:r>
      <w:r>
        <w:rPr>
          <w:kern w:val="0"/>
          <w:sz w:val="24"/>
        </w:rPr>
        <w:t>总全价（总值）指数（指数代码</w:t>
      </w:r>
      <w:r>
        <w:rPr>
          <w:kern w:val="0"/>
          <w:sz w:val="24"/>
        </w:rPr>
        <w:t>CB</w:t>
      </w:r>
      <w:r>
        <w:rPr>
          <w:kern w:val="0"/>
          <w:sz w:val="24"/>
        </w:rPr>
        <w:t>A00303</w:t>
      </w:r>
      <w:r>
        <w:rPr>
          <w:kern w:val="0"/>
          <w:sz w:val="24"/>
        </w:rPr>
        <w:t>）成份券由在境内公开发行且上市流通的记账式国债、央行票据和政策性银行债组成，反映境内利率类债券整体价格走势。调整后的中证</w:t>
      </w:r>
      <w:r>
        <w:rPr>
          <w:kern w:val="0"/>
          <w:sz w:val="24"/>
        </w:rPr>
        <w:t>800</w:t>
      </w:r>
      <w:r>
        <w:rPr>
          <w:kern w:val="0"/>
          <w:sz w:val="24"/>
        </w:rPr>
        <w:t>成长指数、中债</w:t>
      </w:r>
      <w:r>
        <w:rPr>
          <w:kern w:val="0"/>
          <w:sz w:val="24"/>
        </w:rPr>
        <w:t>-</w:t>
      </w:r>
      <w:r>
        <w:rPr>
          <w:kern w:val="0"/>
          <w:sz w:val="24"/>
        </w:rPr>
        <w:t>总全价（总值）指数与基金实际持券风格更为匹配，从而能够更好反映本基金的产品定位和投资风格。</w:t>
      </w:r>
    </w:p>
    <w:p w:rsidR="0016189C" w:rsidRDefault="00B34D58">
      <w:pPr>
        <w:spacing w:line="360" w:lineRule="auto"/>
        <w:ind w:firstLineChars="200" w:firstLine="480"/>
        <w:rPr>
          <w:kern w:val="0"/>
          <w:sz w:val="24"/>
        </w:rPr>
      </w:pPr>
      <w:r>
        <w:rPr>
          <w:kern w:val="0"/>
          <w:sz w:val="24"/>
        </w:rPr>
        <w:t>上述调整对本基金投资运作、基金份额持有人利益无实质性不利影响。</w:t>
      </w:r>
    </w:p>
    <w:p w:rsidR="0016189C" w:rsidRDefault="0016189C">
      <w:pPr>
        <w:spacing w:line="360" w:lineRule="auto"/>
        <w:ind w:firstLineChars="200" w:firstLine="480"/>
        <w:rPr>
          <w:kern w:val="0"/>
          <w:sz w:val="24"/>
        </w:rPr>
      </w:pPr>
    </w:p>
    <w:p w:rsidR="0016189C" w:rsidRDefault="00B34D58">
      <w:pPr>
        <w:spacing w:line="360" w:lineRule="auto"/>
        <w:ind w:firstLineChars="200" w:firstLine="480"/>
        <w:outlineLvl w:val="1"/>
        <w:rPr>
          <w:kern w:val="0"/>
          <w:sz w:val="24"/>
        </w:rPr>
      </w:pPr>
      <w:r>
        <w:rPr>
          <w:kern w:val="0"/>
          <w:sz w:val="24"/>
        </w:rPr>
        <w:t>11</w:t>
      </w:r>
      <w:r>
        <w:rPr>
          <w:kern w:val="0"/>
          <w:sz w:val="24"/>
        </w:rPr>
        <w:t>、易方达创新驱动灵活配置混合型证券投资基金</w:t>
      </w:r>
    </w:p>
    <w:p w:rsidR="0016189C" w:rsidRPr="0016189C" w:rsidRDefault="00B34D58">
      <w:pPr>
        <w:spacing w:line="360" w:lineRule="auto"/>
        <w:ind w:firstLineChars="200" w:firstLine="480"/>
        <w:rPr>
          <w:b/>
          <w:bCs/>
          <w:kern w:val="0"/>
          <w:sz w:val="24"/>
        </w:rPr>
      </w:pPr>
      <w:r>
        <w:rPr>
          <w:kern w:val="0"/>
          <w:sz w:val="24"/>
        </w:rPr>
        <w:t>（</w:t>
      </w:r>
      <w:r>
        <w:rPr>
          <w:kern w:val="0"/>
          <w:sz w:val="24"/>
        </w:rPr>
        <w:t>1</w:t>
      </w:r>
      <w:r>
        <w:rPr>
          <w:kern w:val="0"/>
          <w:sz w:val="24"/>
        </w:rPr>
        <w:t>）</w:t>
      </w:r>
      <w:r>
        <w:rPr>
          <w:b/>
          <w:kern w:val="0"/>
          <w:sz w:val="24"/>
        </w:rPr>
        <w:t>当前业绩比较基准：</w:t>
      </w:r>
      <w:r>
        <w:rPr>
          <w:kern w:val="0"/>
          <w:sz w:val="24"/>
        </w:rPr>
        <w:t>50%</w:t>
      </w:r>
      <w:r>
        <w:rPr>
          <w:rFonts w:hint="eastAsia"/>
          <w:kern w:val="0"/>
          <w:sz w:val="24"/>
        </w:rPr>
        <w:t>×沪深</w:t>
      </w:r>
      <w:r>
        <w:rPr>
          <w:kern w:val="0"/>
          <w:sz w:val="24"/>
        </w:rPr>
        <w:t>300</w:t>
      </w:r>
      <w:r>
        <w:rPr>
          <w:rFonts w:hint="eastAsia"/>
          <w:kern w:val="0"/>
          <w:sz w:val="24"/>
        </w:rPr>
        <w:t>指数收益率</w:t>
      </w:r>
      <w:r>
        <w:rPr>
          <w:kern w:val="0"/>
          <w:sz w:val="24"/>
        </w:rPr>
        <w:t>+50%</w:t>
      </w:r>
      <w:r>
        <w:rPr>
          <w:rFonts w:hint="eastAsia"/>
          <w:kern w:val="0"/>
          <w:sz w:val="24"/>
        </w:rPr>
        <w:t>×中债总财富指数收益率</w:t>
      </w:r>
    </w:p>
    <w:p w:rsidR="0016189C" w:rsidRDefault="00B34D58" w:rsidP="00B34D58">
      <w:pPr>
        <w:spacing w:line="360" w:lineRule="auto"/>
        <w:ind w:firstLineChars="200" w:firstLine="482"/>
        <w:rPr>
          <w:kern w:val="0"/>
          <w:sz w:val="24"/>
        </w:rPr>
      </w:pPr>
      <w:r>
        <w:rPr>
          <w:b/>
          <w:kern w:val="0"/>
          <w:sz w:val="24"/>
        </w:rPr>
        <w:t>调整后新业绩比较基准：</w:t>
      </w:r>
      <w:r>
        <w:rPr>
          <w:kern w:val="0"/>
          <w:sz w:val="24"/>
        </w:rPr>
        <w:t>中证</w:t>
      </w:r>
      <w:r>
        <w:rPr>
          <w:kern w:val="0"/>
          <w:sz w:val="24"/>
        </w:rPr>
        <w:t>800</w:t>
      </w:r>
      <w:r>
        <w:rPr>
          <w:kern w:val="0"/>
          <w:sz w:val="24"/>
        </w:rPr>
        <w:t>指数收益率</w:t>
      </w:r>
      <w:r>
        <w:rPr>
          <w:sz w:val="24"/>
        </w:rPr>
        <w:t>×</w:t>
      </w:r>
      <w:r>
        <w:rPr>
          <w:kern w:val="0"/>
          <w:sz w:val="24"/>
        </w:rPr>
        <w:t>85%+</w:t>
      </w:r>
      <w:r>
        <w:rPr>
          <w:kern w:val="0"/>
          <w:sz w:val="24"/>
        </w:rPr>
        <w:t>中债</w:t>
      </w:r>
      <w:r>
        <w:rPr>
          <w:kern w:val="0"/>
          <w:sz w:val="24"/>
        </w:rPr>
        <w:t>-</w:t>
      </w:r>
      <w:r>
        <w:rPr>
          <w:kern w:val="0"/>
          <w:sz w:val="24"/>
        </w:rPr>
        <w:t>总财富（总值）指数收益率</w:t>
      </w:r>
      <w:r>
        <w:rPr>
          <w:sz w:val="24"/>
        </w:rPr>
        <w:t>×</w:t>
      </w:r>
      <w:r>
        <w:rPr>
          <w:kern w:val="0"/>
          <w:sz w:val="24"/>
        </w:rPr>
        <w:t>15%</w:t>
      </w:r>
    </w:p>
    <w:p w:rsidR="0016189C" w:rsidRDefault="00B34D58">
      <w:pPr>
        <w:spacing w:line="360" w:lineRule="auto"/>
        <w:ind w:firstLineChars="200" w:firstLine="480"/>
        <w:rPr>
          <w:b/>
          <w:kern w:val="0"/>
          <w:sz w:val="24"/>
        </w:rPr>
      </w:pPr>
      <w:r>
        <w:rPr>
          <w:kern w:val="0"/>
          <w:sz w:val="24"/>
        </w:rPr>
        <w:t>（</w:t>
      </w:r>
      <w:r>
        <w:rPr>
          <w:kern w:val="0"/>
          <w:sz w:val="24"/>
        </w:rPr>
        <w:t>2</w:t>
      </w:r>
      <w:r>
        <w:rPr>
          <w:kern w:val="0"/>
          <w:sz w:val="24"/>
        </w:rPr>
        <w:t>）</w:t>
      </w:r>
      <w:r>
        <w:rPr>
          <w:b/>
          <w:kern w:val="0"/>
          <w:sz w:val="24"/>
        </w:rPr>
        <w:t>新的业绩比较基准选择原因、差异及影响：</w:t>
      </w:r>
    </w:p>
    <w:p w:rsidR="0016189C" w:rsidRDefault="00B34D58">
      <w:pPr>
        <w:spacing w:line="360" w:lineRule="auto"/>
        <w:ind w:firstLineChars="200" w:firstLine="480"/>
        <w:rPr>
          <w:kern w:val="0"/>
          <w:sz w:val="24"/>
        </w:rPr>
      </w:pPr>
      <w:r>
        <w:rPr>
          <w:kern w:val="0"/>
          <w:sz w:val="24"/>
        </w:rPr>
        <w:t>此次本基金业绩比较基准调整同时涉及基准指数、基准要素权重调整，并按照要求对业绩比较基准表述进行了规范。</w:t>
      </w:r>
    </w:p>
    <w:p w:rsidR="0016189C" w:rsidRDefault="00B34D58">
      <w:pPr>
        <w:spacing w:line="360" w:lineRule="auto"/>
        <w:ind w:firstLineChars="200" w:firstLine="480"/>
        <w:rPr>
          <w:kern w:val="0"/>
          <w:sz w:val="24"/>
        </w:rPr>
      </w:pPr>
      <w:r>
        <w:rPr>
          <w:kern w:val="0"/>
          <w:sz w:val="24"/>
        </w:rPr>
        <w:t>基于本基金的投资目标、投资范围和投资策略，本基金的股票资产采用全市场选股策略，通过对定性和定量因素的综合分析，选择创新驱动型公司进行投资，从而在控制风险的前提下，追求超越业绩比较基准的投资回报和资产的长期稳健增值。经审慎评估，综合考虑基准指数与产品定位和投资风格的匹配度，同时兼顾考虑基准指数的表征性、认可度，以及市值覆盖、行业</w:t>
      </w:r>
      <w:r>
        <w:rPr>
          <w:kern w:val="0"/>
          <w:sz w:val="24"/>
        </w:rPr>
        <w:t>与个股分布等，将股票部分所对应的基准指数从沪深</w:t>
      </w:r>
      <w:r>
        <w:rPr>
          <w:kern w:val="0"/>
          <w:sz w:val="24"/>
        </w:rPr>
        <w:t>300</w:t>
      </w:r>
      <w:r>
        <w:rPr>
          <w:kern w:val="0"/>
          <w:sz w:val="24"/>
        </w:rPr>
        <w:t>指数调整为中证</w:t>
      </w:r>
      <w:r>
        <w:rPr>
          <w:kern w:val="0"/>
          <w:sz w:val="24"/>
        </w:rPr>
        <w:t>800</w:t>
      </w:r>
      <w:r>
        <w:rPr>
          <w:kern w:val="0"/>
          <w:sz w:val="24"/>
        </w:rPr>
        <w:t>指数。此外，基于本基金近年来股票资产的平均仓位，</w:t>
      </w:r>
      <w:r>
        <w:rPr>
          <w:rFonts w:hint="eastAsia"/>
          <w:kern w:val="0"/>
          <w:sz w:val="24"/>
        </w:rPr>
        <w:t>并结合基金合同约定的投资比例限制和产品定位</w:t>
      </w:r>
      <w:r>
        <w:rPr>
          <w:kern w:val="0"/>
          <w:sz w:val="24"/>
        </w:rPr>
        <w:t>，将业绩比较基准中的股票资产所对应的基准要素权重从</w:t>
      </w:r>
      <w:r>
        <w:rPr>
          <w:kern w:val="0"/>
          <w:sz w:val="24"/>
        </w:rPr>
        <w:t>50%</w:t>
      </w:r>
      <w:r>
        <w:rPr>
          <w:kern w:val="0"/>
          <w:sz w:val="24"/>
        </w:rPr>
        <w:t>提高至</w:t>
      </w:r>
      <w:r>
        <w:rPr>
          <w:kern w:val="0"/>
          <w:sz w:val="24"/>
        </w:rPr>
        <w:t>85%</w:t>
      </w:r>
      <w:r>
        <w:rPr>
          <w:kern w:val="0"/>
          <w:sz w:val="24"/>
        </w:rPr>
        <w:t>，并将债券资产所对应的基准要素权重从</w:t>
      </w:r>
      <w:r>
        <w:rPr>
          <w:kern w:val="0"/>
          <w:sz w:val="24"/>
        </w:rPr>
        <w:t>50%</w:t>
      </w:r>
      <w:r>
        <w:rPr>
          <w:kern w:val="0"/>
          <w:sz w:val="24"/>
        </w:rPr>
        <w:t>调低至</w:t>
      </w:r>
      <w:r>
        <w:rPr>
          <w:rFonts w:hint="eastAsia"/>
          <w:kern w:val="0"/>
          <w:sz w:val="24"/>
        </w:rPr>
        <w:t>1</w:t>
      </w:r>
      <w:r>
        <w:rPr>
          <w:kern w:val="0"/>
          <w:sz w:val="24"/>
        </w:rPr>
        <w:t>5%</w:t>
      </w:r>
      <w:r>
        <w:rPr>
          <w:kern w:val="0"/>
          <w:sz w:val="24"/>
        </w:rPr>
        <w:t>，从而使得新业绩比较基准中各大资产类别所对应的基准要素权重与基金过往实际投资运作等相匹配。</w:t>
      </w:r>
    </w:p>
    <w:p w:rsidR="0016189C" w:rsidRDefault="00B34D58">
      <w:pPr>
        <w:spacing w:line="360" w:lineRule="auto"/>
        <w:ind w:firstLineChars="200" w:firstLine="480"/>
        <w:rPr>
          <w:kern w:val="0"/>
          <w:sz w:val="24"/>
        </w:rPr>
      </w:pPr>
      <w:r>
        <w:rPr>
          <w:kern w:val="0"/>
          <w:sz w:val="24"/>
        </w:rPr>
        <w:t>原业绩比较基准中，沪深</w:t>
      </w:r>
      <w:r>
        <w:rPr>
          <w:kern w:val="0"/>
          <w:sz w:val="24"/>
        </w:rPr>
        <w:t>300</w:t>
      </w:r>
      <w:r>
        <w:rPr>
          <w:kern w:val="0"/>
          <w:sz w:val="24"/>
        </w:rPr>
        <w:t>指数（指数代码</w:t>
      </w:r>
      <w:r>
        <w:rPr>
          <w:kern w:val="0"/>
          <w:sz w:val="24"/>
        </w:rPr>
        <w:t>000300</w:t>
      </w:r>
      <w:r>
        <w:rPr>
          <w:kern w:val="0"/>
          <w:sz w:val="24"/>
        </w:rPr>
        <w:t>）由沪深市场中规模大、流动性好的最具代表性的</w:t>
      </w:r>
      <w:r>
        <w:rPr>
          <w:kern w:val="0"/>
          <w:sz w:val="24"/>
        </w:rPr>
        <w:t>300</w:t>
      </w:r>
      <w:r>
        <w:rPr>
          <w:kern w:val="0"/>
          <w:sz w:val="24"/>
        </w:rPr>
        <w:t>只证券组成，以反映沪深市场上市公司证券的整体表现；调整后的新业绩比较基准中，中证</w:t>
      </w:r>
      <w:r>
        <w:rPr>
          <w:kern w:val="0"/>
          <w:sz w:val="24"/>
        </w:rPr>
        <w:t>800</w:t>
      </w:r>
      <w:r>
        <w:rPr>
          <w:kern w:val="0"/>
          <w:sz w:val="24"/>
        </w:rPr>
        <w:t>指数（指数代码</w:t>
      </w:r>
      <w:r>
        <w:rPr>
          <w:kern w:val="0"/>
          <w:sz w:val="24"/>
        </w:rPr>
        <w:t>000906</w:t>
      </w:r>
      <w:r>
        <w:rPr>
          <w:kern w:val="0"/>
          <w:sz w:val="24"/>
        </w:rPr>
        <w:t>）由沪深市场市值较大、流动性较好的</w:t>
      </w:r>
      <w:r>
        <w:rPr>
          <w:kern w:val="0"/>
          <w:sz w:val="24"/>
        </w:rPr>
        <w:t>800</w:t>
      </w:r>
      <w:r>
        <w:rPr>
          <w:kern w:val="0"/>
          <w:sz w:val="24"/>
        </w:rPr>
        <w:t>只股票构成，反映沪深市场大中盘上市公司证券的整体表现。调整后的中证</w:t>
      </w:r>
      <w:r>
        <w:rPr>
          <w:kern w:val="0"/>
          <w:sz w:val="24"/>
        </w:rPr>
        <w:t>800</w:t>
      </w:r>
      <w:r>
        <w:rPr>
          <w:kern w:val="0"/>
          <w:sz w:val="24"/>
        </w:rPr>
        <w:t>指数与基金实际持股风格更为匹配，从而能够更好反映本基金的产品定位和投资风格。</w:t>
      </w:r>
    </w:p>
    <w:p w:rsidR="0016189C" w:rsidRDefault="00B34D58">
      <w:pPr>
        <w:spacing w:line="360" w:lineRule="auto"/>
        <w:ind w:firstLineChars="200" w:firstLine="480"/>
        <w:rPr>
          <w:kern w:val="0"/>
          <w:sz w:val="24"/>
        </w:rPr>
      </w:pPr>
      <w:r>
        <w:rPr>
          <w:kern w:val="0"/>
          <w:sz w:val="24"/>
        </w:rPr>
        <w:t>上述调整对本基金投资运作、基金份额持有人利益无实质性不利影响。</w:t>
      </w:r>
    </w:p>
    <w:p w:rsidR="0016189C" w:rsidRDefault="0016189C">
      <w:pPr>
        <w:spacing w:line="360" w:lineRule="auto"/>
        <w:ind w:firstLineChars="200" w:firstLine="480"/>
        <w:rPr>
          <w:kern w:val="0"/>
          <w:sz w:val="24"/>
        </w:rPr>
      </w:pPr>
    </w:p>
    <w:p w:rsidR="0016189C" w:rsidRDefault="00B34D58">
      <w:pPr>
        <w:spacing w:line="360" w:lineRule="auto"/>
        <w:ind w:firstLineChars="200" w:firstLine="480"/>
        <w:outlineLvl w:val="1"/>
        <w:rPr>
          <w:kern w:val="0"/>
          <w:sz w:val="24"/>
        </w:rPr>
      </w:pPr>
      <w:r>
        <w:rPr>
          <w:kern w:val="0"/>
          <w:sz w:val="24"/>
        </w:rPr>
        <w:t>12</w:t>
      </w:r>
      <w:r>
        <w:rPr>
          <w:kern w:val="0"/>
          <w:sz w:val="24"/>
        </w:rPr>
        <w:t>、易方达全球医药行业混合型发起式证券投资基金</w:t>
      </w:r>
    </w:p>
    <w:p w:rsidR="0016189C" w:rsidRDefault="00B34D58">
      <w:pPr>
        <w:spacing w:line="360" w:lineRule="auto"/>
        <w:ind w:firstLineChars="200" w:firstLine="480"/>
        <w:rPr>
          <w:kern w:val="0"/>
          <w:sz w:val="24"/>
        </w:rPr>
      </w:pPr>
      <w:r>
        <w:rPr>
          <w:kern w:val="0"/>
          <w:sz w:val="24"/>
        </w:rPr>
        <w:t>（</w:t>
      </w:r>
      <w:r>
        <w:rPr>
          <w:kern w:val="0"/>
          <w:sz w:val="24"/>
        </w:rPr>
        <w:t>1</w:t>
      </w:r>
      <w:r>
        <w:rPr>
          <w:kern w:val="0"/>
          <w:sz w:val="24"/>
        </w:rPr>
        <w:t>）</w:t>
      </w:r>
      <w:r>
        <w:rPr>
          <w:b/>
          <w:kern w:val="0"/>
          <w:sz w:val="24"/>
        </w:rPr>
        <w:t>当前业绩比较基准：</w:t>
      </w:r>
      <w:r>
        <w:rPr>
          <w:kern w:val="0"/>
          <w:sz w:val="24"/>
        </w:rPr>
        <w:t>申万医药生物行业指数收益率</w:t>
      </w:r>
      <w:r>
        <w:rPr>
          <w:sz w:val="24"/>
        </w:rPr>
        <w:t>×</w:t>
      </w:r>
      <w:r>
        <w:rPr>
          <w:kern w:val="0"/>
          <w:sz w:val="24"/>
        </w:rPr>
        <w:t>45%+</w:t>
      </w:r>
      <w:r>
        <w:rPr>
          <w:kern w:val="0"/>
          <w:sz w:val="24"/>
        </w:rPr>
        <w:t>标普全球</w:t>
      </w:r>
      <w:r>
        <w:rPr>
          <w:kern w:val="0"/>
          <w:sz w:val="24"/>
        </w:rPr>
        <w:t>1200</w:t>
      </w:r>
      <w:r>
        <w:rPr>
          <w:kern w:val="0"/>
          <w:sz w:val="24"/>
        </w:rPr>
        <w:t>医疗保健指数</w:t>
      </w:r>
      <w:r>
        <w:rPr>
          <w:kern w:val="0"/>
          <w:sz w:val="24"/>
        </w:rPr>
        <w:t>(</w:t>
      </w:r>
      <w:r>
        <w:rPr>
          <w:kern w:val="0"/>
          <w:sz w:val="24"/>
        </w:rPr>
        <w:t>使用</w:t>
      </w:r>
      <w:r>
        <w:rPr>
          <w:kern w:val="0"/>
          <w:sz w:val="24"/>
        </w:rPr>
        <w:t>估值汇率折算</w:t>
      </w:r>
      <w:r>
        <w:rPr>
          <w:kern w:val="0"/>
          <w:sz w:val="24"/>
        </w:rPr>
        <w:t>)</w:t>
      </w:r>
      <w:r>
        <w:rPr>
          <w:kern w:val="0"/>
          <w:sz w:val="24"/>
        </w:rPr>
        <w:t>收益率</w:t>
      </w:r>
      <w:r>
        <w:rPr>
          <w:sz w:val="24"/>
        </w:rPr>
        <w:t>×</w:t>
      </w:r>
      <w:r>
        <w:rPr>
          <w:kern w:val="0"/>
          <w:sz w:val="24"/>
        </w:rPr>
        <w:t>40%+</w:t>
      </w:r>
      <w:r>
        <w:rPr>
          <w:kern w:val="0"/>
          <w:sz w:val="24"/>
        </w:rPr>
        <w:t>中债总指数收益率</w:t>
      </w:r>
      <w:r>
        <w:rPr>
          <w:sz w:val="24"/>
        </w:rPr>
        <w:t>×</w:t>
      </w:r>
      <w:r>
        <w:rPr>
          <w:kern w:val="0"/>
          <w:sz w:val="24"/>
        </w:rPr>
        <w:t>15%</w:t>
      </w:r>
    </w:p>
    <w:p w:rsidR="0016189C" w:rsidRDefault="00B34D58" w:rsidP="00B34D58">
      <w:pPr>
        <w:spacing w:line="360" w:lineRule="auto"/>
        <w:ind w:firstLineChars="200" w:firstLine="482"/>
        <w:rPr>
          <w:kern w:val="0"/>
          <w:sz w:val="24"/>
        </w:rPr>
      </w:pPr>
      <w:r>
        <w:rPr>
          <w:b/>
          <w:kern w:val="0"/>
          <w:sz w:val="24"/>
        </w:rPr>
        <w:t>调整后新业绩比较基准：</w:t>
      </w:r>
      <w:r>
        <w:rPr>
          <w:kern w:val="0"/>
          <w:sz w:val="24"/>
        </w:rPr>
        <w:t>中证港股通医药卫生综合指数（人民币）收益率</w:t>
      </w:r>
      <w:r>
        <w:rPr>
          <w:sz w:val="24"/>
        </w:rPr>
        <w:t>×</w:t>
      </w:r>
      <w:r>
        <w:rPr>
          <w:kern w:val="0"/>
          <w:sz w:val="24"/>
        </w:rPr>
        <w:t>40%+</w:t>
      </w:r>
      <w:r>
        <w:rPr>
          <w:kern w:val="0"/>
          <w:sz w:val="24"/>
        </w:rPr>
        <w:t>中证医药卫生指数收益率</w:t>
      </w:r>
      <w:r>
        <w:rPr>
          <w:sz w:val="24"/>
        </w:rPr>
        <w:t>×</w:t>
      </w:r>
      <w:r>
        <w:rPr>
          <w:kern w:val="0"/>
          <w:sz w:val="24"/>
        </w:rPr>
        <w:t>35%+MSCI</w:t>
      </w:r>
      <w:r>
        <w:rPr>
          <w:kern w:val="0"/>
          <w:sz w:val="24"/>
        </w:rPr>
        <w:t>全球医疗保健指数（</w:t>
      </w:r>
      <w:r>
        <w:rPr>
          <w:kern w:val="0"/>
          <w:sz w:val="24"/>
        </w:rPr>
        <w:t>MSCI World Health Care Index</w:t>
      </w:r>
      <w:r>
        <w:rPr>
          <w:kern w:val="0"/>
          <w:sz w:val="24"/>
        </w:rPr>
        <w:t>）收益率</w:t>
      </w:r>
      <w:r>
        <w:rPr>
          <w:sz w:val="24"/>
        </w:rPr>
        <w:t>×</w:t>
      </w:r>
      <w:r>
        <w:rPr>
          <w:kern w:val="0"/>
          <w:sz w:val="24"/>
        </w:rPr>
        <w:t>15%+</w:t>
      </w:r>
      <w:r>
        <w:rPr>
          <w:kern w:val="0"/>
          <w:sz w:val="24"/>
        </w:rPr>
        <w:t>中债</w:t>
      </w:r>
      <w:r>
        <w:rPr>
          <w:kern w:val="0"/>
          <w:sz w:val="24"/>
        </w:rPr>
        <w:t>-</w:t>
      </w:r>
      <w:r>
        <w:rPr>
          <w:kern w:val="0"/>
          <w:sz w:val="24"/>
        </w:rPr>
        <w:t>总全价（总值）指数收益率</w:t>
      </w:r>
      <w:r>
        <w:rPr>
          <w:sz w:val="24"/>
        </w:rPr>
        <w:t>×</w:t>
      </w:r>
      <w:r>
        <w:rPr>
          <w:kern w:val="0"/>
          <w:sz w:val="24"/>
        </w:rPr>
        <w:t>10%</w:t>
      </w:r>
    </w:p>
    <w:p w:rsidR="0016189C" w:rsidRDefault="00B34D58">
      <w:pPr>
        <w:spacing w:line="360" w:lineRule="auto"/>
        <w:ind w:firstLineChars="200" w:firstLine="480"/>
        <w:rPr>
          <w:b/>
          <w:kern w:val="0"/>
          <w:sz w:val="24"/>
        </w:rPr>
      </w:pPr>
      <w:r>
        <w:rPr>
          <w:kern w:val="0"/>
          <w:sz w:val="24"/>
        </w:rPr>
        <w:t>（</w:t>
      </w:r>
      <w:r>
        <w:rPr>
          <w:kern w:val="0"/>
          <w:sz w:val="24"/>
        </w:rPr>
        <w:t>2</w:t>
      </w:r>
      <w:r>
        <w:rPr>
          <w:kern w:val="0"/>
          <w:sz w:val="24"/>
        </w:rPr>
        <w:t>）</w:t>
      </w:r>
      <w:r>
        <w:rPr>
          <w:b/>
          <w:kern w:val="0"/>
          <w:sz w:val="24"/>
        </w:rPr>
        <w:t>新的业绩比较基准选择原因、差异及影响：</w:t>
      </w:r>
    </w:p>
    <w:p w:rsidR="0016189C" w:rsidRDefault="00B34D58">
      <w:pPr>
        <w:spacing w:line="360" w:lineRule="auto"/>
        <w:ind w:firstLineChars="200" w:firstLine="480"/>
        <w:rPr>
          <w:kern w:val="0"/>
          <w:sz w:val="24"/>
        </w:rPr>
      </w:pPr>
      <w:r>
        <w:rPr>
          <w:kern w:val="0"/>
          <w:sz w:val="24"/>
        </w:rPr>
        <w:t>此次本基金业绩比较基准调整同时涉及基准指数、基准要素权重调整，并按照要求对业绩比较基准表述进行了规范。</w:t>
      </w:r>
    </w:p>
    <w:p w:rsidR="0016189C" w:rsidRDefault="00B34D58">
      <w:pPr>
        <w:spacing w:line="360" w:lineRule="auto"/>
        <w:ind w:firstLineChars="200" w:firstLine="480"/>
        <w:rPr>
          <w:kern w:val="0"/>
          <w:sz w:val="24"/>
        </w:rPr>
      </w:pPr>
      <w:r>
        <w:rPr>
          <w:kern w:val="0"/>
          <w:sz w:val="24"/>
        </w:rPr>
        <w:t>基于本基金的投资目标、投资范围和投资策略，本基金的股票资产主</w:t>
      </w:r>
      <w:r>
        <w:rPr>
          <w:kern w:val="0"/>
          <w:sz w:val="24"/>
        </w:rPr>
        <w:t>要投资于全球医药行业，并根据对医药行业各子行业的综合分析，确定并调整各子行业的资产配置比例，并在各子行业中精选具有较强竞争优势的公司进行投资，从而在控制风险的前提下，追求超越业绩比较基准的投资回报。综合考虑基准指数与产品定位、投资风格</w:t>
      </w:r>
      <w:r>
        <w:rPr>
          <w:rFonts w:hint="eastAsia"/>
          <w:kern w:val="0"/>
          <w:sz w:val="24"/>
        </w:rPr>
        <w:t>的匹配度</w:t>
      </w:r>
      <w:r>
        <w:rPr>
          <w:kern w:val="0"/>
          <w:sz w:val="24"/>
        </w:rPr>
        <w:t>，同时兼顾考虑基准指数的表征性、认可度，以及指数主题界定、市值覆盖、行业与个股分布等，本基金的股票部分所对应的基准指数从申万医药生物行业指数</w:t>
      </w:r>
      <w:r>
        <w:rPr>
          <w:rFonts w:hint="eastAsia"/>
          <w:kern w:val="0"/>
          <w:sz w:val="24"/>
        </w:rPr>
        <w:t>、</w:t>
      </w:r>
      <w:r>
        <w:rPr>
          <w:kern w:val="0"/>
          <w:sz w:val="24"/>
        </w:rPr>
        <w:t>标普全球</w:t>
      </w:r>
      <w:r>
        <w:rPr>
          <w:kern w:val="0"/>
          <w:sz w:val="24"/>
        </w:rPr>
        <w:t>1200</w:t>
      </w:r>
      <w:r>
        <w:rPr>
          <w:kern w:val="0"/>
          <w:sz w:val="24"/>
        </w:rPr>
        <w:t>医疗保健指数调整为中证港股通医药卫生综合指数（人民币）、中证医药卫生指数和</w:t>
      </w:r>
      <w:r>
        <w:rPr>
          <w:kern w:val="0"/>
          <w:sz w:val="24"/>
        </w:rPr>
        <w:t>MSCI</w:t>
      </w:r>
      <w:r>
        <w:rPr>
          <w:kern w:val="0"/>
          <w:sz w:val="24"/>
        </w:rPr>
        <w:t>全球医疗保健指数（</w:t>
      </w:r>
      <w:r>
        <w:rPr>
          <w:kern w:val="0"/>
          <w:sz w:val="24"/>
        </w:rPr>
        <w:t>MSCI W</w:t>
      </w:r>
      <w:r>
        <w:rPr>
          <w:kern w:val="0"/>
          <w:sz w:val="24"/>
        </w:rPr>
        <w:t>orld Health Care Index</w:t>
      </w:r>
      <w:r>
        <w:rPr>
          <w:kern w:val="0"/>
          <w:sz w:val="24"/>
        </w:rPr>
        <w:t>）。此外，基于本基金近年来股票资产的平均仓位，</w:t>
      </w:r>
      <w:r>
        <w:rPr>
          <w:rFonts w:hint="eastAsia"/>
          <w:kern w:val="0"/>
          <w:sz w:val="24"/>
        </w:rPr>
        <w:t>并结合基金合同约定的投资比例限制和产品定位</w:t>
      </w:r>
      <w:r>
        <w:rPr>
          <w:kern w:val="0"/>
          <w:sz w:val="24"/>
        </w:rPr>
        <w:t>，将业绩比较基准中的</w:t>
      </w:r>
      <w:r>
        <w:rPr>
          <w:kern w:val="0"/>
          <w:sz w:val="24"/>
        </w:rPr>
        <w:t>A</w:t>
      </w:r>
      <w:r>
        <w:rPr>
          <w:kern w:val="0"/>
          <w:sz w:val="24"/>
        </w:rPr>
        <w:t>股股票部分所对应的基准要素权重从</w:t>
      </w:r>
      <w:r>
        <w:rPr>
          <w:kern w:val="0"/>
          <w:sz w:val="24"/>
        </w:rPr>
        <w:t>45%</w:t>
      </w:r>
      <w:r>
        <w:rPr>
          <w:kern w:val="0"/>
          <w:sz w:val="24"/>
        </w:rPr>
        <w:t>调低至</w:t>
      </w:r>
      <w:r>
        <w:rPr>
          <w:kern w:val="0"/>
          <w:sz w:val="24"/>
        </w:rPr>
        <w:t>35%</w:t>
      </w:r>
      <w:r>
        <w:rPr>
          <w:kern w:val="0"/>
          <w:sz w:val="24"/>
        </w:rPr>
        <w:t>，境外股票部分所对应的基准要素权重从</w:t>
      </w:r>
      <w:r>
        <w:rPr>
          <w:kern w:val="0"/>
          <w:sz w:val="24"/>
        </w:rPr>
        <w:t>40%</w:t>
      </w:r>
      <w:r>
        <w:rPr>
          <w:kern w:val="0"/>
          <w:sz w:val="24"/>
        </w:rPr>
        <w:t>提高至</w:t>
      </w:r>
      <w:r>
        <w:rPr>
          <w:kern w:val="0"/>
          <w:sz w:val="24"/>
        </w:rPr>
        <w:t>55%</w:t>
      </w:r>
      <w:r>
        <w:rPr>
          <w:kern w:val="0"/>
          <w:sz w:val="24"/>
        </w:rPr>
        <w:t>（其中</w:t>
      </w:r>
      <w:r>
        <w:rPr>
          <w:rFonts w:hint="eastAsia"/>
          <w:kern w:val="0"/>
          <w:sz w:val="24"/>
        </w:rPr>
        <w:t>港股</w:t>
      </w:r>
      <w:r>
        <w:rPr>
          <w:kern w:val="0"/>
          <w:sz w:val="24"/>
        </w:rPr>
        <w:t>股票部分的基准要素权重</w:t>
      </w:r>
      <w:r>
        <w:rPr>
          <w:rFonts w:hint="eastAsia"/>
          <w:kern w:val="0"/>
          <w:sz w:val="24"/>
        </w:rPr>
        <w:t>设置为</w:t>
      </w:r>
      <w:r>
        <w:rPr>
          <w:rFonts w:hint="eastAsia"/>
          <w:kern w:val="0"/>
          <w:sz w:val="24"/>
        </w:rPr>
        <w:t>4</w:t>
      </w:r>
      <w:r>
        <w:rPr>
          <w:kern w:val="0"/>
          <w:sz w:val="24"/>
        </w:rPr>
        <w:t>0%</w:t>
      </w:r>
      <w:r>
        <w:rPr>
          <w:kern w:val="0"/>
          <w:sz w:val="24"/>
        </w:rPr>
        <w:t>，</w:t>
      </w:r>
      <w:r>
        <w:rPr>
          <w:rFonts w:hint="eastAsia"/>
          <w:kern w:val="0"/>
          <w:sz w:val="24"/>
        </w:rPr>
        <w:t>其他境外股票部分的</w:t>
      </w:r>
      <w:r>
        <w:rPr>
          <w:kern w:val="0"/>
          <w:sz w:val="24"/>
        </w:rPr>
        <w:t>基准要素权重</w:t>
      </w:r>
      <w:r>
        <w:rPr>
          <w:rFonts w:hint="eastAsia"/>
          <w:kern w:val="0"/>
          <w:sz w:val="24"/>
        </w:rPr>
        <w:t>设置为</w:t>
      </w:r>
      <w:r>
        <w:rPr>
          <w:kern w:val="0"/>
          <w:sz w:val="24"/>
        </w:rPr>
        <w:t>15%</w:t>
      </w:r>
      <w:r>
        <w:rPr>
          <w:kern w:val="0"/>
          <w:sz w:val="24"/>
        </w:rPr>
        <w:t>），并将债券资产</w:t>
      </w:r>
      <w:r>
        <w:rPr>
          <w:rFonts w:hint="eastAsia"/>
          <w:kern w:val="0"/>
          <w:sz w:val="24"/>
        </w:rPr>
        <w:t>部分</w:t>
      </w:r>
      <w:r>
        <w:rPr>
          <w:kern w:val="0"/>
          <w:sz w:val="24"/>
        </w:rPr>
        <w:t>所对应的基准要素权重从</w:t>
      </w:r>
      <w:r>
        <w:rPr>
          <w:kern w:val="0"/>
          <w:sz w:val="24"/>
        </w:rPr>
        <w:t>15%</w:t>
      </w:r>
      <w:r>
        <w:rPr>
          <w:kern w:val="0"/>
          <w:sz w:val="24"/>
        </w:rPr>
        <w:t>调低至</w:t>
      </w:r>
      <w:r>
        <w:rPr>
          <w:kern w:val="0"/>
          <w:sz w:val="24"/>
        </w:rPr>
        <w:t>10%</w:t>
      </w:r>
      <w:r>
        <w:rPr>
          <w:kern w:val="0"/>
          <w:sz w:val="24"/>
        </w:rPr>
        <w:t>，</w:t>
      </w:r>
      <w:r>
        <w:rPr>
          <w:rFonts w:hint="eastAsia"/>
          <w:kern w:val="0"/>
          <w:sz w:val="24"/>
        </w:rPr>
        <w:t>从而</w:t>
      </w:r>
      <w:r>
        <w:rPr>
          <w:kern w:val="0"/>
          <w:sz w:val="24"/>
        </w:rPr>
        <w:t>使得新业绩比较基准中各大资产类别所对应的基准要素权重与基金过往实际投资运作相匹配。</w:t>
      </w:r>
    </w:p>
    <w:p w:rsidR="0016189C" w:rsidRDefault="00B34D58">
      <w:pPr>
        <w:spacing w:line="360" w:lineRule="auto"/>
        <w:ind w:firstLineChars="200" w:firstLine="480"/>
        <w:rPr>
          <w:kern w:val="0"/>
          <w:sz w:val="24"/>
        </w:rPr>
      </w:pPr>
      <w:r>
        <w:rPr>
          <w:kern w:val="0"/>
          <w:sz w:val="24"/>
        </w:rPr>
        <w:t>原业绩比较基准中</w:t>
      </w:r>
      <w:r>
        <w:rPr>
          <w:kern w:val="0"/>
          <w:sz w:val="24"/>
        </w:rPr>
        <w:t>，申万医药生物行业指数（指数代码</w:t>
      </w:r>
      <w:r>
        <w:rPr>
          <w:kern w:val="0"/>
          <w:sz w:val="24"/>
        </w:rPr>
        <w:t>801150</w:t>
      </w:r>
      <w:r>
        <w:rPr>
          <w:kern w:val="0"/>
          <w:sz w:val="24"/>
        </w:rPr>
        <w:t>）成份股基于申万一级行业分类，纳入医药生物行业上市公司，反映</w:t>
      </w:r>
      <w:r>
        <w:rPr>
          <w:kern w:val="0"/>
          <w:sz w:val="24"/>
        </w:rPr>
        <w:t>A</w:t>
      </w:r>
      <w:r>
        <w:rPr>
          <w:kern w:val="0"/>
          <w:sz w:val="24"/>
        </w:rPr>
        <w:t>股医药生物行业上市公司的整体表现；标普全球</w:t>
      </w:r>
      <w:r>
        <w:rPr>
          <w:kern w:val="0"/>
          <w:sz w:val="24"/>
        </w:rPr>
        <w:t>1200</w:t>
      </w:r>
      <w:r>
        <w:rPr>
          <w:kern w:val="0"/>
          <w:sz w:val="24"/>
        </w:rPr>
        <w:t>医疗保健行业指数（指数代码</w:t>
      </w:r>
      <w:r>
        <w:rPr>
          <w:kern w:val="0"/>
          <w:sz w:val="24"/>
        </w:rPr>
        <w:t>SGH</w:t>
      </w:r>
      <w:r>
        <w:rPr>
          <w:kern w:val="0"/>
          <w:sz w:val="24"/>
        </w:rPr>
        <w:t>）涵盖标普全球</w:t>
      </w:r>
      <w:r>
        <w:rPr>
          <w:kern w:val="0"/>
          <w:sz w:val="24"/>
        </w:rPr>
        <w:t>1200</w:t>
      </w:r>
      <w:r>
        <w:rPr>
          <w:kern w:val="0"/>
          <w:sz w:val="24"/>
        </w:rPr>
        <w:t>指数成份股中，属于</w:t>
      </w:r>
      <w:r>
        <w:rPr>
          <w:kern w:val="0"/>
          <w:sz w:val="24"/>
        </w:rPr>
        <w:t>GICS</w:t>
      </w:r>
      <w:r>
        <w:rPr>
          <w:kern w:val="0"/>
          <w:sz w:val="24"/>
        </w:rPr>
        <w:t>（全球行业分类标准）医疗保健行业的公司。调整后的新业绩比较基准中，中证医药卫生指数（指数代码</w:t>
      </w:r>
      <w:r>
        <w:rPr>
          <w:kern w:val="0"/>
          <w:sz w:val="24"/>
        </w:rPr>
        <w:t>000933</w:t>
      </w:r>
      <w:r>
        <w:rPr>
          <w:kern w:val="0"/>
          <w:sz w:val="24"/>
        </w:rPr>
        <w:t>）</w:t>
      </w:r>
      <w:r>
        <w:rPr>
          <w:rFonts w:ascii="宋体" w:hAnsi="宋体" w:cs="宋体" w:hint="eastAsia"/>
          <w:color w:val="000000"/>
          <w:sz w:val="24"/>
        </w:rPr>
        <w:t>反映中证</w:t>
      </w:r>
      <w:r>
        <w:rPr>
          <w:rFonts w:ascii="宋体" w:hAnsi="宋体" w:cs="宋体" w:hint="eastAsia"/>
          <w:color w:val="000000"/>
          <w:sz w:val="24"/>
        </w:rPr>
        <w:t>800</w:t>
      </w:r>
      <w:r>
        <w:rPr>
          <w:rFonts w:ascii="宋体" w:hAnsi="宋体" w:cs="宋体" w:hint="eastAsia"/>
          <w:color w:val="000000"/>
          <w:sz w:val="24"/>
        </w:rPr>
        <w:t>指数样本中医药卫生行业公司证券的整体表现</w:t>
      </w:r>
      <w:r>
        <w:rPr>
          <w:kern w:val="0"/>
          <w:sz w:val="24"/>
        </w:rPr>
        <w:t>；中证港股通医药卫生综合指数（人民币）（指数代码</w:t>
      </w:r>
      <w:r>
        <w:rPr>
          <w:kern w:val="0"/>
          <w:sz w:val="24"/>
        </w:rPr>
        <w:t>930975</w:t>
      </w:r>
      <w:r>
        <w:rPr>
          <w:kern w:val="0"/>
          <w:sz w:val="24"/>
        </w:rPr>
        <w:t>）从港股通范围内选取</w:t>
      </w:r>
      <w:r>
        <w:rPr>
          <w:kern w:val="0"/>
          <w:sz w:val="24"/>
        </w:rPr>
        <w:t>50</w:t>
      </w:r>
      <w:r>
        <w:rPr>
          <w:kern w:val="0"/>
          <w:sz w:val="24"/>
        </w:rPr>
        <w:t>只流动性较好、市值较大的医疗卫生</w:t>
      </w:r>
      <w:r>
        <w:rPr>
          <w:kern w:val="0"/>
          <w:sz w:val="24"/>
        </w:rPr>
        <w:t>行业上市公司证券作为指数样本，以反映港股通范围内医药卫生上市公司证券的整体表现；</w:t>
      </w:r>
      <w:r>
        <w:rPr>
          <w:kern w:val="0"/>
          <w:sz w:val="24"/>
        </w:rPr>
        <w:t>MSCI</w:t>
      </w:r>
      <w:r>
        <w:rPr>
          <w:kern w:val="0"/>
          <w:sz w:val="24"/>
        </w:rPr>
        <w:t>全球医疗保健指数（</w:t>
      </w:r>
      <w:r>
        <w:rPr>
          <w:kern w:val="0"/>
          <w:sz w:val="24"/>
        </w:rPr>
        <w:t>MSCI World Health Care Index</w:t>
      </w:r>
      <w:r>
        <w:rPr>
          <w:kern w:val="0"/>
          <w:sz w:val="24"/>
        </w:rPr>
        <w:t>）（指数代码</w:t>
      </w:r>
      <w:r>
        <w:rPr>
          <w:kern w:val="0"/>
          <w:sz w:val="24"/>
        </w:rPr>
        <w:t>106801</w:t>
      </w:r>
      <w:r>
        <w:rPr>
          <w:kern w:val="0"/>
          <w:sz w:val="24"/>
        </w:rPr>
        <w:t>）旨在反映发达市场医疗保健行业大中盘股的整体表现。调整后股票部分所对应的基准指数与基金实际持股风格更为匹配，从而能够更好反映本基金的产品定位和投资风格。</w:t>
      </w:r>
    </w:p>
    <w:p w:rsidR="0016189C" w:rsidRDefault="00B34D58">
      <w:pPr>
        <w:spacing w:line="360" w:lineRule="auto"/>
        <w:ind w:firstLineChars="200" w:firstLine="480"/>
        <w:rPr>
          <w:kern w:val="0"/>
          <w:sz w:val="24"/>
        </w:rPr>
      </w:pPr>
      <w:r>
        <w:rPr>
          <w:kern w:val="0"/>
          <w:sz w:val="24"/>
        </w:rPr>
        <w:t>上述调整对本基金投资运作、基金份额持有人利益无实质性不利影响。</w:t>
      </w:r>
    </w:p>
    <w:p w:rsidR="0016189C" w:rsidRDefault="0016189C">
      <w:pPr>
        <w:spacing w:line="360" w:lineRule="auto"/>
        <w:ind w:firstLineChars="200" w:firstLine="480"/>
        <w:rPr>
          <w:kern w:val="0"/>
          <w:sz w:val="24"/>
        </w:rPr>
      </w:pPr>
    </w:p>
    <w:p w:rsidR="0016189C" w:rsidRDefault="00B34D58">
      <w:pPr>
        <w:spacing w:line="360" w:lineRule="auto"/>
        <w:ind w:firstLineChars="200" w:firstLine="480"/>
        <w:outlineLvl w:val="1"/>
        <w:rPr>
          <w:kern w:val="0"/>
          <w:sz w:val="24"/>
        </w:rPr>
      </w:pPr>
      <w:r>
        <w:rPr>
          <w:kern w:val="0"/>
          <w:sz w:val="24"/>
        </w:rPr>
        <w:t>13</w:t>
      </w:r>
      <w:r>
        <w:rPr>
          <w:kern w:val="0"/>
          <w:sz w:val="24"/>
        </w:rPr>
        <w:t>、易方达大健康主题灵活配置混合型证券投资基金</w:t>
      </w:r>
    </w:p>
    <w:p w:rsidR="0016189C" w:rsidRDefault="00B34D58">
      <w:pPr>
        <w:spacing w:line="360" w:lineRule="auto"/>
        <w:ind w:firstLineChars="200" w:firstLine="480"/>
        <w:rPr>
          <w:kern w:val="0"/>
          <w:sz w:val="24"/>
        </w:rPr>
      </w:pPr>
      <w:r>
        <w:rPr>
          <w:kern w:val="0"/>
          <w:sz w:val="24"/>
        </w:rPr>
        <w:t>（</w:t>
      </w:r>
      <w:r>
        <w:rPr>
          <w:kern w:val="0"/>
          <w:sz w:val="24"/>
        </w:rPr>
        <w:t>1</w:t>
      </w:r>
      <w:r>
        <w:rPr>
          <w:kern w:val="0"/>
          <w:sz w:val="24"/>
        </w:rPr>
        <w:t>）</w:t>
      </w:r>
      <w:r>
        <w:rPr>
          <w:b/>
          <w:kern w:val="0"/>
          <w:sz w:val="24"/>
        </w:rPr>
        <w:t>当前业绩比较基准：</w:t>
      </w:r>
      <w:r>
        <w:rPr>
          <w:kern w:val="0"/>
          <w:sz w:val="24"/>
        </w:rPr>
        <w:t>65%</w:t>
      </w:r>
      <w:r>
        <w:rPr>
          <w:rFonts w:hint="eastAsia"/>
          <w:kern w:val="0"/>
          <w:sz w:val="24"/>
        </w:rPr>
        <w:t>×中证</w:t>
      </w:r>
      <w:r>
        <w:rPr>
          <w:kern w:val="0"/>
          <w:sz w:val="24"/>
        </w:rPr>
        <w:t>800</w:t>
      </w:r>
      <w:r>
        <w:rPr>
          <w:rFonts w:hint="eastAsia"/>
          <w:kern w:val="0"/>
          <w:sz w:val="24"/>
        </w:rPr>
        <w:t>指数收益率＋</w:t>
      </w:r>
      <w:r>
        <w:rPr>
          <w:kern w:val="0"/>
          <w:sz w:val="24"/>
        </w:rPr>
        <w:t>3</w:t>
      </w:r>
      <w:r>
        <w:rPr>
          <w:kern w:val="0"/>
          <w:sz w:val="24"/>
        </w:rPr>
        <w:t>5%</w:t>
      </w:r>
      <w:r>
        <w:rPr>
          <w:rFonts w:hint="eastAsia"/>
          <w:kern w:val="0"/>
          <w:sz w:val="24"/>
        </w:rPr>
        <w:t>×一年期人民币定期存款利率（税后）</w:t>
      </w:r>
    </w:p>
    <w:p w:rsidR="0016189C" w:rsidRDefault="00B34D58" w:rsidP="00B34D58">
      <w:pPr>
        <w:spacing w:line="360" w:lineRule="auto"/>
        <w:ind w:firstLineChars="200" w:firstLine="482"/>
        <w:rPr>
          <w:kern w:val="0"/>
          <w:sz w:val="24"/>
        </w:rPr>
      </w:pPr>
      <w:r>
        <w:rPr>
          <w:b/>
          <w:kern w:val="0"/>
          <w:sz w:val="24"/>
        </w:rPr>
        <w:t>调整后新业绩比较基准：</w:t>
      </w:r>
      <w:r>
        <w:rPr>
          <w:kern w:val="0"/>
          <w:sz w:val="24"/>
        </w:rPr>
        <w:t>中证健康产业指数收益率</w:t>
      </w:r>
      <w:r>
        <w:rPr>
          <w:sz w:val="24"/>
        </w:rPr>
        <w:t>×</w:t>
      </w:r>
      <w:r>
        <w:rPr>
          <w:kern w:val="0"/>
          <w:sz w:val="24"/>
        </w:rPr>
        <w:t>80%+</w:t>
      </w:r>
      <w:r>
        <w:rPr>
          <w:kern w:val="0"/>
          <w:sz w:val="24"/>
        </w:rPr>
        <w:t>中债</w:t>
      </w:r>
      <w:r>
        <w:rPr>
          <w:kern w:val="0"/>
          <w:sz w:val="24"/>
        </w:rPr>
        <w:t>-</w:t>
      </w:r>
      <w:r>
        <w:rPr>
          <w:kern w:val="0"/>
          <w:sz w:val="24"/>
        </w:rPr>
        <w:t>总全价（总值）指数收益率</w:t>
      </w:r>
      <w:r>
        <w:rPr>
          <w:sz w:val="24"/>
        </w:rPr>
        <w:t>×</w:t>
      </w:r>
      <w:r>
        <w:rPr>
          <w:kern w:val="0"/>
          <w:sz w:val="24"/>
        </w:rPr>
        <w:t>20%</w:t>
      </w:r>
    </w:p>
    <w:p w:rsidR="0016189C" w:rsidRDefault="00B34D58">
      <w:pPr>
        <w:spacing w:line="360" w:lineRule="auto"/>
        <w:ind w:firstLineChars="200" w:firstLine="480"/>
        <w:rPr>
          <w:b/>
          <w:kern w:val="0"/>
          <w:sz w:val="24"/>
        </w:rPr>
      </w:pPr>
      <w:r>
        <w:rPr>
          <w:kern w:val="0"/>
          <w:sz w:val="24"/>
        </w:rPr>
        <w:t>（</w:t>
      </w:r>
      <w:r>
        <w:rPr>
          <w:kern w:val="0"/>
          <w:sz w:val="24"/>
        </w:rPr>
        <w:t>2</w:t>
      </w:r>
      <w:r>
        <w:rPr>
          <w:kern w:val="0"/>
          <w:sz w:val="24"/>
        </w:rPr>
        <w:t>）</w:t>
      </w:r>
      <w:r>
        <w:rPr>
          <w:b/>
          <w:kern w:val="0"/>
          <w:sz w:val="24"/>
        </w:rPr>
        <w:t>新的业绩比较基准选择原因、差异及影响：</w:t>
      </w:r>
    </w:p>
    <w:p w:rsidR="0016189C" w:rsidRDefault="00B34D58">
      <w:pPr>
        <w:spacing w:line="360" w:lineRule="auto"/>
        <w:ind w:firstLineChars="200" w:firstLine="480"/>
        <w:rPr>
          <w:kern w:val="0"/>
          <w:sz w:val="24"/>
        </w:rPr>
      </w:pPr>
      <w:r>
        <w:rPr>
          <w:kern w:val="0"/>
          <w:sz w:val="24"/>
        </w:rPr>
        <w:t>此次本基金业绩比较基准调整同时涉及基准指数、基准要素权重调整。</w:t>
      </w:r>
    </w:p>
    <w:p w:rsidR="0016189C" w:rsidRDefault="00B34D58">
      <w:pPr>
        <w:spacing w:line="360" w:lineRule="auto"/>
        <w:ind w:firstLineChars="200" w:firstLine="480"/>
        <w:rPr>
          <w:kern w:val="0"/>
          <w:sz w:val="24"/>
        </w:rPr>
      </w:pPr>
      <w:r>
        <w:rPr>
          <w:kern w:val="0"/>
          <w:sz w:val="24"/>
        </w:rPr>
        <w:t>基于基金投资目标、投资范围和投资策略，本基金的股票资产主要投资于大健康主题相关的公司，即主要投向提供与医疗健康、生活健康、环境健康、满足高层次健康需求相关产品和服务的产业和公司，从而在控制风险的基础上追求超越业绩比较基准的投资回报。综合考虑基准指数与产品定位、投资风格的匹配度，同时兼顾考虑基准指数的表征性、认可度，以及指数主题界定、市值覆盖、行业与个股分布等，本基金将股票部分的基准要素从中证</w:t>
      </w:r>
      <w:r>
        <w:rPr>
          <w:kern w:val="0"/>
          <w:sz w:val="24"/>
        </w:rPr>
        <w:t>800</w:t>
      </w:r>
      <w:r>
        <w:rPr>
          <w:kern w:val="0"/>
          <w:sz w:val="24"/>
        </w:rPr>
        <w:t>指数调整为中证健康产业指数。此外，本基金的债券资产采用全市场策略，主要通过类属配置与券种选择两个层次进行投资管理</w:t>
      </w:r>
      <w:r>
        <w:rPr>
          <w:kern w:val="0"/>
          <w:sz w:val="24"/>
        </w:rPr>
        <w:t>，经审慎评估，综合考虑基准指数与产品定位和投资风格的匹配度，同时兼顾考虑基准指数的表征性、认可度，以及基准指数券种等，新增中债</w:t>
      </w:r>
      <w:r>
        <w:rPr>
          <w:kern w:val="0"/>
          <w:sz w:val="24"/>
        </w:rPr>
        <w:t>-</w:t>
      </w:r>
      <w:r>
        <w:rPr>
          <w:kern w:val="0"/>
          <w:sz w:val="24"/>
        </w:rPr>
        <w:t>总全价（总值）指数作为债券部分的业绩比较基准要素。</w:t>
      </w:r>
    </w:p>
    <w:p w:rsidR="0016189C" w:rsidRDefault="00B34D58">
      <w:pPr>
        <w:spacing w:line="360" w:lineRule="auto"/>
        <w:ind w:firstLineChars="200" w:firstLine="480"/>
        <w:rPr>
          <w:kern w:val="0"/>
          <w:sz w:val="24"/>
        </w:rPr>
      </w:pPr>
      <w:r>
        <w:rPr>
          <w:kern w:val="0"/>
          <w:sz w:val="24"/>
        </w:rPr>
        <w:t>基于本基金近年来股票资产的平均仓位，并结合基金合同约定的投资比例限制和产品定位，将业绩比较基准中的股票资产所对应的基准要素权重从</w:t>
      </w:r>
      <w:r>
        <w:rPr>
          <w:kern w:val="0"/>
          <w:sz w:val="24"/>
        </w:rPr>
        <w:t>65%</w:t>
      </w:r>
      <w:r>
        <w:rPr>
          <w:kern w:val="0"/>
          <w:sz w:val="24"/>
        </w:rPr>
        <w:t>提高至</w:t>
      </w:r>
      <w:r>
        <w:rPr>
          <w:kern w:val="0"/>
          <w:sz w:val="24"/>
        </w:rPr>
        <w:t>80%</w:t>
      </w:r>
      <w:r>
        <w:rPr>
          <w:kern w:val="0"/>
          <w:sz w:val="24"/>
        </w:rPr>
        <w:t>，并将债券资产所对应的基准要素权重设置至</w:t>
      </w:r>
      <w:r>
        <w:rPr>
          <w:kern w:val="0"/>
          <w:sz w:val="24"/>
        </w:rPr>
        <w:t>20%</w:t>
      </w:r>
      <w:r>
        <w:rPr>
          <w:kern w:val="0"/>
          <w:sz w:val="24"/>
        </w:rPr>
        <w:t>，从而使得新业绩比较基准中各大资产类别所对应的基准要素权重与基金过往实际投资运作等相匹配。</w:t>
      </w:r>
    </w:p>
    <w:p w:rsidR="0016189C" w:rsidRDefault="00B34D58">
      <w:pPr>
        <w:spacing w:line="360" w:lineRule="auto"/>
        <w:ind w:firstLineChars="200" w:firstLine="480"/>
        <w:rPr>
          <w:kern w:val="0"/>
          <w:sz w:val="24"/>
        </w:rPr>
      </w:pPr>
      <w:r>
        <w:rPr>
          <w:kern w:val="0"/>
          <w:sz w:val="24"/>
        </w:rPr>
        <w:t>原业绩比较基准中，中证</w:t>
      </w:r>
      <w:r>
        <w:rPr>
          <w:kern w:val="0"/>
          <w:sz w:val="24"/>
        </w:rPr>
        <w:t>800</w:t>
      </w:r>
      <w:r>
        <w:rPr>
          <w:kern w:val="0"/>
          <w:sz w:val="24"/>
        </w:rPr>
        <w:t>指数（指数代码</w:t>
      </w:r>
      <w:r>
        <w:rPr>
          <w:kern w:val="0"/>
          <w:sz w:val="24"/>
        </w:rPr>
        <w:t>000</w:t>
      </w:r>
      <w:r>
        <w:rPr>
          <w:kern w:val="0"/>
          <w:sz w:val="24"/>
        </w:rPr>
        <w:t>906</w:t>
      </w:r>
      <w:r>
        <w:rPr>
          <w:kern w:val="0"/>
          <w:sz w:val="24"/>
        </w:rPr>
        <w:t>）由沪深市场市值较大、流动性较好的</w:t>
      </w:r>
      <w:r>
        <w:rPr>
          <w:kern w:val="0"/>
          <w:sz w:val="24"/>
        </w:rPr>
        <w:t>800</w:t>
      </w:r>
      <w:r>
        <w:rPr>
          <w:kern w:val="0"/>
          <w:sz w:val="24"/>
        </w:rPr>
        <w:t>只股票构成，反映沪深市场大中盘上市公司证券的整体表现；调整后的新业绩比较基准中，中证健康产业指数（指数代码</w:t>
      </w:r>
      <w:r>
        <w:rPr>
          <w:kern w:val="0"/>
          <w:sz w:val="24"/>
        </w:rPr>
        <w:t>H30344</w:t>
      </w:r>
      <w:r>
        <w:rPr>
          <w:kern w:val="0"/>
          <w:sz w:val="24"/>
        </w:rPr>
        <w:t>）选取医疗保健、食品安全、环保等三大产业中市值最大的</w:t>
      </w:r>
      <w:r>
        <w:rPr>
          <w:kern w:val="0"/>
          <w:sz w:val="24"/>
        </w:rPr>
        <w:t>100</w:t>
      </w:r>
      <w:r>
        <w:rPr>
          <w:kern w:val="0"/>
          <w:sz w:val="24"/>
        </w:rPr>
        <w:t>只证券作为指数样本，</w:t>
      </w:r>
      <w:r w:rsidRPr="004D701A">
        <w:rPr>
          <w:rFonts w:hint="eastAsia"/>
          <w:kern w:val="0"/>
          <w:sz w:val="24"/>
        </w:rPr>
        <w:t>并以等权重加权，以反映健康产业公司的整体表现</w:t>
      </w:r>
      <w:r>
        <w:rPr>
          <w:kern w:val="0"/>
          <w:sz w:val="24"/>
        </w:rPr>
        <w:t>；中债</w:t>
      </w:r>
      <w:r>
        <w:rPr>
          <w:kern w:val="0"/>
          <w:sz w:val="24"/>
        </w:rPr>
        <w:t>-</w:t>
      </w:r>
      <w:r>
        <w:rPr>
          <w:kern w:val="0"/>
          <w:sz w:val="24"/>
        </w:rPr>
        <w:t>总全价（总值）指数（指数代码</w:t>
      </w:r>
      <w:r>
        <w:rPr>
          <w:kern w:val="0"/>
          <w:sz w:val="24"/>
        </w:rPr>
        <w:t>CBA00303</w:t>
      </w:r>
      <w:r>
        <w:rPr>
          <w:kern w:val="0"/>
          <w:sz w:val="24"/>
        </w:rPr>
        <w:t>）成份券由在境内公开发行且上市流通的记账式国债、央行票据和政策性银行债组成，反映境内利率类债券整体价格走势。调整后的中证健康产业指数、中债</w:t>
      </w:r>
      <w:r>
        <w:rPr>
          <w:kern w:val="0"/>
          <w:sz w:val="24"/>
        </w:rPr>
        <w:t>-</w:t>
      </w:r>
      <w:r>
        <w:rPr>
          <w:kern w:val="0"/>
          <w:sz w:val="24"/>
        </w:rPr>
        <w:t>总全价（总值）指数与基金实际持券风</w:t>
      </w:r>
      <w:r>
        <w:rPr>
          <w:kern w:val="0"/>
          <w:sz w:val="24"/>
        </w:rPr>
        <w:t>格相匹配，从而能够更好反映本基金的产品定位和投资风格。</w:t>
      </w:r>
    </w:p>
    <w:p w:rsidR="0016189C" w:rsidRDefault="00B34D58">
      <w:pPr>
        <w:spacing w:line="360" w:lineRule="auto"/>
        <w:ind w:firstLineChars="200" w:firstLine="480"/>
        <w:rPr>
          <w:kern w:val="0"/>
          <w:sz w:val="24"/>
        </w:rPr>
      </w:pPr>
      <w:r>
        <w:rPr>
          <w:kern w:val="0"/>
          <w:sz w:val="24"/>
        </w:rPr>
        <w:t>上述调整对本基金投资运作、基金份额持有人利益无实质性不利影响。</w:t>
      </w:r>
    </w:p>
    <w:p w:rsidR="0016189C" w:rsidRDefault="0016189C">
      <w:pPr>
        <w:spacing w:line="360" w:lineRule="auto"/>
        <w:ind w:firstLineChars="200" w:firstLine="480"/>
        <w:rPr>
          <w:kern w:val="0"/>
          <w:sz w:val="24"/>
        </w:rPr>
      </w:pPr>
    </w:p>
    <w:p w:rsidR="0016189C" w:rsidRDefault="00B34D58">
      <w:pPr>
        <w:spacing w:line="360" w:lineRule="auto"/>
        <w:ind w:firstLineChars="200" w:firstLine="480"/>
        <w:outlineLvl w:val="1"/>
        <w:rPr>
          <w:kern w:val="0"/>
          <w:sz w:val="24"/>
        </w:rPr>
      </w:pPr>
      <w:r>
        <w:rPr>
          <w:kern w:val="0"/>
          <w:sz w:val="24"/>
        </w:rPr>
        <w:t>14</w:t>
      </w:r>
      <w:r>
        <w:rPr>
          <w:kern w:val="0"/>
          <w:sz w:val="24"/>
        </w:rPr>
        <w:t>、易方达科顺定期开放灵活配置混合型证券投资基金</w:t>
      </w:r>
    </w:p>
    <w:p w:rsidR="0016189C" w:rsidRDefault="00B34D58">
      <w:pPr>
        <w:spacing w:line="360" w:lineRule="auto"/>
        <w:ind w:firstLineChars="200" w:firstLine="480"/>
        <w:rPr>
          <w:kern w:val="0"/>
          <w:sz w:val="24"/>
        </w:rPr>
      </w:pPr>
      <w:r>
        <w:rPr>
          <w:kern w:val="0"/>
          <w:sz w:val="24"/>
        </w:rPr>
        <w:t>（</w:t>
      </w:r>
      <w:r>
        <w:rPr>
          <w:kern w:val="0"/>
          <w:sz w:val="24"/>
        </w:rPr>
        <w:t>1</w:t>
      </w:r>
      <w:r>
        <w:rPr>
          <w:kern w:val="0"/>
          <w:sz w:val="24"/>
        </w:rPr>
        <w:t>）</w:t>
      </w:r>
      <w:r>
        <w:rPr>
          <w:b/>
          <w:kern w:val="0"/>
          <w:sz w:val="24"/>
        </w:rPr>
        <w:t>当前业绩比较基准：</w:t>
      </w:r>
      <w:r>
        <w:rPr>
          <w:rFonts w:hint="eastAsia"/>
          <w:kern w:val="0"/>
          <w:sz w:val="24"/>
        </w:rPr>
        <w:t>中证</w:t>
      </w:r>
      <w:r>
        <w:rPr>
          <w:kern w:val="0"/>
          <w:sz w:val="24"/>
        </w:rPr>
        <w:t>800</w:t>
      </w:r>
      <w:r>
        <w:rPr>
          <w:kern w:val="0"/>
          <w:sz w:val="24"/>
        </w:rPr>
        <w:t>指数收益率</w:t>
      </w:r>
      <w:r>
        <w:rPr>
          <w:kern w:val="0"/>
          <w:sz w:val="24"/>
        </w:rPr>
        <w:t>×40%+</w:t>
      </w:r>
      <w:r>
        <w:rPr>
          <w:kern w:val="0"/>
          <w:sz w:val="24"/>
        </w:rPr>
        <w:t>中证港股通综合指数收益率</w:t>
      </w:r>
      <w:r>
        <w:rPr>
          <w:kern w:val="0"/>
          <w:sz w:val="24"/>
        </w:rPr>
        <w:t>×20%+</w:t>
      </w:r>
      <w:r>
        <w:rPr>
          <w:kern w:val="0"/>
          <w:sz w:val="24"/>
        </w:rPr>
        <w:t>中债总指数收益率</w:t>
      </w:r>
      <w:r>
        <w:rPr>
          <w:kern w:val="0"/>
          <w:sz w:val="24"/>
        </w:rPr>
        <w:t>×40%</w:t>
      </w:r>
    </w:p>
    <w:p w:rsidR="0016189C" w:rsidRDefault="00B34D58" w:rsidP="00B34D58">
      <w:pPr>
        <w:spacing w:line="360" w:lineRule="auto"/>
        <w:ind w:firstLineChars="200" w:firstLine="482"/>
        <w:rPr>
          <w:kern w:val="0"/>
          <w:sz w:val="24"/>
        </w:rPr>
      </w:pPr>
      <w:r>
        <w:rPr>
          <w:b/>
          <w:kern w:val="0"/>
          <w:sz w:val="24"/>
        </w:rPr>
        <w:t>调整后新业绩比较基准：</w:t>
      </w:r>
      <w:r>
        <w:rPr>
          <w:kern w:val="0"/>
          <w:sz w:val="24"/>
        </w:rPr>
        <w:t>中证</w:t>
      </w:r>
      <w:r>
        <w:rPr>
          <w:kern w:val="0"/>
          <w:sz w:val="24"/>
        </w:rPr>
        <w:t>800</w:t>
      </w:r>
      <w:r>
        <w:rPr>
          <w:kern w:val="0"/>
          <w:sz w:val="24"/>
        </w:rPr>
        <w:t>指数收益率</w:t>
      </w:r>
      <w:r>
        <w:rPr>
          <w:sz w:val="24"/>
        </w:rPr>
        <w:t>×</w:t>
      </w:r>
      <w:r>
        <w:rPr>
          <w:kern w:val="0"/>
          <w:sz w:val="24"/>
        </w:rPr>
        <w:t>65%+</w:t>
      </w:r>
      <w:r>
        <w:rPr>
          <w:kern w:val="0"/>
          <w:sz w:val="24"/>
        </w:rPr>
        <w:t>中证港股通综合指数（人民币）收益率</w:t>
      </w:r>
      <w:r>
        <w:rPr>
          <w:sz w:val="24"/>
        </w:rPr>
        <w:t>×</w:t>
      </w:r>
      <w:r>
        <w:rPr>
          <w:kern w:val="0"/>
          <w:sz w:val="24"/>
        </w:rPr>
        <w:t>20%+</w:t>
      </w:r>
      <w:r>
        <w:rPr>
          <w:kern w:val="0"/>
          <w:sz w:val="24"/>
        </w:rPr>
        <w:t>中债</w:t>
      </w:r>
      <w:r>
        <w:rPr>
          <w:kern w:val="0"/>
          <w:sz w:val="24"/>
        </w:rPr>
        <w:t>-</w:t>
      </w:r>
      <w:r>
        <w:rPr>
          <w:kern w:val="0"/>
          <w:sz w:val="24"/>
        </w:rPr>
        <w:t>总全价（总值）指数收益率</w:t>
      </w:r>
      <w:r>
        <w:rPr>
          <w:sz w:val="24"/>
        </w:rPr>
        <w:t>×</w:t>
      </w:r>
      <w:r>
        <w:rPr>
          <w:kern w:val="0"/>
          <w:sz w:val="24"/>
        </w:rPr>
        <w:t>15%</w:t>
      </w:r>
    </w:p>
    <w:p w:rsidR="0016189C" w:rsidRDefault="00B34D58">
      <w:pPr>
        <w:spacing w:line="360" w:lineRule="auto"/>
        <w:ind w:firstLineChars="200" w:firstLine="480"/>
        <w:rPr>
          <w:b/>
          <w:kern w:val="0"/>
          <w:sz w:val="24"/>
        </w:rPr>
      </w:pPr>
      <w:r>
        <w:rPr>
          <w:kern w:val="0"/>
          <w:sz w:val="24"/>
        </w:rPr>
        <w:t>（</w:t>
      </w:r>
      <w:r>
        <w:rPr>
          <w:kern w:val="0"/>
          <w:sz w:val="24"/>
        </w:rPr>
        <w:t>2</w:t>
      </w:r>
      <w:r>
        <w:rPr>
          <w:kern w:val="0"/>
          <w:sz w:val="24"/>
        </w:rPr>
        <w:t>）</w:t>
      </w:r>
      <w:r>
        <w:rPr>
          <w:b/>
          <w:kern w:val="0"/>
          <w:sz w:val="24"/>
        </w:rPr>
        <w:t>新的业绩比较基准选择原因、差异及影响：</w:t>
      </w:r>
    </w:p>
    <w:p w:rsidR="0016189C" w:rsidRDefault="00B34D58">
      <w:pPr>
        <w:spacing w:line="360" w:lineRule="auto"/>
        <w:ind w:firstLineChars="200" w:firstLine="480"/>
        <w:rPr>
          <w:kern w:val="0"/>
          <w:sz w:val="24"/>
        </w:rPr>
      </w:pPr>
      <w:r>
        <w:rPr>
          <w:kern w:val="0"/>
          <w:sz w:val="24"/>
        </w:rPr>
        <w:t>此次本基金业绩比较基准调整涉及基准要素权重调整，不涉及具体指数调整，并按照要求对业绩比较基准表述进行了规范。</w:t>
      </w:r>
    </w:p>
    <w:p w:rsidR="0016189C" w:rsidRDefault="00B34D58">
      <w:pPr>
        <w:spacing w:line="360" w:lineRule="auto"/>
        <w:ind w:firstLineChars="200" w:firstLine="480"/>
        <w:rPr>
          <w:kern w:val="0"/>
          <w:sz w:val="24"/>
        </w:rPr>
      </w:pPr>
      <w:r>
        <w:rPr>
          <w:kern w:val="0"/>
          <w:sz w:val="24"/>
        </w:rPr>
        <w:t>基于本基金近年来股票资产的平均仓位，并结合基金合同约定的投资比例限制和产品定位，将业绩比较基准中的股票资产所对应的基准要素权重从</w:t>
      </w:r>
      <w:r>
        <w:rPr>
          <w:kern w:val="0"/>
          <w:sz w:val="24"/>
        </w:rPr>
        <w:t>60%</w:t>
      </w:r>
      <w:r>
        <w:rPr>
          <w:kern w:val="0"/>
          <w:sz w:val="24"/>
        </w:rPr>
        <w:t>提高至</w:t>
      </w:r>
      <w:r>
        <w:rPr>
          <w:kern w:val="0"/>
          <w:sz w:val="24"/>
        </w:rPr>
        <w:t>85%</w:t>
      </w:r>
      <w:r>
        <w:rPr>
          <w:kern w:val="0"/>
          <w:sz w:val="24"/>
        </w:rPr>
        <w:t>（其中</w:t>
      </w:r>
      <w:r>
        <w:rPr>
          <w:kern w:val="0"/>
          <w:sz w:val="24"/>
        </w:rPr>
        <w:t>A</w:t>
      </w:r>
      <w:r>
        <w:rPr>
          <w:kern w:val="0"/>
          <w:sz w:val="24"/>
        </w:rPr>
        <w:t>股股票部分的基准要素权重相应从</w:t>
      </w:r>
      <w:r>
        <w:rPr>
          <w:kern w:val="0"/>
          <w:sz w:val="24"/>
        </w:rPr>
        <w:t>40%</w:t>
      </w:r>
      <w:r>
        <w:rPr>
          <w:kern w:val="0"/>
          <w:sz w:val="24"/>
        </w:rPr>
        <w:t>提高至</w:t>
      </w:r>
      <w:r>
        <w:rPr>
          <w:kern w:val="0"/>
          <w:sz w:val="24"/>
        </w:rPr>
        <w:t>65%</w:t>
      </w:r>
      <w:r>
        <w:rPr>
          <w:kern w:val="0"/>
          <w:sz w:val="24"/>
        </w:rPr>
        <w:t>，港股通股票部分的基准要素权重保持不变），并将债券资产所对应的基准要素权重从</w:t>
      </w:r>
      <w:r>
        <w:rPr>
          <w:kern w:val="0"/>
          <w:sz w:val="24"/>
        </w:rPr>
        <w:t>40%</w:t>
      </w:r>
      <w:r>
        <w:rPr>
          <w:kern w:val="0"/>
          <w:sz w:val="24"/>
        </w:rPr>
        <w:t>调低至</w:t>
      </w:r>
      <w:r>
        <w:rPr>
          <w:kern w:val="0"/>
          <w:sz w:val="24"/>
        </w:rPr>
        <w:t>15%</w:t>
      </w:r>
      <w:r>
        <w:rPr>
          <w:kern w:val="0"/>
          <w:sz w:val="24"/>
        </w:rPr>
        <w:t>，从而使得新业绩比较基准中各大资产类别所对应的基准要素权重与基金过往实际投资运作等相匹配。</w:t>
      </w:r>
    </w:p>
    <w:p w:rsidR="0016189C" w:rsidRDefault="00B34D58">
      <w:pPr>
        <w:spacing w:line="360" w:lineRule="auto"/>
        <w:ind w:firstLineChars="200" w:firstLine="480"/>
        <w:rPr>
          <w:kern w:val="0"/>
          <w:sz w:val="24"/>
        </w:rPr>
      </w:pPr>
      <w:r>
        <w:rPr>
          <w:kern w:val="0"/>
          <w:sz w:val="24"/>
        </w:rPr>
        <w:t>上述调整对本基</w:t>
      </w:r>
      <w:r>
        <w:rPr>
          <w:kern w:val="0"/>
          <w:sz w:val="24"/>
        </w:rPr>
        <w:t>金投资运作、基金份额持有人利益无实质性不利影响。</w:t>
      </w:r>
    </w:p>
    <w:p w:rsidR="0016189C" w:rsidRDefault="0016189C">
      <w:pPr>
        <w:spacing w:line="360" w:lineRule="auto"/>
        <w:ind w:firstLineChars="200" w:firstLine="480"/>
        <w:rPr>
          <w:kern w:val="0"/>
          <w:sz w:val="24"/>
        </w:rPr>
      </w:pPr>
    </w:p>
    <w:p w:rsidR="0016189C" w:rsidRDefault="00B34D58">
      <w:pPr>
        <w:spacing w:line="360" w:lineRule="auto"/>
        <w:ind w:firstLineChars="200" w:firstLine="480"/>
        <w:outlineLvl w:val="1"/>
        <w:rPr>
          <w:kern w:val="0"/>
          <w:sz w:val="24"/>
        </w:rPr>
      </w:pPr>
      <w:r>
        <w:rPr>
          <w:kern w:val="0"/>
          <w:sz w:val="24"/>
        </w:rPr>
        <w:t>15</w:t>
      </w:r>
      <w:r>
        <w:rPr>
          <w:kern w:val="0"/>
          <w:sz w:val="24"/>
        </w:rPr>
        <w:t>、易方达产业机遇混合型证券投资基金</w:t>
      </w:r>
    </w:p>
    <w:p w:rsidR="0016189C" w:rsidRDefault="00B34D58">
      <w:pPr>
        <w:spacing w:line="360" w:lineRule="auto"/>
        <w:ind w:firstLineChars="200" w:firstLine="480"/>
        <w:rPr>
          <w:kern w:val="0"/>
          <w:sz w:val="24"/>
        </w:rPr>
      </w:pPr>
      <w:r>
        <w:rPr>
          <w:kern w:val="0"/>
          <w:sz w:val="24"/>
        </w:rPr>
        <w:t>（</w:t>
      </w:r>
      <w:r>
        <w:rPr>
          <w:kern w:val="0"/>
          <w:sz w:val="24"/>
        </w:rPr>
        <w:t>1</w:t>
      </w:r>
      <w:r>
        <w:rPr>
          <w:kern w:val="0"/>
          <w:sz w:val="24"/>
        </w:rPr>
        <w:t>）</w:t>
      </w:r>
      <w:r>
        <w:rPr>
          <w:b/>
          <w:kern w:val="0"/>
          <w:sz w:val="24"/>
        </w:rPr>
        <w:t>当前业绩比较基准：</w:t>
      </w:r>
      <w:r>
        <w:rPr>
          <w:kern w:val="0"/>
          <w:sz w:val="24"/>
        </w:rPr>
        <w:t>沪深</w:t>
      </w:r>
      <w:r>
        <w:rPr>
          <w:kern w:val="0"/>
          <w:sz w:val="24"/>
        </w:rPr>
        <w:t>300</w:t>
      </w:r>
      <w:r>
        <w:rPr>
          <w:kern w:val="0"/>
          <w:sz w:val="24"/>
        </w:rPr>
        <w:t>指数收益率</w:t>
      </w:r>
      <w:r>
        <w:rPr>
          <w:sz w:val="24"/>
        </w:rPr>
        <w:t>×</w:t>
      </w:r>
      <w:r>
        <w:rPr>
          <w:kern w:val="0"/>
          <w:sz w:val="24"/>
        </w:rPr>
        <w:t>70%+</w:t>
      </w:r>
      <w:r>
        <w:rPr>
          <w:kern w:val="0"/>
          <w:sz w:val="24"/>
        </w:rPr>
        <w:t>中证港股通综合指数收益率</w:t>
      </w:r>
      <w:r>
        <w:rPr>
          <w:sz w:val="24"/>
        </w:rPr>
        <w:t>×</w:t>
      </w:r>
      <w:r>
        <w:rPr>
          <w:kern w:val="0"/>
          <w:sz w:val="24"/>
        </w:rPr>
        <w:t>15%+</w:t>
      </w:r>
      <w:r>
        <w:rPr>
          <w:kern w:val="0"/>
          <w:sz w:val="24"/>
        </w:rPr>
        <w:t>中债总指数收益率</w:t>
      </w:r>
      <w:r>
        <w:rPr>
          <w:sz w:val="24"/>
        </w:rPr>
        <w:t>×</w:t>
      </w:r>
      <w:r>
        <w:rPr>
          <w:kern w:val="0"/>
          <w:sz w:val="24"/>
        </w:rPr>
        <w:t>15%</w:t>
      </w:r>
    </w:p>
    <w:p w:rsidR="0016189C" w:rsidRDefault="00B34D58" w:rsidP="00B34D58">
      <w:pPr>
        <w:spacing w:line="360" w:lineRule="auto"/>
        <w:ind w:firstLineChars="200" w:firstLine="482"/>
        <w:rPr>
          <w:kern w:val="0"/>
          <w:sz w:val="24"/>
        </w:rPr>
      </w:pPr>
      <w:r>
        <w:rPr>
          <w:b/>
          <w:kern w:val="0"/>
          <w:sz w:val="24"/>
        </w:rPr>
        <w:t>调整后新业绩比较基准：</w:t>
      </w:r>
      <w:r>
        <w:rPr>
          <w:kern w:val="0"/>
          <w:sz w:val="24"/>
        </w:rPr>
        <w:t>中证</w:t>
      </w:r>
      <w:r>
        <w:rPr>
          <w:kern w:val="0"/>
          <w:sz w:val="24"/>
        </w:rPr>
        <w:t>800</w:t>
      </w:r>
      <w:r>
        <w:rPr>
          <w:kern w:val="0"/>
          <w:sz w:val="24"/>
        </w:rPr>
        <w:t>指数收益率</w:t>
      </w:r>
      <w:r>
        <w:rPr>
          <w:sz w:val="24"/>
        </w:rPr>
        <w:t>×</w:t>
      </w:r>
      <w:r>
        <w:rPr>
          <w:kern w:val="0"/>
          <w:sz w:val="24"/>
        </w:rPr>
        <w:t>70%+</w:t>
      </w:r>
      <w:r>
        <w:rPr>
          <w:kern w:val="0"/>
          <w:sz w:val="24"/>
        </w:rPr>
        <w:t>中证港股通综合指数（人民币）收益率</w:t>
      </w:r>
      <w:r>
        <w:rPr>
          <w:sz w:val="24"/>
        </w:rPr>
        <w:t>×</w:t>
      </w:r>
      <w:r>
        <w:rPr>
          <w:kern w:val="0"/>
          <w:sz w:val="24"/>
        </w:rPr>
        <w:t>15%+</w:t>
      </w:r>
      <w:r>
        <w:rPr>
          <w:kern w:val="0"/>
          <w:sz w:val="24"/>
        </w:rPr>
        <w:t>中债</w:t>
      </w:r>
      <w:r>
        <w:rPr>
          <w:kern w:val="0"/>
          <w:sz w:val="24"/>
        </w:rPr>
        <w:t>-</w:t>
      </w:r>
      <w:r>
        <w:rPr>
          <w:kern w:val="0"/>
          <w:sz w:val="24"/>
        </w:rPr>
        <w:t>总全价（总值）指数收益率</w:t>
      </w:r>
      <w:r>
        <w:rPr>
          <w:sz w:val="24"/>
        </w:rPr>
        <w:t>×</w:t>
      </w:r>
      <w:r>
        <w:rPr>
          <w:kern w:val="0"/>
          <w:sz w:val="24"/>
        </w:rPr>
        <w:t>15%</w:t>
      </w:r>
    </w:p>
    <w:p w:rsidR="0016189C" w:rsidRDefault="00B34D58">
      <w:pPr>
        <w:spacing w:line="360" w:lineRule="auto"/>
        <w:ind w:firstLineChars="200" w:firstLine="480"/>
        <w:rPr>
          <w:kern w:val="0"/>
          <w:sz w:val="24"/>
        </w:rPr>
      </w:pPr>
      <w:r>
        <w:rPr>
          <w:kern w:val="0"/>
          <w:sz w:val="24"/>
        </w:rPr>
        <w:t>（</w:t>
      </w:r>
      <w:r>
        <w:rPr>
          <w:kern w:val="0"/>
          <w:sz w:val="24"/>
        </w:rPr>
        <w:t>2</w:t>
      </w:r>
      <w:r>
        <w:rPr>
          <w:kern w:val="0"/>
          <w:sz w:val="24"/>
        </w:rPr>
        <w:t>）</w:t>
      </w:r>
      <w:r>
        <w:rPr>
          <w:b/>
          <w:kern w:val="0"/>
          <w:sz w:val="24"/>
        </w:rPr>
        <w:t>新的业绩比较基准选择原因、差异及影响：</w:t>
      </w:r>
    </w:p>
    <w:p w:rsidR="0016189C" w:rsidRDefault="00B34D58">
      <w:pPr>
        <w:spacing w:line="360" w:lineRule="auto"/>
        <w:ind w:firstLineChars="200" w:firstLine="480"/>
        <w:rPr>
          <w:kern w:val="0"/>
          <w:sz w:val="24"/>
        </w:rPr>
      </w:pPr>
      <w:r>
        <w:rPr>
          <w:kern w:val="0"/>
          <w:sz w:val="24"/>
        </w:rPr>
        <w:t>此次本基金业绩比较基准调整涉及基准指数调整，不涉及基准要素权重调整，并按照要求对业绩比较基准表述进行了规范。</w:t>
      </w:r>
    </w:p>
    <w:p w:rsidR="0016189C" w:rsidRDefault="00B34D58">
      <w:pPr>
        <w:spacing w:line="360" w:lineRule="auto"/>
        <w:ind w:firstLineChars="200" w:firstLine="480"/>
        <w:rPr>
          <w:kern w:val="0"/>
          <w:sz w:val="24"/>
        </w:rPr>
      </w:pPr>
      <w:r>
        <w:rPr>
          <w:kern w:val="0"/>
          <w:sz w:val="24"/>
        </w:rPr>
        <w:t>基于本基金的投</w:t>
      </w:r>
      <w:r>
        <w:rPr>
          <w:kern w:val="0"/>
          <w:sz w:val="24"/>
        </w:rPr>
        <w:t>资目标、投资范围和投资策略，本基金的股票资产采用全市场选股策略，一方面，</w:t>
      </w:r>
      <w:r>
        <w:rPr>
          <w:rFonts w:hint="eastAsia"/>
          <w:sz w:val="24"/>
        </w:rPr>
        <w:t>基于对产业政策、产业周期、产业趋势和产业格局等方面的研究，筛选具备投资机会的产业；另一方面，基于对公司经营状况、财务指标、估值水平等方面的研究，精选把握产业机遇、具备竞争优势的上市公司，</w:t>
      </w:r>
      <w:r>
        <w:rPr>
          <w:kern w:val="0"/>
          <w:sz w:val="24"/>
        </w:rPr>
        <w:t>从而在控制风险的前提下，追求基金资产的长期增值。经审慎评估，综合考虑基准指数与产品定位和投资风格的匹配度，同时兼顾考虑基准指数的表征性、认可度，以及指数市值覆盖、行业与个股分布等，将股票资产中的</w:t>
      </w:r>
      <w:r>
        <w:rPr>
          <w:kern w:val="0"/>
          <w:sz w:val="24"/>
        </w:rPr>
        <w:t>A</w:t>
      </w:r>
      <w:r>
        <w:rPr>
          <w:kern w:val="0"/>
          <w:sz w:val="24"/>
        </w:rPr>
        <w:t>股股票部分所对应的基准指数从沪深</w:t>
      </w:r>
      <w:r>
        <w:rPr>
          <w:kern w:val="0"/>
          <w:sz w:val="24"/>
        </w:rPr>
        <w:t>300</w:t>
      </w:r>
      <w:r>
        <w:rPr>
          <w:kern w:val="0"/>
          <w:sz w:val="24"/>
        </w:rPr>
        <w:t>指数调整为中证</w:t>
      </w:r>
      <w:r>
        <w:rPr>
          <w:kern w:val="0"/>
          <w:sz w:val="24"/>
        </w:rPr>
        <w:t>800</w:t>
      </w:r>
      <w:r>
        <w:rPr>
          <w:kern w:val="0"/>
          <w:sz w:val="24"/>
        </w:rPr>
        <w:t>指数。</w:t>
      </w:r>
    </w:p>
    <w:p w:rsidR="0016189C" w:rsidRDefault="00B34D58">
      <w:pPr>
        <w:spacing w:line="360" w:lineRule="auto"/>
        <w:ind w:firstLineChars="200" w:firstLine="480"/>
        <w:rPr>
          <w:kern w:val="0"/>
          <w:sz w:val="24"/>
        </w:rPr>
      </w:pPr>
      <w:r>
        <w:rPr>
          <w:kern w:val="0"/>
          <w:sz w:val="24"/>
        </w:rPr>
        <w:t>原业绩比较基准中，沪深</w:t>
      </w:r>
      <w:r>
        <w:rPr>
          <w:kern w:val="0"/>
          <w:sz w:val="24"/>
        </w:rPr>
        <w:t>300</w:t>
      </w:r>
      <w:r>
        <w:rPr>
          <w:kern w:val="0"/>
          <w:sz w:val="24"/>
        </w:rPr>
        <w:t>指数（指数代码</w:t>
      </w:r>
      <w:r>
        <w:rPr>
          <w:kern w:val="0"/>
          <w:sz w:val="24"/>
        </w:rPr>
        <w:t>000300</w:t>
      </w:r>
      <w:r>
        <w:rPr>
          <w:kern w:val="0"/>
          <w:sz w:val="24"/>
        </w:rPr>
        <w:t>）由沪深市场中规模大、流动性好的最具代表性的</w:t>
      </w:r>
      <w:r>
        <w:rPr>
          <w:kern w:val="0"/>
          <w:sz w:val="24"/>
        </w:rPr>
        <w:t>300</w:t>
      </w:r>
      <w:r>
        <w:rPr>
          <w:kern w:val="0"/>
          <w:sz w:val="24"/>
        </w:rPr>
        <w:t>只证券组成，以反映沪深市场上市公司证券的整体表现；调整后的新业绩比较基准中，中证</w:t>
      </w:r>
      <w:r>
        <w:rPr>
          <w:kern w:val="0"/>
          <w:sz w:val="24"/>
        </w:rPr>
        <w:t>800</w:t>
      </w:r>
      <w:r>
        <w:rPr>
          <w:kern w:val="0"/>
          <w:sz w:val="24"/>
        </w:rPr>
        <w:t>指数（指数代码</w:t>
      </w:r>
      <w:r>
        <w:rPr>
          <w:kern w:val="0"/>
          <w:sz w:val="24"/>
        </w:rPr>
        <w:t>000906</w:t>
      </w:r>
      <w:r>
        <w:rPr>
          <w:kern w:val="0"/>
          <w:sz w:val="24"/>
        </w:rPr>
        <w:t>）由沪深市场市值较大、流动性较好的</w:t>
      </w:r>
      <w:r>
        <w:rPr>
          <w:kern w:val="0"/>
          <w:sz w:val="24"/>
        </w:rPr>
        <w:t>800</w:t>
      </w:r>
      <w:r>
        <w:rPr>
          <w:kern w:val="0"/>
          <w:sz w:val="24"/>
        </w:rPr>
        <w:t>只股票构成，反映沪深市场大中盘上市公司证券的整体表现。调整后的中证</w:t>
      </w:r>
      <w:r>
        <w:rPr>
          <w:kern w:val="0"/>
          <w:sz w:val="24"/>
        </w:rPr>
        <w:t>800</w:t>
      </w:r>
      <w:r>
        <w:rPr>
          <w:kern w:val="0"/>
          <w:sz w:val="24"/>
        </w:rPr>
        <w:t>指数与基金实际持股风格更为匹配，从而能够更好反映本基金的产品定位和投资风格。</w:t>
      </w:r>
    </w:p>
    <w:p w:rsidR="0016189C" w:rsidRDefault="00B34D58">
      <w:pPr>
        <w:spacing w:line="360" w:lineRule="auto"/>
        <w:ind w:firstLineChars="200" w:firstLine="480"/>
        <w:rPr>
          <w:kern w:val="0"/>
          <w:sz w:val="24"/>
        </w:rPr>
      </w:pPr>
      <w:r>
        <w:rPr>
          <w:kern w:val="0"/>
          <w:sz w:val="24"/>
        </w:rPr>
        <w:t>上述调整对本基金投资运作、基金份额持有人利益无实质性不利影响。</w:t>
      </w:r>
    </w:p>
    <w:p w:rsidR="0016189C" w:rsidRDefault="0016189C">
      <w:pPr>
        <w:spacing w:line="360" w:lineRule="auto"/>
        <w:ind w:firstLineChars="200" w:firstLine="420"/>
        <w:rPr>
          <w:szCs w:val="22"/>
        </w:rPr>
      </w:pPr>
    </w:p>
    <w:p w:rsidR="0016189C" w:rsidRDefault="00B34D58">
      <w:pPr>
        <w:spacing w:line="360" w:lineRule="auto"/>
        <w:ind w:firstLineChars="200" w:firstLine="480"/>
        <w:outlineLvl w:val="1"/>
        <w:rPr>
          <w:b/>
          <w:kern w:val="0"/>
          <w:sz w:val="24"/>
        </w:rPr>
      </w:pPr>
      <w:r>
        <w:rPr>
          <w:kern w:val="0"/>
          <w:sz w:val="24"/>
        </w:rPr>
        <w:t>16</w:t>
      </w:r>
      <w:r>
        <w:rPr>
          <w:kern w:val="0"/>
          <w:sz w:val="24"/>
        </w:rPr>
        <w:t>、易方达丰和债券型证券投资基</w:t>
      </w:r>
      <w:r>
        <w:rPr>
          <w:kern w:val="0"/>
          <w:sz w:val="24"/>
        </w:rPr>
        <w:t>金</w:t>
      </w:r>
    </w:p>
    <w:p w:rsidR="0016189C" w:rsidRDefault="00B34D58">
      <w:pPr>
        <w:spacing w:line="360" w:lineRule="auto"/>
        <w:ind w:firstLineChars="200" w:firstLine="480"/>
        <w:rPr>
          <w:kern w:val="0"/>
          <w:sz w:val="24"/>
        </w:rPr>
      </w:pPr>
      <w:r>
        <w:rPr>
          <w:kern w:val="0"/>
          <w:sz w:val="24"/>
        </w:rPr>
        <w:t>（</w:t>
      </w:r>
      <w:r>
        <w:rPr>
          <w:kern w:val="0"/>
          <w:sz w:val="24"/>
        </w:rPr>
        <w:t>1</w:t>
      </w:r>
      <w:r>
        <w:rPr>
          <w:kern w:val="0"/>
          <w:sz w:val="24"/>
        </w:rPr>
        <w:t>）</w:t>
      </w:r>
      <w:r>
        <w:rPr>
          <w:b/>
          <w:kern w:val="0"/>
          <w:sz w:val="24"/>
        </w:rPr>
        <w:t>当前业绩比较基准：</w:t>
      </w:r>
      <w:r>
        <w:rPr>
          <w:kern w:val="0"/>
          <w:sz w:val="24"/>
        </w:rPr>
        <w:t>沪深</w:t>
      </w:r>
      <w:r>
        <w:rPr>
          <w:kern w:val="0"/>
          <w:sz w:val="24"/>
        </w:rPr>
        <w:t>300</w:t>
      </w:r>
      <w:r>
        <w:rPr>
          <w:kern w:val="0"/>
          <w:sz w:val="24"/>
        </w:rPr>
        <w:t>指数收益率</w:t>
      </w:r>
      <w:r>
        <w:rPr>
          <w:kern w:val="0"/>
          <w:sz w:val="24"/>
        </w:rPr>
        <w:t>×15%+</w:t>
      </w:r>
      <w:r>
        <w:rPr>
          <w:kern w:val="0"/>
          <w:sz w:val="24"/>
        </w:rPr>
        <w:t>中债新综合指数收益率</w:t>
      </w:r>
      <w:r>
        <w:rPr>
          <w:kern w:val="0"/>
          <w:sz w:val="24"/>
        </w:rPr>
        <w:t>×80%+</w:t>
      </w:r>
      <w:r>
        <w:rPr>
          <w:kern w:val="0"/>
          <w:sz w:val="24"/>
        </w:rPr>
        <w:t>金融机构人民币活期存款基准利率（税后）</w:t>
      </w:r>
      <w:r>
        <w:rPr>
          <w:kern w:val="0"/>
          <w:sz w:val="24"/>
        </w:rPr>
        <w:t>×5%</w:t>
      </w:r>
    </w:p>
    <w:p w:rsidR="0016189C" w:rsidRDefault="00B34D58" w:rsidP="00B34D58">
      <w:pPr>
        <w:spacing w:line="360" w:lineRule="auto"/>
        <w:ind w:firstLineChars="200" w:firstLine="482"/>
        <w:rPr>
          <w:kern w:val="0"/>
          <w:sz w:val="24"/>
        </w:rPr>
      </w:pPr>
      <w:r>
        <w:rPr>
          <w:b/>
          <w:kern w:val="0"/>
          <w:sz w:val="24"/>
        </w:rPr>
        <w:t>调整后新业绩比较基准：</w:t>
      </w:r>
      <w:r>
        <w:rPr>
          <w:kern w:val="0"/>
          <w:sz w:val="24"/>
        </w:rPr>
        <w:t>中债</w:t>
      </w:r>
      <w:r>
        <w:rPr>
          <w:kern w:val="0"/>
          <w:sz w:val="24"/>
        </w:rPr>
        <w:t>-</w:t>
      </w:r>
      <w:r>
        <w:rPr>
          <w:kern w:val="0"/>
          <w:sz w:val="24"/>
        </w:rPr>
        <w:t>新综合财富（总值）指数收益率</w:t>
      </w:r>
      <w:r>
        <w:rPr>
          <w:kern w:val="0"/>
          <w:sz w:val="24"/>
        </w:rPr>
        <w:t>×80%+</w:t>
      </w:r>
      <w:r>
        <w:rPr>
          <w:rFonts w:hint="eastAsia"/>
          <w:kern w:val="0"/>
          <w:sz w:val="24"/>
        </w:rPr>
        <w:t>中证</w:t>
      </w:r>
      <w:r>
        <w:rPr>
          <w:kern w:val="0"/>
          <w:sz w:val="24"/>
        </w:rPr>
        <w:t>800</w:t>
      </w:r>
      <w:r>
        <w:rPr>
          <w:rFonts w:hint="eastAsia"/>
          <w:kern w:val="0"/>
          <w:sz w:val="24"/>
        </w:rPr>
        <w:t>成长指数收益率</w:t>
      </w:r>
      <w:r>
        <w:rPr>
          <w:kern w:val="0"/>
          <w:sz w:val="24"/>
        </w:rPr>
        <w:t>×15%+</w:t>
      </w:r>
      <w:r>
        <w:rPr>
          <w:kern w:val="0"/>
          <w:sz w:val="24"/>
        </w:rPr>
        <w:t>活期存款基准利率</w:t>
      </w:r>
      <w:r>
        <w:rPr>
          <w:kern w:val="0"/>
          <w:sz w:val="24"/>
        </w:rPr>
        <w:t>×5%</w:t>
      </w:r>
    </w:p>
    <w:p w:rsidR="0016189C" w:rsidRDefault="00B34D58">
      <w:pPr>
        <w:spacing w:line="360" w:lineRule="auto"/>
        <w:ind w:firstLineChars="200" w:firstLine="480"/>
        <w:rPr>
          <w:b/>
          <w:kern w:val="0"/>
          <w:sz w:val="24"/>
        </w:rPr>
      </w:pPr>
      <w:r>
        <w:rPr>
          <w:kern w:val="0"/>
          <w:sz w:val="24"/>
        </w:rPr>
        <w:t>（</w:t>
      </w:r>
      <w:r>
        <w:rPr>
          <w:kern w:val="0"/>
          <w:sz w:val="24"/>
        </w:rPr>
        <w:t>2</w:t>
      </w:r>
      <w:r>
        <w:rPr>
          <w:kern w:val="0"/>
          <w:sz w:val="24"/>
        </w:rPr>
        <w:t>）</w:t>
      </w:r>
      <w:r>
        <w:rPr>
          <w:b/>
          <w:kern w:val="0"/>
          <w:sz w:val="24"/>
        </w:rPr>
        <w:t>新的业绩比较基准选择原因、差异及影响：</w:t>
      </w:r>
    </w:p>
    <w:p w:rsidR="0016189C" w:rsidRDefault="00B34D58">
      <w:pPr>
        <w:spacing w:line="360" w:lineRule="auto"/>
        <w:ind w:firstLineChars="200" w:firstLine="480"/>
        <w:rPr>
          <w:kern w:val="0"/>
          <w:sz w:val="24"/>
        </w:rPr>
      </w:pPr>
      <w:r>
        <w:rPr>
          <w:kern w:val="0"/>
          <w:sz w:val="24"/>
        </w:rPr>
        <w:t>此次本基金业绩比较基准调整涉及基准指数调整，不涉及基准要素权重调整，并按照要求对业绩比较基准表述进行了规范。</w:t>
      </w:r>
    </w:p>
    <w:p w:rsidR="0016189C" w:rsidRDefault="00B34D58">
      <w:pPr>
        <w:spacing w:line="360" w:lineRule="auto"/>
        <w:ind w:firstLineChars="200" w:firstLine="480"/>
        <w:rPr>
          <w:kern w:val="0"/>
          <w:sz w:val="24"/>
        </w:rPr>
      </w:pPr>
      <w:r>
        <w:rPr>
          <w:kern w:val="0"/>
          <w:sz w:val="24"/>
        </w:rPr>
        <w:t>基于本基金的投资目标、投资范围和投资策略，本基金的股票投资主要采取</w:t>
      </w:r>
      <w:r>
        <w:rPr>
          <w:kern w:val="0"/>
          <w:sz w:val="24"/>
        </w:rPr>
        <w:t>“</w:t>
      </w:r>
      <w:r>
        <w:rPr>
          <w:rFonts w:hint="eastAsia"/>
          <w:kern w:val="0"/>
          <w:sz w:val="24"/>
        </w:rPr>
        <w:t>自下而上</w:t>
      </w:r>
      <w:r>
        <w:rPr>
          <w:kern w:val="0"/>
          <w:sz w:val="24"/>
        </w:rPr>
        <w:t>”</w:t>
      </w:r>
      <w:r>
        <w:rPr>
          <w:rFonts w:hint="eastAsia"/>
          <w:kern w:val="0"/>
          <w:sz w:val="24"/>
        </w:rPr>
        <w:t>的</w:t>
      </w:r>
      <w:r>
        <w:rPr>
          <w:kern w:val="0"/>
          <w:sz w:val="24"/>
        </w:rPr>
        <w:t>投资策略，</w:t>
      </w:r>
      <w:r w:rsidR="00F64D21" w:rsidRPr="00F64D21">
        <w:rPr>
          <w:rFonts w:hint="eastAsia"/>
          <w:kern w:val="0"/>
          <w:sz w:val="24"/>
        </w:rPr>
        <w:t>结合对宏观经济状况、行业成长空间、行业集中度、公司竞争优势等因素的判断，</w:t>
      </w:r>
      <w:r>
        <w:rPr>
          <w:kern w:val="0"/>
          <w:sz w:val="24"/>
        </w:rPr>
        <w:t>精选优质企业进行投资</w:t>
      </w:r>
      <w:r>
        <w:rPr>
          <w:rFonts w:hint="eastAsia"/>
          <w:kern w:val="0"/>
          <w:sz w:val="24"/>
        </w:rPr>
        <w:t>，追求股票投资组合的长期稳健增值</w:t>
      </w:r>
      <w:r w:rsidR="00F64D21">
        <w:rPr>
          <w:rFonts w:hint="eastAsia"/>
          <w:kern w:val="0"/>
          <w:sz w:val="24"/>
        </w:rPr>
        <w:t>，预期投资风格偏成长</w:t>
      </w:r>
      <w:r>
        <w:rPr>
          <w:kern w:val="0"/>
          <w:sz w:val="24"/>
        </w:rPr>
        <w:t>。经审慎评估，综合考虑基准指数与产品定位和投资风格的匹配度，同时兼顾考虑基准指数的表征性、认可度，以及指数市值覆盖、风格特征、行业与个股分布等，将股票部分所对应的基准指数从沪深</w:t>
      </w:r>
      <w:r>
        <w:rPr>
          <w:kern w:val="0"/>
          <w:sz w:val="24"/>
        </w:rPr>
        <w:t>300</w:t>
      </w:r>
      <w:r>
        <w:rPr>
          <w:kern w:val="0"/>
          <w:sz w:val="24"/>
        </w:rPr>
        <w:t>指数调整为中证</w:t>
      </w:r>
      <w:r>
        <w:rPr>
          <w:kern w:val="0"/>
          <w:sz w:val="24"/>
        </w:rPr>
        <w:t>800</w:t>
      </w:r>
      <w:r>
        <w:rPr>
          <w:kern w:val="0"/>
          <w:sz w:val="24"/>
        </w:rPr>
        <w:t>成长指数。</w:t>
      </w:r>
    </w:p>
    <w:p w:rsidR="0016189C" w:rsidRDefault="00B34D58">
      <w:pPr>
        <w:spacing w:line="360" w:lineRule="auto"/>
        <w:ind w:firstLineChars="200" w:firstLine="480"/>
        <w:rPr>
          <w:kern w:val="0"/>
          <w:sz w:val="24"/>
        </w:rPr>
      </w:pPr>
      <w:r>
        <w:rPr>
          <w:kern w:val="0"/>
          <w:sz w:val="24"/>
        </w:rPr>
        <w:t>原业绩比较基准中，沪深</w:t>
      </w:r>
      <w:r>
        <w:rPr>
          <w:kern w:val="0"/>
          <w:sz w:val="24"/>
        </w:rPr>
        <w:t>300</w:t>
      </w:r>
      <w:r>
        <w:rPr>
          <w:kern w:val="0"/>
          <w:sz w:val="24"/>
        </w:rPr>
        <w:t>指数（指数代码</w:t>
      </w:r>
      <w:r>
        <w:rPr>
          <w:kern w:val="0"/>
          <w:sz w:val="24"/>
        </w:rPr>
        <w:t>000300</w:t>
      </w:r>
      <w:r>
        <w:rPr>
          <w:kern w:val="0"/>
          <w:sz w:val="24"/>
        </w:rPr>
        <w:t>）由沪深市场中规模大、流动性好的最具代表性的</w:t>
      </w:r>
      <w:r>
        <w:rPr>
          <w:kern w:val="0"/>
          <w:sz w:val="24"/>
        </w:rPr>
        <w:t>300</w:t>
      </w:r>
      <w:r>
        <w:rPr>
          <w:kern w:val="0"/>
          <w:sz w:val="24"/>
        </w:rPr>
        <w:t>只证券组成，以反映沪深市场上市公司证券的整体表现；</w:t>
      </w:r>
      <w:r>
        <w:rPr>
          <w:kern w:val="0"/>
          <w:sz w:val="24"/>
        </w:rPr>
        <w:t>调整后的新业绩比较基准中，中证</w:t>
      </w:r>
      <w:r>
        <w:rPr>
          <w:kern w:val="0"/>
          <w:sz w:val="24"/>
        </w:rPr>
        <w:t>800</w:t>
      </w:r>
      <w:r>
        <w:rPr>
          <w:kern w:val="0"/>
          <w:sz w:val="24"/>
        </w:rPr>
        <w:t>成长指数（指数代码</w:t>
      </w:r>
      <w:r>
        <w:rPr>
          <w:kern w:val="0"/>
          <w:sz w:val="24"/>
        </w:rPr>
        <w:t>H30355</w:t>
      </w:r>
      <w:r>
        <w:rPr>
          <w:kern w:val="0"/>
          <w:sz w:val="24"/>
        </w:rPr>
        <w:t>）从中证</w:t>
      </w:r>
      <w:r>
        <w:rPr>
          <w:kern w:val="0"/>
          <w:sz w:val="24"/>
        </w:rPr>
        <w:t>800</w:t>
      </w:r>
      <w:r>
        <w:rPr>
          <w:kern w:val="0"/>
          <w:sz w:val="24"/>
        </w:rPr>
        <w:t>指数样本中，选取成长因子得分最高的</w:t>
      </w:r>
      <w:r>
        <w:rPr>
          <w:kern w:val="0"/>
          <w:sz w:val="24"/>
        </w:rPr>
        <w:t>150</w:t>
      </w:r>
      <w:r>
        <w:rPr>
          <w:kern w:val="0"/>
          <w:sz w:val="24"/>
        </w:rPr>
        <w:t>只证券作为指数样本，并采用成长因子得分调整后的自由流通市值加权，反映中证</w:t>
      </w:r>
      <w:r>
        <w:rPr>
          <w:kern w:val="0"/>
          <w:sz w:val="24"/>
        </w:rPr>
        <w:t>800</w:t>
      </w:r>
      <w:r>
        <w:rPr>
          <w:kern w:val="0"/>
          <w:sz w:val="24"/>
        </w:rPr>
        <w:t>指数样本中具有成长特征的上市公司证券的整体表现，调整后的中证</w:t>
      </w:r>
      <w:r>
        <w:rPr>
          <w:kern w:val="0"/>
          <w:sz w:val="24"/>
        </w:rPr>
        <w:t>800</w:t>
      </w:r>
      <w:r>
        <w:rPr>
          <w:kern w:val="0"/>
          <w:sz w:val="24"/>
        </w:rPr>
        <w:t>成长指数与基金实际持股风格更为匹配，从而能够更好反映本基金的产品定位和投资风格。</w:t>
      </w:r>
    </w:p>
    <w:p w:rsidR="0016189C" w:rsidRDefault="00B34D58">
      <w:pPr>
        <w:spacing w:line="360" w:lineRule="auto"/>
        <w:ind w:firstLineChars="200" w:firstLine="480"/>
        <w:rPr>
          <w:kern w:val="0"/>
          <w:sz w:val="24"/>
        </w:rPr>
      </w:pPr>
      <w:r>
        <w:rPr>
          <w:kern w:val="0"/>
          <w:sz w:val="24"/>
        </w:rPr>
        <w:t>上述调整对本基金投资运作、基金份额持有人利益无实质性不利影响。</w:t>
      </w:r>
    </w:p>
    <w:p w:rsidR="0016189C" w:rsidRDefault="0016189C">
      <w:pPr>
        <w:spacing w:line="360" w:lineRule="auto"/>
        <w:rPr>
          <w:kern w:val="0"/>
          <w:sz w:val="24"/>
          <w:szCs w:val="22"/>
        </w:rPr>
      </w:pPr>
    </w:p>
    <w:p w:rsidR="0016189C" w:rsidRDefault="00B34D58">
      <w:pPr>
        <w:spacing w:line="360" w:lineRule="auto"/>
        <w:ind w:firstLineChars="200" w:firstLine="480"/>
        <w:outlineLvl w:val="1"/>
        <w:rPr>
          <w:b/>
          <w:kern w:val="0"/>
          <w:sz w:val="24"/>
        </w:rPr>
      </w:pPr>
      <w:r>
        <w:rPr>
          <w:kern w:val="0"/>
          <w:sz w:val="24"/>
        </w:rPr>
        <w:t>17</w:t>
      </w:r>
      <w:r>
        <w:rPr>
          <w:kern w:val="0"/>
          <w:sz w:val="24"/>
        </w:rPr>
        <w:t>、易方达双债增强债券型证券投资基金</w:t>
      </w:r>
    </w:p>
    <w:p w:rsidR="0016189C" w:rsidRDefault="00B34D58">
      <w:pPr>
        <w:spacing w:line="360" w:lineRule="auto"/>
        <w:ind w:firstLineChars="200" w:firstLine="480"/>
        <w:rPr>
          <w:kern w:val="0"/>
          <w:sz w:val="24"/>
        </w:rPr>
      </w:pPr>
      <w:r>
        <w:rPr>
          <w:kern w:val="0"/>
          <w:sz w:val="24"/>
        </w:rPr>
        <w:t>（</w:t>
      </w:r>
      <w:r>
        <w:rPr>
          <w:kern w:val="0"/>
          <w:sz w:val="24"/>
        </w:rPr>
        <w:t>1</w:t>
      </w:r>
      <w:r>
        <w:rPr>
          <w:kern w:val="0"/>
          <w:sz w:val="24"/>
        </w:rPr>
        <w:t>）</w:t>
      </w:r>
      <w:r>
        <w:rPr>
          <w:b/>
          <w:kern w:val="0"/>
          <w:sz w:val="24"/>
        </w:rPr>
        <w:t>当前业绩比较基准：</w:t>
      </w:r>
      <w:r>
        <w:rPr>
          <w:rFonts w:hint="eastAsia"/>
          <w:kern w:val="0"/>
          <w:sz w:val="24"/>
        </w:rPr>
        <w:t>中债企业债总全价指数收益率</w:t>
      </w:r>
      <w:r>
        <w:rPr>
          <w:rFonts w:ascii="宋体" w:hAnsi="宋体" w:hint="eastAsia"/>
          <w:szCs w:val="21"/>
        </w:rPr>
        <w:t>×</w:t>
      </w:r>
      <w:r>
        <w:rPr>
          <w:rFonts w:hint="eastAsia"/>
          <w:kern w:val="0"/>
          <w:sz w:val="24"/>
        </w:rPr>
        <w:t>40%+</w:t>
      </w:r>
      <w:r>
        <w:rPr>
          <w:rFonts w:hint="eastAsia"/>
          <w:kern w:val="0"/>
          <w:sz w:val="24"/>
        </w:rPr>
        <w:t>天相可转债指数收益率</w:t>
      </w:r>
      <w:r>
        <w:rPr>
          <w:rFonts w:ascii="宋体" w:hAnsi="宋体" w:hint="eastAsia"/>
          <w:szCs w:val="21"/>
        </w:rPr>
        <w:t>×</w:t>
      </w:r>
      <w:r>
        <w:rPr>
          <w:rFonts w:hint="eastAsia"/>
          <w:kern w:val="0"/>
          <w:sz w:val="24"/>
        </w:rPr>
        <w:t>40%+</w:t>
      </w:r>
      <w:r>
        <w:rPr>
          <w:rFonts w:hint="eastAsia"/>
          <w:kern w:val="0"/>
          <w:sz w:val="24"/>
        </w:rPr>
        <w:t>中债国债总全价指数收益率</w:t>
      </w:r>
      <w:r>
        <w:rPr>
          <w:rFonts w:ascii="宋体" w:hAnsi="宋体" w:hint="eastAsia"/>
          <w:szCs w:val="21"/>
        </w:rPr>
        <w:t>×</w:t>
      </w:r>
      <w:r>
        <w:rPr>
          <w:rFonts w:hint="eastAsia"/>
          <w:kern w:val="0"/>
          <w:sz w:val="24"/>
        </w:rPr>
        <w:t>20%</w:t>
      </w:r>
    </w:p>
    <w:p w:rsidR="0016189C" w:rsidRDefault="00B34D58" w:rsidP="00B34D58">
      <w:pPr>
        <w:spacing w:line="360" w:lineRule="auto"/>
        <w:ind w:firstLineChars="200" w:firstLine="482"/>
        <w:rPr>
          <w:kern w:val="0"/>
          <w:sz w:val="24"/>
        </w:rPr>
      </w:pPr>
      <w:r>
        <w:rPr>
          <w:b/>
          <w:kern w:val="0"/>
          <w:sz w:val="24"/>
        </w:rPr>
        <w:t>调整后新业绩比较基准：</w:t>
      </w:r>
      <w:r>
        <w:rPr>
          <w:kern w:val="0"/>
          <w:sz w:val="24"/>
        </w:rPr>
        <w:t>中债</w:t>
      </w:r>
      <w:r>
        <w:rPr>
          <w:kern w:val="0"/>
          <w:sz w:val="24"/>
        </w:rPr>
        <w:t>-</w:t>
      </w:r>
      <w:r>
        <w:rPr>
          <w:kern w:val="0"/>
          <w:sz w:val="24"/>
        </w:rPr>
        <w:t>新综合全价（总值）指数收益率</w:t>
      </w:r>
      <w:r>
        <w:rPr>
          <w:kern w:val="0"/>
          <w:sz w:val="24"/>
        </w:rPr>
        <w:t>×80%+</w:t>
      </w:r>
      <w:r>
        <w:rPr>
          <w:kern w:val="0"/>
          <w:sz w:val="24"/>
        </w:rPr>
        <w:t>中证可转换债券指数收益率</w:t>
      </w:r>
      <w:r>
        <w:rPr>
          <w:kern w:val="0"/>
          <w:sz w:val="24"/>
        </w:rPr>
        <w:t>×20%</w:t>
      </w:r>
    </w:p>
    <w:p w:rsidR="0016189C" w:rsidRDefault="00B34D58">
      <w:pPr>
        <w:spacing w:line="360" w:lineRule="auto"/>
        <w:ind w:firstLineChars="200" w:firstLine="480"/>
        <w:rPr>
          <w:b/>
          <w:kern w:val="0"/>
          <w:sz w:val="24"/>
        </w:rPr>
      </w:pPr>
      <w:r>
        <w:rPr>
          <w:kern w:val="0"/>
          <w:sz w:val="24"/>
        </w:rPr>
        <w:t>（</w:t>
      </w:r>
      <w:r>
        <w:rPr>
          <w:kern w:val="0"/>
          <w:sz w:val="24"/>
        </w:rPr>
        <w:t>2</w:t>
      </w:r>
      <w:r>
        <w:rPr>
          <w:kern w:val="0"/>
          <w:sz w:val="24"/>
        </w:rPr>
        <w:t>）</w:t>
      </w:r>
      <w:r>
        <w:rPr>
          <w:b/>
          <w:kern w:val="0"/>
          <w:sz w:val="24"/>
        </w:rPr>
        <w:t>新的业绩比较基准选择原因、差异及影响：</w:t>
      </w:r>
    </w:p>
    <w:p w:rsidR="0016189C" w:rsidRDefault="00B34D58">
      <w:pPr>
        <w:spacing w:line="360" w:lineRule="auto"/>
        <w:ind w:firstLineChars="200" w:firstLine="480"/>
        <w:rPr>
          <w:kern w:val="0"/>
          <w:sz w:val="24"/>
          <w:szCs w:val="22"/>
        </w:rPr>
      </w:pPr>
      <w:r>
        <w:rPr>
          <w:kern w:val="0"/>
          <w:sz w:val="24"/>
          <w:szCs w:val="22"/>
        </w:rPr>
        <w:t>此次本基金业绩比较基准调整同时涉及基准指数、基准要素权重调整。</w:t>
      </w:r>
    </w:p>
    <w:p w:rsidR="0016189C" w:rsidRDefault="00B34D58">
      <w:pPr>
        <w:spacing w:line="360" w:lineRule="auto"/>
        <w:ind w:firstLineChars="200" w:firstLine="480"/>
        <w:rPr>
          <w:kern w:val="0"/>
          <w:sz w:val="24"/>
          <w:szCs w:val="22"/>
        </w:rPr>
      </w:pPr>
      <w:r>
        <w:rPr>
          <w:kern w:val="0"/>
          <w:sz w:val="24"/>
          <w:szCs w:val="22"/>
        </w:rPr>
        <w:t>基于本基金的投资目标、投资范围和投资策略，本基金的投资范围包括利率债、信用债、可转债等不同类型的债券品种，通过积极主动的投资管理，力争为投资者提供持续稳定的回报。由于原业绩比较基准中的天相可转债指数已不再对外公开发布数据，不再适合作为本基</w:t>
      </w:r>
      <w:r>
        <w:rPr>
          <w:kern w:val="0"/>
          <w:sz w:val="24"/>
          <w:szCs w:val="22"/>
        </w:rPr>
        <w:t>金的业绩比较基准，本基金对该基准要素进行变更，同时综合考虑基准指数与产品定位、投资范围的匹配度，兼顾考虑基准指数的表征性、认可度等，本基金的可转债部分所对应的基准指数从天相可转债指数调整为中证可转换债券指数，利率债、信用债部分不再分别以单独指数进行表征，统一调整为中债</w:t>
      </w:r>
      <w:r>
        <w:rPr>
          <w:kern w:val="0"/>
          <w:sz w:val="24"/>
          <w:szCs w:val="22"/>
        </w:rPr>
        <w:t>-</w:t>
      </w:r>
      <w:r>
        <w:rPr>
          <w:kern w:val="0"/>
          <w:sz w:val="24"/>
          <w:szCs w:val="22"/>
        </w:rPr>
        <w:t>新综合全价（总值）指数。此外，基于本基金可转债资产的平均仓位，</w:t>
      </w:r>
      <w:r>
        <w:rPr>
          <w:rFonts w:hint="eastAsia"/>
          <w:kern w:val="0"/>
          <w:sz w:val="24"/>
          <w:szCs w:val="22"/>
        </w:rPr>
        <w:t>并结合基金合同约定的投资比例限制和长期产品定位</w:t>
      </w:r>
      <w:r>
        <w:rPr>
          <w:kern w:val="0"/>
          <w:sz w:val="24"/>
          <w:szCs w:val="22"/>
        </w:rPr>
        <w:t>，将业绩比较基准中可转债资产所对应的基准要素权重从</w:t>
      </w:r>
      <w:r>
        <w:rPr>
          <w:kern w:val="0"/>
          <w:sz w:val="24"/>
          <w:szCs w:val="22"/>
        </w:rPr>
        <w:t>40%</w:t>
      </w:r>
      <w:r>
        <w:rPr>
          <w:kern w:val="0"/>
          <w:sz w:val="24"/>
          <w:szCs w:val="22"/>
        </w:rPr>
        <w:t>调整为</w:t>
      </w:r>
      <w:r>
        <w:rPr>
          <w:kern w:val="0"/>
          <w:sz w:val="24"/>
          <w:szCs w:val="22"/>
        </w:rPr>
        <w:t>20%</w:t>
      </w:r>
      <w:r>
        <w:rPr>
          <w:kern w:val="0"/>
          <w:sz w:val="24"/>
          <w:szCs w:val="22"/>
        </w:rPr>
        <w:t>，</w:t>
      </w:r>
      <w:r>
        <w:rPr>
          <w:rFonts w:hint="eastAsia"/>
          <w:kern w:val="0"/>
          <w:sz w:val="24"/>
          <w:szCs w:val="22"/>
        </w:rPr>
        <w:t>将除可转债以外其他债券资产所对应的基准要素权重从合计</w:t>
      </w:r>
      <w:r>
        <w:rPr>
          <w:kern w:val="0"/>
          <w:sz w:val="24"/>
          <w:szCs w:val="22"/>
        </w:rPr>
        <w:t>60%</w:t>
      </w:r>
      <w:r>
        <w:rPr>
          <w:kern w:val="0"/>
          <w:sz w:val="24"/>
          <w:szCs w:val="22"/>
        </w:rPr>
        <w:t>调整至</w:t>
      </w:r>
      <w:r>
        <w:rPr>
          <w:kern w:val="0"/>
          <w:sz w:val="24"/>
          <w:szCs w:val="22"/>
        </w:rPr>
        <w:t>80%</w:t>
      </w:r>
      <w:r>
        <w:rPr>
          <w:rFonts w:hint="eastAsia"/>
          <w:kern w:val="0"/>
          <w:sz w:val="24"/>
          <w:szCs w:val="22"/>
        </w:rPr>
        <w:t>，</w:t>
      </w:r>
      <w:r>
        <w:rPr>
          <w:kern w:val="0"/>
          <w:sz w:val="24"/>
          <w:szCs w:val="22"/>
        </w:rPr>
        <w:t>从而使得新业绩比较基准中各大类资产类别所对应的基准要素权重与基金过往实际投资运作相匹配。</w:t>
      </w:r>
    </w:p>
    <w:p w:rsidR="0016189C" w:rsidRDefault="00B34D58">
      <w:pPr>
        <w:spacing w:line="360" w:lineRule="auto"/>
        <w:ind w:firstLineChars="200" w:firstLine="480"/>
        <w:rPr>
          <w:kern w:val="0"/>
          <w:sz w:val="24"/>
          <w:szCs w:val="22"/>
        </w:rPr>
      </w:pPr>
      <w:r>
        <w:rPr>
          <w:kern w:val="0"/>
          <w:sz w:val="24"/>
          <w:szCs w:val="22"/>
        </w:rPr>
        <w:t>原业绩比较基准中，天相可转债指数（指数代码</w:t>
      </w:r>
      <w:r>
        <w:rPr>
          <w:kern w:val="0"/>
          <w:sz w:val="24"/>
          <w:szCs w:val="22"/>
        </w:rPr>
        <w:t>998021</w:t>
      </w:r>
      <w:r>
        <w:rPr>
          <w:kern w:val="0"/>
          <w:sz w:val="24"/>
          <w:szCs w:val="22"/>
        </w:rPr>
        <w:t>）是由天相投资顾问有限公司编制并发布的反映沪深两市可转债总体走势的指数，目前已无法在其官网等公开渠道查询到指数的最新数据；中债企业债总全价指数（指数代码</w:t>
      </w:r>
      <w:r>
        <w:rPr>
          <w:kern w:val="0"/>
          <w:sz w:val="24"/>
          <w:szCs w:val="22"/>
        </w:rPr>
        <w:t>CBA02003</w:t>
      </w:r>
      <w:r>
        <w:rPr>
          <w:kern w:val="0"/>
          <w:sz w:val="24"/>
          <w:szCs w:val="22"/>
        </w:rPr>
        <w:t>）</w:t>
      </w:r>
      <w:r>
        <w:rPr>
          <w:rFonts w:hint="eastAsia"/>
          <w:kern w:val="0"/>
          <w:sz w:val="24"/>
          <w:szCs w:val="22"/>
        </w:rPr>
        <w:t>成份券包含境内公开发行且上市流通的中央企业债和地方企业债，反映境内企业债整体价格走势情况</w:t>
      </w:r>
      <w:r w:rsidR="008E7B4D">
        <w:rPr>
          <w:rFonts w:hint="eastAsia"/>
          <w:kern w:val="0"/>
          <w:sz w:val="24"/>
          <w:szCs w:val="22"/>
        </w:rPr>
        <w:t>；</w:t>
      </w:r>
      <w:r>
        <w:rPr>
          <w:kern w:val="0"/>
          <w:sz w:val="24"/>
          <w:szCs w:val="22"/>
        </w:rPr>
        <w:t>中债国债总全价指数（指数代码</w:t>
      </w:r>
      <w:r>
        <w:rPr>
          <w:kern w:val="0"/>
          <w:sz w:val="24"/>
          <w:szCs w:val="22"/>
        </w:rPr>
        <w:t>CBA00603</w:t>
      </w:r>
      <w:r>
        <w:rPr>
          <w:kern w:val="0"/>
          <w:sz w:val="24"/>
          <w:szCs w:val="22"/>
        </w:rPr>
        <w:t>）</w:t>
      </w:r>
      <w:r>
        <w:rPr>
          <w:rFonts w:hint="eastAsia"/>
          <w:kern w:val="0"/>
          <w:sz w:val="24"/>
          <w:szCs w:val="22"/>
        </w:rPr>
        <w:t>成份券由在境内公开发行且上市流通的记账式国债组成，反映境内记账式国债整体价格走势情况</w:t>
      </w:r>
      <w:r>
        <w:rPr>
          <w:kern w:val="0"/>
          <w:sz w:val="24"/>
          <w:szCs w:val="22"/>
        </w:rPr>
        <w:t>。调整后的新业绩比较基准中，中证可转换债券指数（指数代码</w:t>
      </w:r>
      <w:r>
        <w:rPr>
          <w:kern w:val="0"/>
          <w:sz w:val="24"/>
          <w:szCs w:val="22"/>
        </w:rPr>
        <w:t>000832</w:t>
      </w:r>
      <w:r>
        <w:rPr>
          <w:kern w:val="0"/>
          <w:sz w:val="24"/>
          <w:szCs w:val="22"/>
        </w:rPr>
        <w:t>）的样本由在沪深证券交易所上市的可转换债券组成，以反映国内市场可转换债券的总体表现，适合作为本基金可转债部分的业绩比较基准要素；中债</w:t>
      </w:r>
      <w:r>
        <w:rPr>
          <w:kern w:val="0"/>
          <w:sz w:val="24"/>
          <w:szCs w:val="22"/>
        </w:rPr>
        <w:t>-</w:t>
      </w:r>
      <w:r>
        <w:rPr>
          <w:kern w:val="0"/>
          <w:sz w:val="24"/>
          <w:szCs w:val="22"/>
        </w:rPr>
        <w:t>新综合全价（总值）指数（指数代码</w:t>
      </w:r>
      <w:r>
        <w:rPr>
          <w:kern w:val="0"/>
          <w:sz w:val="24"/>
          <w:szCs w:val="22"/>
        </w:rPr>
        <w:t>CBA00103</w:t>
      </w:r>
      <w:r>
        <w:rPr>
          <w:kern w:val="0"/>
          <w:sz w:val="24"/>
          <w:szCs w:val="22"/>
        </w:rPr>
        <w:t>）成份券包含除资产支持证券、美元债券、可转债以外的在境内公开发行且上市流通的债券，反映境内人民币债券市场</w:t>
      </w:r>
      <w:r>
        <w:rPr>
          <w:rFonts w:hint="eastAsia"/>
          <w:kern w:val="0"/>
          <w:sz w:val="24"/>
          <w:szCs w:val="22"/>
        </w:rPr>
        <w:t>价格走势情况</w:t>
      </w:r>
      <w:r>
        <w:rPr>
          <w:kern w:val="0"/>
          <w:sz w:val="24"/>
          <w:szCs w:val="22"/>
        </w:rPr>
        <w:t>，与基金实际投资范围中除可转债外的其他债券资产更为匹配，能够更</w:t>
      </w:r>
      <w:r>
        <w:rPr>
          <w:kern w:val="0"/>
          <w:sz w:val="24"/>
          <w:szCs w:val="22"/>
        </w:rPr>
        <w:t>好地反映本基金的产品定位。</w:t>
      </w:r>
    </w:p>
    <w:p w:rsidR="0016189C" w:rsidRDefault="00B34D58">
      <w:pPr>
        <w:spacing w:line="360" w:lineRule="auto"/>
        <w:ind w:firstLineChars="200" w:firstLine="480"/>
        <w:rPr>
          <w:kern w:val="0"/>
          <w:sz w:val="24"/>
        </w:rPr>
      </w:pPr>
      <w:r>
        <w:rPr>
          <w:kern w:val="0"/>
          <w:sz w:val="24"/>
        </w:rPr>
        <w:t>上述调整对本基金投资运作、基金份额持有人利益无实质性不利影响。</w:t>
      </w:r>
    </w:p>
    <w:p w:rsidR="0016189C" w:rsidRDefault="0016189C">
      <w:pPr>
        <w:spacing w:line="360" w:lineRule="auto"/>
        <w:ind w:firstLineChars="200" w:firstLine="480"/>
        <w:rPr>
          <w:kern w:val="0"/>
          <w:sz w:val="24"/>
          <w:szCs w:val="22"/>
        </w:rPr>
      </w:pPr>
    </w:p>
    <w:p w:rsidR="0016189C" w:rsidRDefault="00B34D58">
      <w:pPr>
        <w:spacing w:line="360" w:lineRule="auto"/>
        <w:ind w:firstLineChars="200" w:firstLine="480"/>
        <w:outlineLvl w:val="1"/>
        <w:rPr>
          <w:kern w:val="0"/>
          <w:sz w:val="24"/>
        </w:rPr>
      </w:pPr>
      <w:r>
        <w:rPr>
          <w:kern w:val="0"/>
          <w:sz w:val="24"/>
        </w:rPr>
        <w:t>18</w:t>
      </w:r>
      <w:r>
        <w:rPr>
          <w:kern w:val="0"/>
          <w:sz w:val="24"/>
        </w:rPr>
        <w:t>、易方达裕景添利</w:t>
      </w:r>
      <w:r>
        <w:rPr>
          <w:kern w:val="0"/>
          <w:sz w:val="24"/>
        </w:rPr>
        <w:t>6</w:t>
      </w:r>
      <w:r>
        <w:rPr>
          <w:kern w:val="0"/>
          <w:sz w:val="24"/>
        </w:rPr>
        <w:t>个月定期开放债券型证券投资基金</w:t>
      </w:r>
    </w:p>
    <w:p w:rsidR="0016189C" w:rsidRDefault="00B34D58">
      <w:pPr>
        <w:spacing w:line="360" w:lineRule="auto"/>
        <w:ind w:firstLineChars="200" w:firstLine="480"/>
        <w:rPr>
          <w:kern w:val="0"/>
          <w:sz w:val="24"/>
        </w:rPr>
      </w:pPr>
      <w:r>
        <w:rPr>
          <w:kern w:val="0"/>
          <w:sz w:val="24"/>
        </w:rPr>
        <w:t>（</w:t>
      </w:r>
      <w:r>
        <w:rPr>
          <w:kern w:val="0"/>
          <w:sz w:val="24"/>
        </w:rPr>
        <w:t>1</w:t>
      </w:r>
      <w:r>
        <w:rPr>
          <w:kern w:val="0"/>
          <w:sz w:val="24"/>
        </w:rPr>
        <w:t>）</w:t>
      </w:r>
      <w:r>
        <w:rPr>
          <w:b/>
          <w:kern w:val="0"/>
          <w:sz w:val="24"/>
        </w:rPr>
        <w:t>当前业绩比较基准：</w:t>
      </w:r>
      <w:r>
        <w:rPr>
          <w:kern w:val="0"/>
          <w:sz w:val="24"/>
        </w:rPr>
        <w:t>中国人民银行公布的六个月银行定期整存整取存款利率（税后）</w:t>
      </w:r>
      <w:r>
        <w:rPr>
          <w:kern w:val="0"/>
          <w:sz w:val="24"/>
        </w:rPr>
        <w:t>×1.1</w:t>
      </w:r>
    </w:p>
    <w:p w:rsidR="0016189C" w:rsidRDefault="00B34D58" w:rsidP="00B34D58">
      <w:pPr>
        <w:spacing w:line="360" w:lineRule="auto"/>
        <w:ind w:firstLineChars="200" w:firstLine="482"/>
        <w:rPr>
          <w:kern w:val="0"/>
          <w:sz w:val="24"/>
        </w:rPr>
      </w:pPr>
      <w:r>
        <w:rPr>
          <w:b/>
          <w:kern w:val="0"/>
          <w:sz w:val="24"/>
        </w:rPr>
        <w:t>调整后新业绩比较基准：</w:t>
      </w:r>
      <w:r>
        <w:rPr>
          <w:kern w:val="0"/>
          <w:sz w:val="24"/>
        </w:rPr>
        <w:t>中债</w:t>
      </w:r>
      <w:r>
        <w:rPr>
          <w:kern w:val="0"/>
          <w:sz w:val="24"/>
        </w:rPr>
        <w:t>-</w:t>
      </w:r>
      <w:r>
        <w:rPr>
          <w:kern w:val="0"/>
          <w:sz w:val="24"/>
        </w:rPr>
        <w:t>新综合全价（</w:t>
      </w:r>
      <w:r>
        <w:rPr>
          <w:kern w:val="0"/>
          <w:sz w:val="24"/>
        </w:rPr>
        <w:t>1-3</w:t>
      </w:r>
      <w:r>
        <w:rPr>
          <w:kern w:val="0"/>
          <w:sz w:val="24"/>
        </w:rPr>
        <w:t>年）指数收益率</w:t>
      </w:r>
    </w:p>
    <w:p w:rsidR="0016189C" w:rsidRDefault="00B34D58">
      <w:pPr>
        <w:spacing w:line="360" w:lineRule="auto"/>
        <w:ind w:firstLineChars="200" w:firstLine="480"/>
        <w:rPr>
          <w:b/>
          <w:kern w:val="0"/>
          <w:sz w:val="24"/>
        </w:rPr>
      </w:pPr>
      <w:r>
        <w:rPr>
          <w:kern w:val="0"/>
          <w:sz w:val="24"/>
        </w:rPr>
        <w:t>（</w:t>
      </w:r>
      <w:r>
        <w:rPr>
          <w:kern w:val="0"/>
          <w:sz w:val="24"/>
        </w:rPr>
        <w:t>2</w:t>
      </w:r>
      <w:r>
        <w:rPr>
          <w:kern w:val="0"/>
          <w:sz w:val="24"/>
        </w:rPr>
        <w:t>）</w:t>
      </w:r>
      <w:r>
        <w:rPr>
          <w:b/>
          <w:kern w:val="0"/>
          <w:sz w:val="24"/>
        </w:rPr>
        <w:t>新的业绩比较基准选择原因、差异及影响：</w:t>
      </w:r>
    </w:p>
    <w:p w:rsidR="0016189C" w:rsidRDefault="00B34D58">
      <w:pPr>
        <w:spacing w:line="360" w:lineRule="auto"/>
        <w:ind w:firstLineChars="200" w:firstLine="480"/>
        <w:rPr>
          <w:kern w:val="0"/>
          <w:sz w:val="24"/>
          <w:szCs w:val="22"/>
        </w:rPr>
      </w:pPr>
      <w:r>
        <w:rPr>
          <w:kern w:val="0"/>
          <w:sz w:val="24"/>
          <w:szCs w:val="22"/>
        </w:rPr>
        <w:t>此次本基金业绩比较基准调整涉及基准指数调整，不涉及基准要素权重调整。</w:t>
      </w:r>
    </w:p>
    <w:p w:rsidR="0016189C" w:rsidRDefault="00B34D58">
      <w:pPr>
        <w:spacing w:line="360" w:lineRule="auto"/>
        <w:ind w:firstLineChars="200" w:firstLine="480"/>
        <w:rPr>
          <w:kern w:val="0"/>
          <w:sz w:val="24"/>
          <w:szCs w:val="22"/>
        </w:rPr>
      </w:pPr>
      <w:r>
        <w:rPr>
          <w:kern w:val="0"/>
          <w:sz w:val="24"/>
          <w:szCs w:val="22"/>
        </w:rPr>
        <w:t>由于原业绩比较基准为利率基准，</w:t>
      </w:r>
      <w:r>
        <w:rPr>
          <w:rFonts w:hint="eastAsia"/>
          <w:kern w:val="0"/>
          <w:sz w:val="24"/>
          <w:szCs w:val="22"/>
        </w:rPr>
        <w:t>综合考虑基准要素与本基金的产品定位的匹配性，</w:t>
      </w:r>
      <w:r>
        <w:rPr>
          <w:kern w:val="0"/>
          <w:sz w:val="24"/>
          <w:szCs w:val="22"/>
        </w:rPr>
        <w:t>本基金对该基准进行变更</w:t>
      </w:r>
      <w:r>
        <w:rPr>
          <w:kern w:val="0"/>
          <w:sz w:val="24"/>
          <w:szCs w:val="22"/>
        </w:rPr>
        <w:t>。基于本基金的投资目标、投资范围和投资策略，本基金主要投资于债券，在封闭运作期将主要通过久期配置、类属配置、期限结构配置和个券选择四个层次进行债券投资管理，在开放运作期</w:t>
      </w:r>
      <w:r>
        <w:rPr>
          <w:rFonts w:hint="eastAsia"/>
          <w:kern w:val="0"/>
          <w:sz w:val="24"/>
          <w:szCs w:val="22"/>
        </w:rPr>
        <w:t>将主要投资于高流动性的投资品种</w:t>
      </w:r>
      <w:r>
        <w:rPr>
          <w:kern w:val="0"/>
          <w:sz w:val="24"/>
          <w:szCs w:val="22"/>
        </w:rPr>
        <w:t>。综合考虑基准指数与产品定位、组合久期的匹配度，同时兼顾考虑基准指数的表征性、认可度等，本基金将基准要素调整为中债</w:t>
      </w:r>
      <w:r>
        <w:rPr>
          <w:kern w:val="0"/>
          <w:sz w:val="24"/>
          <w:szCs w:val="22"/>
        </w:rPr>
        <w:t>-</w:t>
      </w:r>
      <w:r>
        <w:rPr>
          <w:kern w:val="0"/>
          <w:sz w:val="24"/>
          <w:szCs w:val="22"/>
        </w:rPr>
        <w:t>新综合全价（</w:t>
      </w:r>
      <w:r>
        <w:rPr>
          <w:kern w:val="0"/>
          <w:sz w:val="24"/>
          <w:szCs w:val="22"/>
        </w:rPr>
        <w:t>1-3</w:t>
      </w:r>
      <w:r>
        <w:rPr>
          <w:kern w:val="0"/>
          <w:sz w:val="24"/>
          <w:szCs w:val="22"/>
        </w:rPr>
        <w:t>年）指数（指数代码</w:t>
      </w:r>
      <w:r>
        <w:rPr>
          <w:kern w:val="0"/>
          <w:sz w:val="24"/>
          <w:szCs w:val="22"/>
        </w:rPr>
        <w:t>CBA00123</w:t>
      </w:r>
      <w:r>
        <w:rPr>
          <w:kern w:val="0"/>
          <w:sz w:val="24"/>
          <w:szCs w:val="22"/>
        </w:rPr>
        <w:t>）。中债</w:t>
      </w:r>
      <w:r>
        <w:rPr>
          <w:kern w:val="0"/>
          <w:sz w:val="24"/>
          <w:szCs w:val="22"/>
        </w:rPr>
        <w:t>-</w:t>
      </w:r>
      <w:r>
        <w:rPr>
          <w:kern w:val="0"/>
          <w:sz w:val="24"/>
          <w:szCs w:val="22"/>
        </w:rPr>
        <w:t>新综合全价（</w:t>
      </w:r>
      <w:r>
        <w:rPr>
          <w:kern w:val="0"/>
          <w:sz w:val="24"/>
          <w:szCs w:val="22"/>
        </w:rPr>
        <w:t>1-3</w:t>
      </w:r>
      <w:r>
        <w:rPr>
          <w:kern w:val="0"/>
          <w:sz w:val="24"/>
          <w:szCs w:val="22"/>
        </w:rPr>
        <w:t>年）指数成份券包含除资产支持证券、美元债券、可转债以外的在境内公开发行且上市流通的债券，成份券待偿期在</w:t>
      </w:r>
      <w:r>
        <w:rPr>
          <w:kern w:val="0"/>
          <w:sz w:val="24"/>
          <w:szCs w:val="22"/>
        </w:rPr>
        <w:t>1-3</w:t>
      </w:r>
      <w:r>
        <w:rPr>
          <w:kern w:val="0"/>
          <w:sz w:val="24"/>
          <w:szCs w:val="22"/>
        </w:rPr>
        <w:t>年（含</w:t>
      </w:r>
      <w:r>
        <w:rPr>
          <w:kern w:val="0"/>
          <w:sz w:val="24"/>
          <w:szCs w:val="22"/>
        </w:rPr>
        <w:t>1</w:t>
      </w:r>
      <w:r>
        <w:rPr>
          <w:kern w:val="0"/>
          <w:sz w:val="24"/>
          <w:szCs w:val="22"/>
        </w:rPr>
        <w:t>年</w:t>
      </w:r>
      <w:r>
        <w:rPr>
          <w:kern w:val="0"/>
          <w:sz w:val="24"/>
          <w:szCs w:val="22"/>
        </w:rPr>
        <w:t>），反映境内人民币中短久期债券市场</w:t>
      </w:r>
      <w:r>
        <w:rPr>
          <w:rFonts w:hint="eastAsia"/>
          <w:kern w:val="0"/>
          <w:sz w:val="24"/>
          <w:szCs w:val="22"/>
        </w:rPr>
        <w:t>价格走势情况</w:t>
      </w:r>
      <w:r>
        <w:rPr>
          <w:kern w:val="0"/>
          <w:sz w:val="24"/>
          <w:szCs w:val="22"/>
        </w:rPr>
        <w:t>。调整后的业绩比较基准与基金在实际投资运作方面更为匹配，能够更好地反映本基金的产品定位。</w:t>
      </w:r>
    </w:p>
    <w:p w:rsidR="0016189C" w:rsidRDefault="00B34D58">
      <w:pPr>
        <w:spacing w:line="360" w:lineRule="auto"/>
        <w:ind w:firstLineChars="200" w:firstLine="480"/>
        <w:rPr>
          <w:kern w:val="0"/>
          <w:sz w:val="24"/>
          <w:szCs w:val="22"/>
        </w:rPr>
      </w:pPr>
      <w:r>
        <w:rPr>
          <w:kern w:val="0"/>
          <w:sz w:val="24"/>
          <w:szCs w:val="22"/>
        </w:rPr>
        <w:t>上述调整对本基金投资运作、基金份额持有人利益无实质性不利影响。</w:t>
      </w:r>
    </w:p>
    <w:p w:rsidR="0016189C" w:rsidRDefault="0016189C">
      <w:pPr>
        <w:spacing w:line="360" w:lineRule="auto"/>
        <w:ind w:firstLineChars="200" w:firstLine="480"/>
        <w:rPr>
          <w:kern w:val="0"/>
          <w:sz w:val="24"/>
          <w:szCs w:val="22"/>
        </w:rPr>
      </w:pPr>
    </w:p>
    <w:p w:rsidR="0016189C" w:rsidRDefault="00B34D58">
      <w:pPr>
        <w:spacing w:line="360" w:lineRule="auto"/>
        <w:ind w:firstLineChars="200" w:firstLine="480"/>
        <w:outlineLvl w:val="1"/>
        <w:rPr>
          <w:kern w:val="0"/>
          <w:sz w:val="24"/>
        </w:rPr>
      </w:pPr>
      <w:r>
        <w:rPr>
          <w:kern w:val="0"/>
          <w:sz w:val="24"/>
        </w:rPr>
        <w:t>19</w:t>
      </w:r>
      <w:r>
        <w:rPr>
          <w:kern w:val="0"/>
          <w:sz w:val="24"/>
        </w:rPr>
        <w:t>、易方达恒久添利</w:t>
      </w:r>
      <w:r>
        <w:rPr>
          <w:kern w:val="0"/>
          <w:sz w:val="24"/>
        </w:rPr>
        <w:t>1</w:t>
      </w:r>
      <w:r>
        <w:rPr>
          <w:kern w:val="0"/>
          <w:sz w:val="24"/>
        </w:rPr>
        <w:t>年定期开放债券型证券投资基金</w:t>
      </w:r>
    </w:p>
    <w:p w:rsidR="0016189C" w:rsidRDefault="00B34D58">
      <w:pPr>
        <w:spacing w:line="360" w:lineRule="auto"/>
        <w:ind w:firstLineChars="200" w:firstLine="480"/>
        <w:rPr>
          <w:kern w:val="0"/>
          <w:sz w:val="24"/>
        </w:rPr>
      </w:pPr>
      <w:r>
        <w:rPr>
          <w:kern w:val="0"/>
          <w:sz w:val="24"/>
        </w:rPr>
        <w:t>（</w:t>
      </w:r>
      <w:r>
        <w:rPr>
          <w:kern w:val="0"/>
          <w:sz w:val="24"/>
        </w:rPr>
        <w:t>1</w:t>
      </w:r>
      <w:r>
        <w:rPr>
          <w:kern w:val="0"/>
          <w:sz w:val="24"/>
        </w:rPr>
        <w:t>）</w:t>
      </w:r>
      <w:r>
        <w:rPr>
          <w:b/>
          <w:kern w:val="0"/>
          <w:sz w:val="24"/>
        </w:rPr>
        <w:t>当前业绩比较基准：</w:t>
      </w:r>
      <w:r>
        <w:rPr>
          <w:kern w:val="0"/>
          <w:sz w:val="24"/>
        </w:rPr>
        <w:t>中国人民银行公布的一年期银行定期整存整取存款利率（税后）</w:t>
      </w:r>
      <w:r>
        <w:rPr>
          <w:kern w:val="0"/>
          <w:sz w:val="24"/>
        </w:rPr>
        <w:t>+1.2%</w:t>
      </w:r>
    </w:p>
    <w:p w:rsidR="0016189C" w:rsidRDefault="00B34D58" w:rsidP="00B34D58">
      <w:pPr>
        <w:spacing w:line="360" w:lineRule="auto"/>
        <w:ind w:firstLineChars="200" w:firstLine="482"/>
        <w:rPr>
          <w:kern w:val="0"/>
          <w:sz w:val="24"/>
        </w:rPr>
      </w:pPr>
      <w:r>
        <w:rPr>
          <w:b/>
          <w:kern w:val="0"/>
          <w:sz w:val="24"/>
        </w:rPr>
        <w:t>调整后新业绩比较基准：</w:t>
      </w:r>
      <w:r>
        <w:rPr>
          <w:kern w:val="0"/>
          <w:sz w:val="24"/>
        </w:rPr>
        <w:t>中债</w:t>
      </w:r>
      <w:r>
        <w:rPr>
          <w:kern w:val="0"/>
          <w:sz w:val="24"/>
        </w:rPr>
        <w:t>-</w:t>
      </w:r>
      <w:r>
        <w:rPr>
          <w:kern w:val="0"/>
          <w:sz w:val="24"/>
        </w:rPr>
        <w:t>新综合全价（</w:t>
      </w:r>
      <w:r>
        <w:rPr>
          <w:kern w:val="0"/>
          <w:sz w:val="24"/>
        </w:rPr>
        <w:t>1-3</w:t>
      </w:r>
      <w:r>
        <w:rPr>
          <w:kern w:val="0"/>
          <w:sz w:val="24"/>
        </w:rPr>
        <w:t>年）指数收益率</w:t>
      </w:r>
    </w:p>
    <w:p w:rsidR="0016189C" w:rsidRDefault="00B34D58">
      <w:pPr>
        <w:spacing w:line="360" w:lineRule="auto"/>
        <w:ind w:firstLineChars="200" w:firstLine="480"/>
        <w:rPr>
          <w:b/>
          <w:kern w:val="0"/>
          <w:sz w:val="24"/>
        </w:rPr>
      </w:pPr>
      <w:r>
        <w:rPr>
          <w:kern w:val="0"/>
          <w:sz w:val="24"/>
        </w:rPr>
        <w:t>（</w:t>
      </w:r>
      <w:r>
        <w:rPr>
          <w:kern w:val="0"/>
          <w:sz w:val="24"/>
        </w:rPr>
        <w:t>2</w:t>
      </w:r>
      <w:r>
        <w:rPr>
          <w:kern w:val="0"/>
          <w:sz w:val="24"/>
        </w:rPr>
        <w:t>）</w:t>
      </w:r>
      <w:r>
        <w:rPr>
          <w:b/>
          <w:kern w:val="0"/>
          <w:sz w:val="24"/>
        </w:rPr>
        <w:t>新的业绩比较基准选择原因、差异及影响：</w:t>
      </w:r>
    </w:p>
    <w:p w:rsidR="0016189C" w:rsidRDefault="00B34D58">
      <w:pPr>
        <w:spacing w:line="360" w:lineRule="auto"/>
        <w:ind w:firstLineChars="200" w:firstLine="480"/>
        <w:rPr>
          <w:kern w:val="0"/>
          <w:sz w:val="24"/>
          <w:szCs w:val="22"/>
        </w:rPr>
      </w:pPr>
      <w:r>
        <w:rPr>
          <w:kern w:val="0"/>
          <w:sz w:val="24"/>
          <w:szCs w:val="22"/>
        </w:rPr>
        <w:t>此次本基金业绩比较基准调整涉及基准指数调整，不涉及基准要素</w:t>
      </w:r>
      <w:r>
        <w:rPr>
          <w:kern w:val="0"/>
          <w:sz w:val="24"/>
          <w:szCs w:val="22"/>
        </w:rPr>
        <w:t>权重调整。</w:t>
      </w:r>
    </w:p>
    <w:p w:rsidR="0016189C" w:rsidRDefault="00B34D58">
      <w:pPr>
        <w:spacing w:line="360" w:lineRule="auto"/>
        <w:ind w:firstLineChars="200" w:firstLine="480"/>
        <w:rPr>
          <w:kern w:val="0"/>
          <w:sz w:val="24"/>
          <w:szCs w:val="22"/>
        </w:rPr>
      </w:pPr>
      <w:r>
        <w:rPr>
          <w:kern w:val="0"/>
          <w:sz w:val="24"/>
          <w:szCs w:val="22"/>
        </w:rPr>
        <w:t>由于原业绩比较基准为利率基准，</w:t>
      </w:r>
      <w:r>
        <w:rPr>
          <w:rFonts w:hint="eastAsia"/>
          <w:kern w:val="0"/>
          <w:sz w:val="24"/>
          <w:szCs w:val="22"/>
        </w:rPr>
        <w:t>综合考虑基准要素与本基金的产品定位的匹配性，</w:t>
      </w:r>
      <w:r>
        <w:rPr>
          <w:kern w:val="0"/>
          <w:sz w:val="24"/>
          <w:szCs w:val="22"/>
        </w:rPr>
        <w:t>本基金对该基准进行变更。基于本基金的投资目标、投资范围和投资策略，本基金主要投资于债券，在封闭运作期将</w:t>
      </w:r>
      <w:r>
        <w:rPr>
          <w:rFonts w:hint="eastAsia"/>
          <w:kern w:val="0"/>
          <w:sz w:val="24"/>
          <w:szCs w:val="22"/>
        </w:rPr>
        <w:t>首先确定各类资产的最优配置比例，在此基础上综合久期配置、杠杆操作、</w:t>
      </w:r>
      <w:r>
        <w:rPr>
          <w:kern w:val="0"/>
          <w:sz w:val="24"/>
          <w:szCs w:val="22"/>
        </w:rPr>
        <w:t>个券选择</w:t>
      </w:r>
      <w:r>
        <w:rPr>
          <w:rFonts w:hint="eastAsia"/>
          <w:kern w:val="0"/>
          <w:sz w:val="24"/>
          <w:szCs w:val="22"/>
        </w:rPr>
        <w:t>等策略进行债券投资管理；</w:t>
      </w:r>
      <w:r>
        <w:rPr>
          <w:kern w:val="0"/>
          <w:sz w:val="24"/>
          <w:szCs w:val="22"/>
        </w:rPr>
        <w:t>在开放运作期</w:t>
      </w:r>
      <w:r>
        <w:rPr>
          <w:rFonts w:hint="eastAsia"/>
          <w:kern w:val="0"/>
          <w:sz w:val="24"/>
          <w:szCs w:val="22"/>
        </w:rPr>
        <w:t>将主要投资于高流动性的投资品种</w:t>
      </w:r>
      <w:r>
        <w:rPr>
          <w:kern w:val="0"/>
          <w:sz w:val="24"/>
          <w:szCs w:val="22"/>
        </w:rPr>
        <w:t>。综合考虑基准指数与产品定位、组合久期的匹配度，同时兼顾考虑基准指数的表征性、认可度等，本基金将基准要素调整为中债</w:t>
      </w:r>
      <w:r>
        <w:rPr>
          <w:kern w:val="0"/>
          <w:sz w:val="24"/>
          <w:szCs w:val="22"/>
        </w:rPr>
        <w:t>-</w:t>
      </w:r>
      <w:r>
        <w:rPr>
          <w:kern w:val="0"/>
          <w:sz w:val="24"/>
          <w:szCs w:val="22"/>
        </w:rPr>
        <w:t>新综合全价（</w:t>
      </w:r>
      <w:r>
        <w:rPr>
          <w:kern w:val="0"/>
          <w:sz w:val="24"/>
          <w:szCs w:val="22"/>
        </w:rPr>
        <w:t>1-3</w:t>
      </w:r>
      <w:r>
        <w:rPr>
          <w:kern w:val="0"/>
          <w:sz w:val="24"/>
          <w:szCs w:val="22"/>
        </w:rPr>
        <w:t>年）指数（指数代码</w:t>
      </w:r>
      <w:r>
        <w:rPr>
          <w:kern w:val="0"/>
          <w:sz w:val="24"/>
          <w:szCs w:val="22"/>
        </w:rPr>
        <w:t>CBA00123</w:t>
      </w:r>
      <w:r>
        <w:rPr>
          <w:kern w:val="0"/>
          <w:sz w:val="24"/>
          <w:szCs w:val="22"/>
        </w:rPr>
        <w:t>）。中债</w:t>
      </w:r>
      <w:r>
        <w:rPr>
          <w:kern w:val="0"/>
          <w:sz w:val="24"/>
          <w:szCs w:val="22"/>
        </w:rPr>
        <w:t>-</w:t>
      </w:r>
      <w:r>
        <w:rPr>
          <w:kern w:val="0"/>
          <w:sz w:val="24"/>
          <w:szCs w:val="22"/>
        </w:rPr>
        <w:t>新综合</w:t>
      </w:r>
      <w:r>
        <w:rPr>
          <w:kern w:val="0"/>
          <w:sz w:val="24"/>
          <w:szCs w:val="22"/>
        </w:rPr>
        <w:t>全价（</w:t>
      </w:r>
      <w:r>
        <w:rPr>
          <w:kern w:val="0"/>
          <w:sz w:val="24"/>
          <w:szCs w:val="22"/>
        </w:rPr>
        <w:t>1-3</w:t>
      </w:r>
      <w:r>
        <w:rPr>
          <w:kern w:val="0"/>
          <w:sz w:val="24"/>
          <w:szCs w:val="22"/>
        </w:rPr>
        <w:t>年）指数成份券包含除资产支持证券、美元债券、可转债以外的在境内公开发行且上市流通的债券，成份券待偿期在</w:t>
      </w:r>
      <w:r>
        <w:rPr>
          <w:kern w:val="0"/>
          <w:sz w:val="24"/>
          <w:szCs w:val="22"/>
        </w:rPr>
        <w:t>1-3</w:t>
      </w:r>
      <w:r>
        <w:rPr>
          <w:kern w:val="0"/>
          <w:sz w:val="24"/>
          <w:szCs w:val="22"/>
        </w:rPr>
        <w:t>年（含</w:t>
      </w:r>
      <w:r>
        <w:rPr>
          <w:kern w:val="0"/>
          <w:sz w:val="24"/>
          <w:szCs w:val="22"/>
        </w:rPr>
        <w:t>1</w:t>
      </w:r>
      <w:r>
        <w:rPr>
          <w:kern w:val="0"/>
          <w:sz w:val="24"/>
          <w:szCs w:val="22"/>
        </w:rPr>
        <w:t>年），反映境内人民币中短久期债券市场</w:t>
      </w:r>
      <w:r>
        <w:rPr>
          <w:rFonts w:hint="eastAsia"/>
          <w:kern w:val="0"/>
          <w:sz w:val="24"/>
          <w:szCs w:val="22"/>
        </w:rPr>
        <w:t>价格走势情况</w:t>
      </w:r>
      <w:r>
        <w:rPr>
          <w:kern w:val="0"/>
          <w:sz w:val="24"/>
          <w:szCs w:val="22"/>
        </w:rPr>
        <w:t>。调整后的业绩比较基准与基金在实际投资运作方面更为匹配，能够更好地反映本基金的产品定位。</w:t>
      </w:r>
    </w:p>
    <w:p w:rsidR="0016189C" w:rsidRDefault="00B34D58">
      <w:pPr>
        <w:spacing w:line="360" w:lineRule="auto"/>
        <w:ind w:firstLineChars="200" w:firstLine="480"/>
        <w:rPr>
          <w:kern w:val="0"/>
          <w:sz w:val="24"/>
          <w:szCs w:val="22"/>
        </w:rPr>
      </w:pPr>
      <w:r>
        <w:rPr>
          <w:kern w:val="0"/>
          <w:sz w:val="24"/>
          <w:szCs w:val="22"/>
        </w:rPr>
        <w:t>上述调整对本基金投资运作、基金份额持有人利益无实质性不利影响。</w:t>
      </w:r>
    </w:p>
    <w:p w:rsidR="0016189C" w:rsidRDefault="0016189C">
      <w:pPr>
        <w:spacing w:line="360" w:lineRule="auto"/>
        <w:ind w:firstLineChars="200" w:firstLine="480"/>
        <w:rPr>
          <w:kern w:val="0"/>
          <w:sz w:val="24"/>
        </w:rPr>
      </w:pPr>
    </w:p>
    <w:p w:rsidR="0016189C" w:rsidRDefault="00B34D58">
      <w:pPr>
        <w:spacing w:line="360" w:lineRule="auto"/>
        <w:ind w:firstLineChars="200" w:firstLine="480"/>
        <w:outlineLvl w:val="1"/>
        <w:rPr>
          <w:b/>
          <w:kern w:val="0"/>
          <w:sz w:val="24"/>
        </w:rPr>
      </w:pPr>
      <w:r>
        <w:rPr>
          <w:kern w:val="0"/>
          <w:sz w:val="24"/>
        </w:rPr>
        <w:t>20</w:t>
      </w:r>
      <w:r>
        <w:rPr>
          <w:kern w:val="0"/>
          <w:sz w:val="24"/>
        </w:rPr>
        <w:t>、易方达优势领航六个月持有期混合型基金中基金（</w:t>
      </w:r>
      <w:r>
        <w:rPr>
          <w:kern w:val="0"/>
          <w:sz w:val="24"/>
        </w:rPr>
        <w:t>FOF</w:t>
      </w:r>
      <w:r>
        <w:rPr>
          <w:kern w:val="0"/>
          <w:sz w:val="24"/>
        </w:rPr>
        <w:t>）</w:t>
      </w:r>
    </w:p>
    <w:p w:rsidR="0016189C" w:rsidRDefault="00B34D58">
      <w:pPr>
        <w:spacing w:line="360" w:lineRule="auto"/>
        <w:ind w:firstLineChars="200" w:firstLine="480"/>
        <w:rPr>
          <w:kern w:val="0"/>
          <w:sz w:val="24"/>
        </w:rPr>
      </w:pPr>
      <w:r>
        <w:rPr>
          <w:kern w:val="0"/>
          <w:sz w:val="24"/>
        </w:rPr>
        <w:t>（</w:t>
      </w:r>
      <w:r>
        <w:rPr>
          <w:kern w:val="0"/>
          <w:sz w:val="24"/>
        </w:rPr>
        <w:t>1</w:t>
      </w:r>
      <w:r>
        <w:rPr>
          <w:kern w:val="0"/>
          <w:sz w:val="24"/>
        </w:rPr>
        <w:t>）</w:t>
      </w:r>
      <w:r>
        <w:rPr>
          <w:b/>
          <w:kern w:val="0"/>
          <w:sz w:val="24"/>
        </w:rPr>
        <w:t>当前业绩比较基准：</w:t>
      </w:r>
      <w:r>
        <w:rPr>
          <w:kern w:val="0"/>
          <w:sz w:val="24"/>
        </w:rPr>
        <w:t>中证</w:t>
      </w:r>
      <w:r>
        <w:rPr>
          <w:kern w:val="0"/>
          <w:sz w:val="24"/>
        </w:rPr>
        <w:t>800</w:t>
      </w:r>
      <w:r>
        <w:rPr>
          <w:kern w:val="0"/>
          <w:sz w:val="24"/>
        </w:rPr>
        <w:t>指数收益率</w:t>
      </w:r>
      <w:r>
        <w:rPr>
          <w:kern w:val="0"/>
          <w:sz w:val="24"/>
        </w:rPr>
        <w:t>×70%+</w:t>
      </w:r>
      <w:r>
        <w:rPr>
          <w:kern w:val="0"/>
          <w:sz w:val="24"/>
        </w:rPr>
        <w:t>中债新综合指数（财富）收益率</w:t>
      </w:r>
      <w:r>
        <w:rPr>
          <w:kern w:val="0"/>
          <w:sz w:val="24"/>
        </w:rPr>
        <w:t>×30%</w:t>
      </w:r>
    </w:p>
    <w:p w:rsidR="0016189C" w:rsidRDefault="00B34D58" w:rsidP="00B34D58">
      <w:pPr>
        <w:spacing w:line="360" w:lineRule="auto"/>
        <w:ind w:firstLineChars="200" w:firstLine="482"/>
        <w:rPr>
          <w:kern w:val="0"/>
          <w:sz w:val="24"/>
        </w:rPr>
      </w:pPr>
      <w:r>
        <w:rPr>
          <w:b/>
          <w:kern w:val="0"/>
          <w:sz w:val="24"/>
        </w:rPr>
        <w:t>调整后新业绩比较基准：</w:t>
      </w:r>
      <w:r>
        <w:rPr>
          <w:kern w:val="0"/>
          <w:sz w:val="24"/>
        </w:rPr>
        <w:t>中证偏股型基金指数收益率</w:t>
      </w:r>
      <w:r>
        <w:rPr>
          <w:kern w:val="0"/>
          <w:sz w:val="24"/>
        </w:rPr>
        <w:t>×90%+</w:t>
      </w:r>
      <w:r>
        <w:rPr>
          <w:kern w:val="0"/>
          <w:sz w:val="24"/>
        </w:rPr>
        <w:t>中证债券型基金指数收益率</w:t>
      </w:r>
      <w:r>
        <w:rPr>
          <w:kern w:val="0"/>
          <w:sz w:val="24"/>
        </w:rPr>
        <w:t>×10%</w:t>
      </w:r>
    </w:p>
    <w:p w:rsidR="0016189C" w:rsidRDefault="00B34D58">
      <w:pPr>
        <w:spacing w:line="360" w:lineRule="auto"/>
        <w:ind w:firstLineChars="200" w:firstLine="480"/>
        <w:rPr>
          <w:b/>
          <w:kern w:val="0"/>
          <w:sz w:val="24"/>
        </w:rPr>
      </w:pPr>
      <w:r>
        <w:rPr>
          <w:kern w:val="0"/>
          <w:sz w:val="24"/>
        </w:rPr>
        <w:t>（</w:t>
      </w:r>
      <w:r>
        <w:rPr>
          <w:kern w:val="0"/>
          <w:sz w:val="24"/>
        </w:rPr>
        <w:t>2</w:t>
      </w:r>
      <w:r>
        <w:rPr>
          <w:kern w:val="0"/>
          <w:sz w:val="24"/>
        </w:rPr>
        <w:t>）</w:t>
      </w:r>
      <w:r>
        <w:rPr>
          <w:b/>
          <w:kern w:val="0"/>
          <w:sz w:val="24"/>
        </w:rPr>
        <w:t>新的业绩比较基准选择原因、差异及影响：</w:t>
      </w:r>
    </w:p>
    <w:p w:rsidR="0016189C" w:rsidRDefault="00B34D58">
      <w:pPr>
        <w:spacing w:line="360" w:lineRule="auto"/>
        <w:ind w:firstLineChars="200" w:firstLine="480"/>
        <w:rPr>
          <w:kern w:val="0"/>
          <w:sz w:val="24"/>
          <w:szCs w:val="22"/>
        </w:rPr>
      </w:pPr>
      <w:r>
        <w:rPr>
          <w:kern w:val="0"/>
          <w:sz w:val="24"/>
          <w:szCs w:val="22"/>
        </w:rPr>
        <w:t>此次本基金业绩比较基准调整同时涉及基准指数、基准要素权重调整。</w:t>
      </w:r>
    </w:p>
    <w:p w:rsidR="0016189C" w:rsidRDefault="00B34D58">
      <w:pPr>
        <w:spacing w:line="360" w:lineRule="auto"/>
        <w:ind w:firstLineChars="200" w:firstLine="480"/>
        <w:rPr>
          <w:kern w:val="0"/>
          <w:sz w:val="24"/>
        </w:rPr>
      </w:pPr>
      <w:r>
        <w:rPr>
          <w:kern w:val="0"/>
          <w:sz w:val="24"/>
        </w:rPr>
        <w:t>基于本基金的投资目标、投资范围和投资策略，本基金主要投资于基金管理人旗下的基金，通过定量与定性相结合的分析方法</w:t>
      </w:r>
      <w:r>
        <w:rPr>
          <w:rFonts w:hint="eastAsia"/>
          <w:kern w:val="0"/>
          <w:sz w:val="24"/>
        </w:rPr>
        <w:t>，精选出具有竞争优势的基金。</w:t>
      </w:r>
      <w:r>
        <w:rPr>
          <w:kern w:val="0"/>
          <w:sz w:val="24"/>
        </w:rPr>
        <w:t>综合考虑基准指数与产品定位、投资</w:t>
      </w:r>
      <w:r>
        <w:rPr>
          <w:rFonts w:hint="eastAsia"/>
          <w:kern w:val="0"/>
          <w:sz w:val="24"/>
        </w:rPr>
        <w:t>策略</w:t>
      </w:r>
      <w:r>
        <w:rPr>
          <w:kern w:val="0"/>
          <w:sz w:val="24"/>
        </w:rPr>
        <w:t>的匹配度，同时兼顾考虑基准指数的表征性、认可度等，本基金的权益类资产部分所对应的基准指数从中证</w:t>
      </w:r>
      <w:r>
        <w:rPr>
          <w:kern w:val="0"/>
          <w:sz w:val="24"/>
        </w:rPr>
        <w:t>800</w:t>
      </w:r>
      <w:r>
        <w:rPr>
          <w:kern w:val="0"/>
          <w:sz w:val="24"/>
        </w:rPr>
        <w:t>指数调整为中证偏股型基金指数，固收类资产部分所对应的基准指数从中债新综合指数（财富）调整为中证债券型基金指数。此外，基于本基金近年来权益类资产的平均仓位，并结合基金合同约定的投资比例限制和长期产品定位，将业绩比较基准中的权益类资产所对应的基准要素权重从</w:t>
      </w:r>
      <w:r>
        <w:rPr>
          <w:kern w:val="0"/>
          <w:sz w:val="24"/>
        </w:rPr>
        <w:t>70%</w:t>
      </w:r>
      <w:r>
        <w:rPr>
          <w:kern w:val="0"/>
          <w:sz w:val="24"/>
        </w:rPr>
        <w:t>提高至</w:t>
      </w:r>
      <w:r>
        <w:rPr>
          <w:kern w:val="0"/>
          <w:sz w:val="24"/>
        </w:rPr>
        <w:t>90%</w:t>
      </w:r>
      <w:r>
        <w:rPr>
          <w:kern w:val="0"/>
          <w:sz w:val="24"/>
        </w:rPr>
        <w:t>，</w:t>
      </w:r>
      <w:r>
        <w:rPr>
          <w:rFonts w:hint="eastAsia"/>
          <w:kern w:val="0"/>
          <w:sz w:val="24"/>
        </w:rPr>
        <w:t>对应将固定收益类资产所对应的基准要素权重从</w:t>
      </w:r>
      <w:r>
        <w:rPr>
          <w:rFonts w:hint="eastAsia"/>
          <w:kern w:val="0"/>
          <w:sz w:val="24"/>
        </w:rPr>
        <w:t>30%</w:t>
      </w:r>
      <w:r>
        <w:rPr>
          <w:rFonts w:hint="eastAsia"/>
          <w:kern w:val="0"/>
          <w:sz w:val="24"/>
        </w:rPr>
        <w:t>降低至</w:t>
      </w:r>
      <w:r>
        <w:rPr>
          <w:rFonts w:hint="eastAsia"/>
          <w:kern w:val="0"/>
          <w:sz w:val="24"/>
        </w:rPr>
        <w:t>10%</w:t>
      </w:r>
      <w:r>
        <w:rPr>
          <w:rFonts w:hint="eastAsia"/>
          <w:kern w:val="0"/>
          <w:sz w:val="24"/>
        </w:rPr>
        <w:t>，从而</w:t>
      </w:r>
      <w:r>
        <w:rPr>
          <w:kern w:val="0"/>
          <w:sz w:val="24"/>
        </w:rPr>
        <w:t>使得新业绩比较基准中各大资产类别所对应的基准要素权重与基金过往实际投资运作等相匹配。</w:t>
      </w:r>
    </w:p>
    <w:p w:rsidR="0016189C" w:rsidRDefault="00B34D58">
      <w:pPr>
        <w:spacing w:line="360" w:lineRule="auto"/>
        <w:ind w:firstLineChars="200" w:firstLine="480"/>
        <w:rPr>
          <w:kern w:val="0"/>
          <w:sz w:val="24"/>
          <w:szCs w:val="22"/>
        </w:rPr>
      </w:pPr>
      <w:r>
        <w:rPr>
          <w:kern w:val="0"/>
          <w:sz w:val="24"/>
          <w:szCs w:val="22"/>
        </w:rPr>
        <w:t>原业绩比较基准中，中证</w:t>
      </w:r>
      <w:r>
        <w:rPr>
          <w:kern w:val="0"/>
          <w:sz w:val="24"/>
          <w:szCs w:val="22"/>
        </w:rPr>
        <w:t>800</w:t>
      </w:r>
      <w:r>
        <w:rPr>
          <w:kern w:val="0"/>
          <w:sz w:val="24"/>
          <w:szCs w:val="22"/>
        </w:rPr>
        <w:t>指数（指数代码</w:t>
      </w:r>
      <w:r>
        <w:rPr>
          <w:kern w:val="0"/>
          <w:sz w:val="24"/>
          <w:szCs w:val="22"/>
        </w:rPr>
        <w:t>000906</w:t>
      </w:r>
      <w:r>
        <w:rPr>
          <w:kern w:val="0"/>
          <w:sz w:val="24"/>
          <w:szCs w:val="22"/>
        </w:rPr>
        <w:t>）由沪深市场市值较大、流动性较好的</w:t>
      </w:r>
      <w:r>
        <w:rPr>
          <w:kern w:val="0"/>
          <w:sz w:val="24"/>
          <w:szCs w:val="22"/>
        </w:rPr>
        <w:t>800</w:t>
      </w:r>
      <w:r>
        <w:rPr>
          <w:kern w:val="0"/>
          <w:sz w:val="24"/>
          <w:szCs w:val="22"/>
        </w:rPr>
        <w:t>只股票构成，反映沪深市场大中盘上市公司证券的整体表现；中债新综合指数（财富）（指数代码</w:t>
      </w:r>
      <w:r>
        <w:rPr>
          <w:kern w:val="0"/>
          <w:sz w:val="24"/>
          <w:szCs w:val="22"/>
        </w:rPr>
        <w:t>CBA00101</w:t>
      </w:r>
      <w:r>
        <w:rPr>
          <w:kern w:val="0"/>
          <w:sz w:val="24"/>
          <w:szCs w:val="22"/>
        </w:rPr>
        <w:t>）成份券包含除资产支持证券、美元债券、可转债以外的在境内公开发行且上市流通的债券，反映境内人民币债券市场</w:t>
      </w:r>
      <w:r>
        <w:rPr>
          <w:rFonts w:hint="eastAsia"/>
          <w:kern w:val="0"/>
          <w:sz w:val="24"/>
          <w:szCs w:val="22"/>
        </w:rPr>
        <w:t>价格走势情况</w:t>
      </w:r>
      <w:r>
        <w:rPr>
          <w:kern w:val="0"/>
          <w:sz w:val="24"/>
          <w:szCs w:val="22"/>
        </w:rPr>
        <w:t>。调整后的新业绩比较基准中，中证偏股型基金指数（指数代码</w:t>
      </w:r>
      <w:r>
        <w:rPr>
          <w:kern w:val="0"/>
          <w:sz w:val="24"/>
          <w:szCs w:val="22"/>
        </w:rPr>
        <w:t>930950</w:t>
      </w:r>
      <w:r>
        <w:rPr>
          <w:kern w:val="0"/>
          <w:sz w:val="24"/>
          <w:szCs w:val="22"/>
        </w:rPr>
        <w:t>）</w:t>
      </w:r>
      <w:r w:rsidR="00184011" w:rsidRPr="00184011">
        <w:rPr>
          <w:rFonts w:hint="eastAsia"/>
          <w:kern w:val="0"/>
          <w:sz w:val="24"/>
          <w:szCs w:val="22"/>
        </w:rPr>
        <w:t>选取内地上市的所有股票型基金以及混合型基金中以股票为主要投资对象的基金作为样本，采用净值规模加权，以反映所有偏股型开放式证券投资基金的整体走势</w:t>
      </w:r>
      <w:r>
        <w:rPr>
          <w:rFonts w:hint="eastAsia"/>
          <w:kern w:val="0"/>
          <w:sz w:val="24"/>
          <w:szCs w:val="22"/>
        </w:rPr>
        <w:t>；</w:t>
      </w:r>
      <w:r>
        <w:rPr>
          <w:kern w:val="0"/>
          <w:sz w:val="24"/>
          <w:szCs w:val="22"/>
        </w:rPr>
        <w:t>中证债券型基金指数（指数代码</w:t>
      </w:r>
      <w:r>
        <w:rPr>
          <w:kern w:val="0"/>
          <w:sz w:val="24"/>
          <w:szCs w:val="22"/>
        </w:rPr>
        <w:t>H11023</w:t>
      </w:r>
      <w:r>
        <w:rPr>
          <w:kern w:val="0"/>
          <w:sz w:val="24"/>
          <w:szCs w:val="22"/>
        </w:rPr>
        <w:t>）</w:t>
      </w:r>
      <w:r>
        <w:rPr>
          <w:rFonts w:hint="eastAsia"/>
          <w:kern w:val="0"/>
          <w:sz w:val="24"/>
          <w:szCs w:val="22"/>
        </w:rPr>
        <w:t>样本</w:t>
      </w:r>
      <w:r>
        <w:rPr>
          <w:kern w:val="0"/>
          <w:sz w:val="24"/>
          <w:szCs w:val="22"/>
        </w:rPr>
        <w:t>由中证开放式基金指数样本中的</w:t>
      </w:r>
      <w:r>
        <w:rPr>
          <w:kern w:val="0"/>
          <w:sz w:val="24"/>
          <w:szCs w:val="22"/>
        </w:rPr>
        <w:t>债券型基金组成，以反映</w:t>
      </w:r>
      <w:r>
        <w:rPr>
          <w:rFonts w:hint="eastAsia"/>
          <w:kern w:val="0"/>
          <w:sz w:val="24"/>
          <w:szCs w:val="22"/>
        </w:rPr>
        <w:t>内地</w:t>
      </w:r>
      <w:r>
        <w:rPr>
          <w:kern w:val="0"/>
          <w:sz w:val="24"/>
          <w:szCs w:val="22"/>
        </w:rPr>
        <w:t>债券型基金的整体</w:t>
      </w:r>
      <w:r w:rsidR="00184011" w:rsidRPr="00184011">
        <w:rPr>
          <w:rFonts w:hint="eastAsia"/>
          <w:kern w:val="0"/>
          <w:sz w:val="24"/>
          <w:szCs w:val="22"/>
        </w:rPr>
        <w:t>走势</w:t>
      </w:r>
      <w:r>
        <w:rPr>
          <w:kern w:val="0"/>
          <w:sz w:val="24"/>
          <w:szCs w:val="22"/>
        </w:rPr>
        <w:t>。调整后的业绩比较基准要素与基</w:t>
      </w:r>
      <w:bookmarkStart w:id="4" w:name="_GoBack"/>
      <w:bookmarkEnd w:id="4"/>
      <w:r>
        <w:rPr>
          <w:kern w:val="0"/>
          <w:sz w:val="24"/>
          <w:szCs w:val="22"/>
        </w:rPr>
        <w:t>金的投资目标和投资策略相匹配，能够更好地反映本基金的</w:t>
      </w:r>
      <w:r>
        <w:rPr>
          <w:rFonts w:hint="eastAsia"/>
          <w:kern w:val="0"/>
          <w:sz w:val="24"/>
          <w:szCs w:val="22"/>
        </w:rPr>
        <w:t>产品</w:t>
      </w:r>
      <w:r>
        <w:rPr>
          <w:kern w:val="0"/>
          <w:sz w:val="24"/>
          <w:szCs w:val="22"/>
        </w:rPr>
        <w:t>定位。</w:t>
      </w:r>
    </w:p>
    <w:p w:rsidR="0016189C" w:rsidRDefault="00B34D58">
      <w:pPr>
        <w:spacing w:line="360" w:lineRule="auto"/>
        <w:ind w:firstLineChars="200" w:firstLine="480"/>
        <w:rPr>
          <w:kern w:val="0"/>
          <w:sz w:val="24"/>
          <w:szCs w:val="22"/>
        </w:rPr>
      </w:pPr>
      <w:r>
        <w:rPr>
          <w:kern w:val="0"/>
          <w:sz w:val="24"/>
          <w:szCs w:val="22"/>
        </w:rPr>
        <w:t>上述调整对本基金投资运作、基金份额持有人利益无实质性不利影响。</w:t>
      </w:r>
    </w:p>
    <w:p w:rsidR="0016189C" w:rsidRDefault="0016189C">
      <w:pPr>
        <w:spacing w:line="360" w:lineRule="auto"/>
        <w:ind w:firstLineChars="200" w:firstLine="480"/>
        <w:rPr>
          <w:kern w:val="0"/>
          <w:sz w:val="24"/>
          <w:szCs w:val="22"/>
        </w:rPr>
      </w:pPr>
    </w:p>
    <w:p w:rsidR="0016189C" w:rsidRDefault="00B34D58">
      <w:pPr>
        <w:spacing w:line="360" w:lineRule="auto"/>
        <w:ind w:firstLineChars="200" w:firstLine="480"/>
        <w:outlineLvl w:val="1"/>
        <w:rPr>
          <w:kern w:val="0"/>
          <w:sz w:val="24"/>
        </w:rPr>
      </w:pPr>
      <w:r>
        <w:rPr>
          <w:kern w:val="0"/>
          <w:sz w:val="24"/>
        </w:rPr>
        <w:t>21</w:t>
      </w:r>
      <w:r>
        <w:rPr>
          <w:kern w:val="0"/>
          <w:sz w:val="24"/>
        </w:rPr>
        <w:t>、易方达优选多资产三个月持有期混合型基金中基金（</w:t>
      </w:r>
      <w:r>
        <w:rPr>
          <w:kern w:val="0"/>
          <w:sz w:val="24"/>
        </w:rPr>
        <w:t>FOF</w:t>
      </w:r>
      <w:r>
        <w:rPr>
          <w:kern w:val="0"/>
          <w:sz w:val="24"/>
        </w:rPr>
        <w:t>）</w:t>
      </w:r>
    </w:p>
    <w:p w:rsidR="0016189C" w:rsidRDefault="00B34D58">
      <w:pPr>
        <w:spacing w:line="360" w:lineRule="auto"/>
        <w:ind w:firstLineChars="200" w:firstLine="480"/>
        <w:rPr>
          <w:kern w:val="0"/>
          <w:sz w:val="24"/>
        </w:rPr>
      </w:pPr>
      <w:r>
        <w:rPr>
          <w:kern w:val="0"/>
          <w:sz w:val="24"/>
        </w:rPr>
        <w:t>（</w:t>
      </w:r>
      <w:r>
        <w:rPr>
          <w:kern w:val="0"/>
          <w:sz w:val="24"/>
        </w:rPr>
        <w:t>1</w:t>
      </w:r>
      <w:r>
        <w:rPr>
          <w:kern w:val="0"/>
          <w:sz w:val="24"/>
        </w:rPr>
        <w:t>）</w:t>
      </w:r>
      <w:r>
        <w:rPr>
          <w:b/>
          <w:kern w:val="0"/>
          <w:sz w:val="24"/>
        </w:rPr>
        <w:t>当前业绩比较基准：</w:t>
      </w:r>
      <w:r>
        <w:rPr>
          <w:kern w:val="0"/>
          <w:sz w:val="24"/>
        </w:rPr>
        <w:t>沪深</w:t>
      </w:r>
      <w:r>
        <w:rPr>
          <w:kern w:val="0"/>
          <w:sz w:val="24"/>
        </w:rPr>
        <w:t>300</w:t>
      </w:r>
      <w:r>
        <w:rPr>
          <w:kern w:val="0"/>
          <w:sz w:val="24"/>
        </w:rPr>
        <w:t>指数收益率</w:t>
      </w:r>
      <w:r>
        <w:rPr>
          <w:kern w:val="0"/>
          <w:sz w:val="24"/>
        </w:rPr>
        <w:t>×50%+</w:t>
      </w:r>
      <w:r>
        <w:rPr>
          <w:kern w:val="0"/>
          <w:sz w:val="24"/>
        </w:rPr>
        <w:t>中证港股通综合指数收益率</w:t>
      </w:r>
      <w:r>
        <w:rPr>
          <w:kern w:val="0"/>
          <w:sz w:val="24"/>
        </w:rPr>
        <w:t>×10%+</w:t>
      </w:r>
      <w:r>
        <w:rPr>
          <w:kern w:val="0"/>
          <w:sz w:val="24"/>
        </w:rPr>
        <w:t>中债总指数收益率</w:t>
      </w:r>
      <w:r>
        <w:rPr>
          <w:kern w:val="0"/>
          <w:sz w:val="24"/>
        </w:rPr>
        <w:t>×40%</w:t>
      </w:r>
    </w:p>
    <w:p w:rsidR="0016189C" w:rsidRDefault="00B34D58" w:rsidP="00B34D58">
      <w:pPr>
        <w:spacing w:line="360" w:lineRule="auto"/>
        <w:ind w:firstLineChars="200" w:firstLine="482"/>
        <w:rPr>
          <w:kern w:val="0"/>
          <w:sz w:val="24"/>
        </w:rPr>
      </w:pPr>
      <w:r>
        <w:rPr>
          <w:b/>
          <w:kern w:val="0"/>
          <w:sz w:val="24"/>
        </w:rPr>
        <w:t>调整后新业绩比较基准：</w:t>
      </w:r>
      <w:r>
        <w:rPr>
          <w:kern w:val="0"/>
          <w:sz w:val="24"/>
        </w:rPr>
        <w:t>中证</w:t>
      </w:r>
      <w:r>
        <w:rPr>
          <w:kern w:val="0"/>
          <w:sz w:val="24"/>
        </w:rPr>
        <w:t>800</w:t>
      </w:r>
      <w:r>
        <w:rPr>
          <w:kern w:val="0"/>
          <w:sz w:val="24"/>
        </w:rPr>
        <w:t>指数收益率</w:t>
      </w:r>
      <w:r>
        <w:rPr>
          <w:kern w:val="0"/>
          <w:sz w:val="24"/>
        </w:rPr>
        <w:t>×35%+</w:t>
      </w:r>
      <w:r>
        <w:rPr>
          <w:kern w:val="0"/>
          <w:sz w:val="24"/>
        </w:rPr>
        <w:t>标普</w:t>
      </w:r>
      <w:r>
        <w:rPr>
          <w:kern w:val="0"/>
          <w:sz w:val="24"/>
        </w:rPr>
        <w:t>500</w:t>
      </w:r>
      <w:r>
        <w:rPr>
          <w:kern w:val="0"/>
          <w:sz w:val="24"/>
        </w:rPr>
        <w:t>指数（</w:t>
      </w:r>
      <w:r>
        <w:rPr>
          <w:kern w:val="0"/>
          <w:sz w:val="24"/>
        </w:rPr>
        <w:t>S&amp;P 500 Index</w:t>
      </w:r>
      <w:r>
        <w:rPr>
          <w:kern w:val="0"/>
          <w:sz w:val="24"/>
        </w:rPr>
        <w:t>）收益率</w:t>
      </w:r>
      <w:r>
        <w:rPr>
          <w:kern w:val="0"/>
          <w:sz w:val="24"/>
        </w:rPr>
        <w:t>×30%+</w:t>
      </w:r>
      <w:r>
        <w:rPr>
          <w:kern w:val="0"/>
          <w:sz w:val="24"/>
        </w:rPr>
        <w:t>中债</w:t>
      </w:r>
      <w:r>
        <w:rPr>
          <w:kern w:val="0"/>
          <w:sz w:val="24"/>
        </w:rPr>
        <w:t>-</w:t>
      </w:r>
      <w:r>
        <w:rPr>
          <w:kern w:val="0"/>
          <w:sz w:val="24"/>
        </w:rPr>
        <w:t>总全价（总值</w:t>
      </w:r>
      <w:r>
        <w:rPr>
          <w:kern w:val="0"/>
          <w:sz w:val="24"/>
        </w:rPr>
        <w:t>）指数收益率</w:t>
      </w:r>
      <w:r>
        <w:rPr>
          <w:kern w:val="0"/>
          <w:sz w:val="24"/>
        </w:rPr>
        <w:t>×25%+</w:t>
      </w:r>
      <w:r>
        <w:rPr>
          <w:kern w:val="0"/>
          <w:sz w:val="24"/>
        </w:rPr>
        <w:t>上海黄金交易所</w:t>
      </w:r>
      <w:r>
        <w:rPr>
          <w:kern w:val="0"/>
          <w:sz w:val="24"/>
        </w:rPr>
        <w:t>Au99.99</w:t>
      </w:r>
      <w:r>
        <w:rPr>
          <w:kern w:val="0"/>
          <w:sz w:val="24"/>
        </w:rPr>
        <w:t>现货实盘合约价格收益率</w:t>
      </w:r>
      <w:r>
        <w:rPr>
          <w:kern w:val="0"/>
          <w:sz w:val="24"/>
        </w:rPr>
        <w:t>×10%</w:t>
      </w:r>
    </w:p>
    <w:p w:rsidR="0016189C" w:rsidRDefault="00B34D58">
      <w:pPr>
        <w:spacing w:line="360" w:lineRule="auto"/>
        <w:ind w:firstLineChars="200" w:firstLine="480"/>
        <w:rPr>
          <w:b/>
          <w:kern w:val="0"/>
          <w:sz w:val="24"/>
        </w:rPr>
      </w:pPr>
      <w:r>
        <w:rPr>
          <w:kern w:val="0"/>
          <w:sz w:val="24"/>
        </w:rPr>
        <w:t>（</w:t>
      </w:r>
      <w:r>
        <w:rPr>
          <w:kern w:val="0"/>
          <w:sz w:val="24"/>
        </w:rPr>
        <w:t>2</w:t>
      </w:r>
      <w:r>
        <w:rPr>
          <w:kern w:val="0"/>
          <w:sz w:val="24"/>
        </w:rPr>
        <w:t>）</w:t>
      </w:r>
      <w:r>
        <w:rPr>
          <w:b/>
          <w:kern w:val="0"/>
          <w:sz w:val="24"/>
        </w:rPr>
        <w:t>新的业绩比较基准选择原因、差异及影响：</w:t>
      </w:r>
    </w:p>
    <w:p w:rsidR="0016189C" w:rsidRDefault="00B34D58">
      <w:pPr>
        <w:spacing w:line="360" w:lineRule="auto"/>
        <w:ind w:firstLineChars="200" w:firstLine="480"/>
        <w:rPr>
          <w:kern w:val="0"/>
          <w:sz w:val="24"/>
          <w:szCs w:val="22"/>
        </w:rPr>
      </w:pPr>
      <w:r>
        <w:rPr>
          <w:kern w:val="0"/>
          <w:sz w:val="24"/>
          <w:szCs w:val="22"/>
        </w:rPr>
        <w:t>此次本基金业绩比较基准调整同时涉及基准指数、基准要素权重调整，并按照要求对业绩比较基准表述进行了规范。</w:t>
      </w:r>
    </w:p>
    <w:p w:rsidR="0016189C" w:rsidRDefault="00B34D58">
      <w:pPr>
        <w:spacing w:line="360" w:lineRule="auto"/>
        <w:ind w:firstLineChars="200" w:firstLine="480"/>
        <w:rPr>
          <w:kern w:val="0"/>
          <w:sz w:val="24"/>
          <w:szCs w:val="22"/>
        </w:rPr>
      </w:pPr>
      <w:r>
        <w:rPr>
          <w:kern w:val="0"/>
          <w:sz w:val="24"/>
          <w:szCs w:val="22"/>
        </w:rPr>
        <w:t>基于本基金的投资目标、投资范围和投资策略，本基金在多类资产中进行资产配置，通过系统、深入的基金研究优选具有长期投资价值的投资标的，力争实现基金资产的长期稳健增值。综合考虑基准指数与产品定位、投资</w:t>
      </w:r>
      <w:r>
        <w:rPr>
          <w:rFonts w:hint="eastAsia"/>
          <w:kern w:val="0"/>
          <w:sz w:val="24"/>
          <w:szCs w:val="22"/>
        </w:rPr>
        <w:t>策略</w:t>
      </w:r>
      <w:r>
        <w:rPr>
          <w:kern w:val="0"/>
          <w:sz w:val="24"/>
          <w:szCs w:val="22"/>
        </w:rPr>
        <w:t>的匹配度，同时兼顾考虑基准指数的表征性、认可度等，本基金将权益类资产部分的基准要素</w:t>
      </w:r>
      <w:r>
        <w:rPr>
          <w:kern w:val="0"/>
          <w:sz w:val="24"/>
          <w:szCs w:val="22"/>
        </w:rPr>
        <w:t>从沪深</w:t>
      </w:r>
      <w:r>
        <w:rPr>
          <w:kern w:val="0"/>
          <w:sz w:val="24"/>
          <w:szCs w:val="22"/>
        </w:rPr>
        <w:t>300</w:t>
      </w:r>
      <w:r>
        <w:rPr>
          <w:kern w:val="0"/>
          <w:sz w:val="24"/>
          <w:szCs w:val="22"/>
        </w:rPr>
        <w:t>指数、中证港股通综合指数调整为中证</w:t>
      </w:r>
      <w:r>
        <w:rPr>
          <w:kern w:val="0"/>
          <w:sz w:val="24"/>
          <w:szCs w:val="22"/>
        </w:rPr>
        <w:t>800</w:t>
      </w:r>
      <w:r>
        <w:rPr>
          <w:kern w:val="0"/>
          <w:sz w:val="24"/>
          <w:szCs w:val="22"/>
        </w:rPr>
        <w:t>指数、标普</w:t>
      </w:r>
      <w:r>
        <w:rPr>
          <w:kern w:val="0"/>
          <w:sz w:val="24"/>
          <w:szCs w:val="22"/>
        </w:rPr>
        <w:t>500</w:t>
      </w:r>
      <w:r>
        <w:rPr>
          <w:kern w:val="0"/>
          <w:sz w:val="24"/>
          <w:szCs w:val="22"/>
        </w:rPr>
        <w:t>指数（</w:t>
      </w:r>
      <w:r>
        <w:rPr>
          <w:kern w:val="0"/>
          <w:sz w:val="24"/>
          <w:szCs w:val="22"/>
        </w:rPr>
        <w:t>S&amp;P 500 Index</w:t>
      </w:r>
      <w:r>
        <w:rPr>
          <w:kern w:val="0"/>
          <w:sz w:val="24"/>
          <w:szCs w:val="22"/>
        </w:rPr>
        <w:t>），同时增加表征黄金资产的上海黄金交易所</w:t>
      </w:r>
      <w:r>
        <w:rPr>
          <w:kern w:val="0"/>
          <w:sz w:val="24"/>
          <w:szCs w:val="22"/>
        </w:rPr>
        <w:t>Au99.99</w:t>
      </w:r>
      <w:r>
        <w:rPr>
          <w:kern w:val="0"/>
          <w:sz w:val="24"/>
          <w:szCs w:val="22"/>
        </w:rPr>
        <w:t>现货实盘合约价格作为基准要素。此外，基于本基金近年来的资产配置结构，并结合基金合同约定的投资比例限制和长期产品定位，将业绩比较基准中的</w:t>
      </w:r>
      <w:r>
        <w:rPr>
          <w:rFonts w:hint="eastAsia"/>
          <w:kern w:val="0"/>
          <w:sz w:val="24"/>
          <w:szCs w:val="22"/>
        </w:rPr>
        <w:t>A</w:t>
      </w:r>
      <w:r>
        <w:rPr>
          <w:rFonts w:hint="eastAsia"/>
          <w:kern w:val="0"/>
          <w:sz w:val="24"/>
          <w:szCs w:val="22"/>
        </w:rPr>
        <w:t>股</w:t>
      </w:r>
      <w:r>
        <w:rPr>
          <w:kern w:val="0"/>
          <w:sz w:val="24"/>
          <w:szCs w:val="22"/>
        </w:rPr>
        <w:t>权益类资产所对应的基准要素权重从</w:t>
      </w:r>
      <w:r>
        <w:rPr>
          <w:rFonts w:hint="eastAsia"/>
          <w:kern w:val="0"/>
          <w:sz w:val="24"/>
          <w:szCs w:val="22"/>
        </w:rPr>
        <w:t>5</w:t>
      </w:r>
      <w:r>
        <w:rPr>
          <w:kern w:val="0"/>
          <w:sz w:val="24"/>
          <w:szCs w:val="22"/>
        </w:rPr>
        <w:t>0%</w:t>
      </w:r>
      <w:r>
        <w:rPr>
          <w:kern w:val="0"/>
          <w:sz w:val="24"/>
          <w:szCs w:val="22"/>
        </w:rPr>
        <w:t>调整为</w:t>
      </w:r>
      <w:r>
        <w:rPr>
          <w:rFonts w:hint="eastAsia"/>
          <w:kern w:val="0"/>
          <w:sz w:val="24"/>
          <w:szCs w:val="22"/>
        </w:rPr>
        <w:t>3</w:t>
      </w:r>
      <w:r>
        <w:rPr>
          <w:kern w:val="0"/>
          <w:sz w:val="24"/>
          <w:szCs w:val="22"/>
        </w:rPr>
        <w:t>5%</w:t>
      </w:r>
      <w:r>
        <w:rPr>
          <w:kern w:val="0"/>
          <w:sz w:val="24"/>
          <w:szCs w:val="22"/>
        </w:rPr>
        <w:t>，将</w:t>
      </w:r>
      <w:r>
        <w:rPr>
          <w:rFonts w:hint="eastAsia"/>
          <w:kern w:val="0"/>
          <w:sz w:val="24"/>
          <w:szCs w:val="22"/>
        </w:rPr>
        <w:t>固定收益类</w:t>
      </w:r>
      <w:r>
        <w:rPr>
          <w:kern w:val="0"/>
          <w:sz w:val="24"/>
          <w:szCs w:val="22"/>
        </w:rPr>
        <w:t>资产所对应的基准要素权重从</w:t>
      </w:r>
      <w:r>
        <w:rPr>
          <w:rFonts w:hint="eastAsia"/>
          <w:kern w:val="0"/>
          <w:sz w:val="24"/>
          <w:szCs w:val="22"/>
        </w:rPr>
        <w:t>4</w:t>
      </w:r>
      <w:r>
        <w:rPr>
          <w:kern w:val="0"/>
          <w:sz w:val="24"/>
          <w:szCs w:val="22"/>
        </w:rPr>
        <w:t>0%</w:t>
      </w:r>
      <w:r>
        <w:rPr>
          <w:kern w:val="0"/>
          <w:sz w:val="24"/>
          <w:szCs w:val="22"/>
        </w:rPr>
        <w:t>调整为</w:t>
      </w:r>
      <w:r>
        <w:rPr>
          <w:rFonts w:hint="eastAsia"/>
          <w:kern w:val="0"/>
          <w:sz w:val="24"/>
          <w:szCs w:val="22"/>
        </w:rPr>
        <w:t>2</w:t>
      </w:r>
      <w:r>
        <w:rPr>
          <w:kern w:val="0"/>
          <w:sz w:val="24"/>
          <w:szCs w:val="22"/>
        </w:rPr>
        <w:t>5%</w:t>
      </w:r>
      <w:r>
        <w:rPr>
          <w:kern w:val="0"/>
          <w:sz w:val="24"/>
          <w:szCs w:val="22"/>
        </w:rPr>
        <w:t>，同时基准要素新增</w:t>
      </w:r>
      <w:r>
        <w:rPr>
          <w:rFonts w:hint="eastAsia"/>
          <w:kern w:val="0"/>
          <w:sz w:val="24"/>
          <w:szCs w:val="22"/>
        </w:rPr>
        <w:t>3</w:t>
      </w:r>
      <w:r>
        <w:rPr>
          <w:kern w:val="0"/>
          <w:sz w:val="24"/>
          <w:szCs w:val="22"/>
        </w:rPr>
        <w:t>0%</w:t>
      </w:r>
      <w:r>
        <w:rPr>
          <w:kern w:val="0"/>
          <w:sz w:val="24"/>
          <w:szCs w:val="22"/>
        </w:rPr>
        <w:t>的境外权益类资产和</w:t>
      </w:r>
      <w:r>
        <w:rPr>
          <w:rFonts w:hint="eastAsia"/>
          <w:kern w:val="0"/>
          <w:sz w:val="24"/>
          <w:szCs w:val="22"/>
        </w:rPr>
        <w:t>1</w:t>
      </w:r>
      <w:r>
        <w:rPr>
          <w:kern w:val="0"/>
          <w:sz w:val="24"/>
          <w:szCs w:val="22"/>
        </w:rPr>
        <w:t>0%</w:t>
      </w:r>
      <w:r>
        <w:rPr>
          <w:kern w:val="0"/>
          <w:sz w:val="24"/>
          <w:szCs w:val="22"/>
        </w:rPr>
        <w:t>的</w:t>
      </w:r>
      <w:r>
        <w:rPr>
          <w:rFonts w:hint="eastAsia"/>
          <w:kern w:val="0"/>
          <w:sz w:val="24"/>
          <w:szCs w:val="22"/>
        </w:rPr>
        <w:t>黄金</w:t>
      </w:r>
      <w:r>
        <w:rPr>
          <w:kern w:val="0"/>
          <w:sz w:val="24"/>
          <w:szCs w:val="22"/>
        </w:rPr>
        <w:t>资产，从而使得新业绩比较基准中各大资产类别所对应的基准要素</w:t>
      </w:r>
      <w:r>
        <w:rPr>
          <w:kern w:val="0"/>
          <w:sz w:val="24"/>
          <w:szCs w:val="22"/>
        </w:rPr>
        <w:t>权重与基金过往实际投资运作等相匹配。</w:t>
      </w:r>
    </w:p>
    <w:p w:rsidR="0016189C" w:rsidRDefault="00B34D58">
      <w:pPr>
        <w:spacing w:line="360" w:lineRule="auto"/>
        <w:ind w:firstLineChars="200" w:firstLine="480"/>
        <w:rPr>
          <w:kern w:val="0"/>
          <w:sz w:val="24"/>
          <w:szCs w:val="22"/>
        </w:rPr>
      </w:pPr>
      <w:r>
        <w:rPr>
          <w:kern w:val="0"/>
          <w:sz w:val="24"/>
          <w:szCs w:val="22"/>
        </w:rPr>
        <w:t>原业绩比较基准中，沪深</w:t>
      </w:r>
      <w:r>
        <w:rPr>
          <w:kern w:val="0"/>
          <w:sz w:val="24"/>
          <w:szCs w:val="22"/>
        </w:rPr>
        <w:t>300</w:t>
      </w:r>
      <w:r>
        <w:rPr>
          <w:kern w:val="0"/>
          <w:sz w:val="24"/>
          <w:szCs w:val="22"/>
        </w:rPr>
        <w:t>指数（指数代码</w:t>
      </w:r>
      <w:r>
        <w:rPr>
          <w:kern w:val="0"/>
          <w:sz w:val="24"/>
          <w:szCs w:val="22"/>
        </w:rPr>
        <w:t>000300</w:t>
      </w:r>
      <w:r>
        <w:rPr>
          <w:kern w:val="0"/>
          <w:sz w:val="24"/>
          <w:szCs w:val="22"/>
        </w:rPr>
        <w:t>）由沪深市场中规模大、流动性好的最具代表性的</w:t>
      </w:r>
      <w:r>
        <w:rPr>
          <w:kern w:val="0"/>
          <w:sz w:val="24"/>
          <w:szCs w:val="22"/>
        </w:rPr>
        <w:t>300</w:t>
      </w:r>
      <w:r>
        <w:rPr>
          <w:kern w:val="0"/>
          <w:sz w:val="24"/>
          <w:szCs w:val="22"/>
        </w:rPr>
        <w:t>只证券组成，以反映沪深市场上市公司证券的整体表现；中证港股通综合指数（人民币）（指数代码</w:t>
      </w:r>
      <w:r>
        <w:rPr>
          <w:kern w:val="0"/>
          <w:sz w:val="24"/>
          <w:szCs w:val="22"/>
        </w:rPr>
        <w:t>930933</w:t>
      </w:r>
      <w:r>
        <w:rPr>
          <w:kern w:val="0"/>
          <w:sz w:val="24"/>
          <w:szCs w:val="22"/>
        </w:rPr>
        <w:t>）选取符合港股通资格的上市公司证券作为样本，反映港股通范围内上市公司的整体表现。调整后的新业绩比较基准中，中证</w:t>
      </w:r>
      <w:r>
        <w:rPr>
          <w:kern w:val="0"/>
          <w:sz w:val="24"/>
          <w:szCs w:val="22"/>
        </w:rPr>
        <w:t>800</w:t>
      </w:r>
      <w:r>
        <w:rPr>
          <w:kern w:val="0"/>
          <w:sz w:val="24"/>
          <w:szCs w:val="22"/>
        </w:rPr>
        <w:t>指数（指数代码</w:t>
      </w:r>
      <w:r>
        <w:rPr>
          <w:kern w:val="0"/>
          <w:sz w:val="24"/>
          <w:szCs w:val="22"/>
        </w:rPr>
        <w:t>000906</w:t>
      </w:r>
      <w:r>
        <w:rPr>
          <w:kern w:val="0"/>
          <w:sz w:val="24"/>
          <w:szCs w:val="22"/>
        </w:rPr>
        <w:t>）由沪深市场市值较大、流动性较好的</w:t>
      </w:r>
      <w:r>
        <w:rPr>
          <w:kern w:val="0"/>
          <w:sz w:val="24"/>
          <w:szCs w:val="22"/>
        </w:rPr>
        <w:t>800</w:t>
      </w:r>
      <w:r>
        <w:rPr>
          <w:kern w:val="0"/>
          <w:sz w:val="24"/>
          <w:szCs w:val="22"/>
        </w:rPr>
        <w:t>只股票构成，反映沪深市场大中盘上市公司证券的整体表现；标普</w:t>
      </w:r>
      <w:r>
        <w:rPr>
          <w:kern w:val="0"/>
          <w:sz w:val="24"/>
          <w:szCs w:val="22"/>
        </w:rPr>
        <w:t>500</w:t>
      </w:r>
      <w:r>
        <w:rPr>
          <w:kern w:val="0"/>
          <w:sz w:val="24"/>
          <w:szCs w:val="22"/>
        </w:rPr>
        <w:t>指数（</w:t>
      </w:r>
      <w:r>
        <w:rPr>
          <w:kern w:val="0"/>
          <w:sz w:val="24"/>
          <w:szCs w:val="22"/>
        </w:rPr>
        <w:t>S&amp;P 500 I</w:t>
      </w:r>
      <w:r>
        <w:rPr>
          <w:kern w:val="0"/>
          <w:sz w:val="24"/>
          <w:szCs w:val="22"/>
        </w:rPr>
        <w:t>ndex</w:t>
      </w:r>
      <w:r>
        <w:rPr>
          <w:kern w:val="0"/>
          <w:sz w:val="24"/>
          <w:szCs w:val="22"/>
        </w:rPr>
        <w:t>）（指数代码</w:t>
      </w:r>
      <w:r>
        <w:rPr>
          <w:kern w:val="0"/>
          <w:sz w:val="24"/>
          <w:szCs w:val="22"/>
        </w:rPr>
        <w:t>SPX</w:t>
      </w:r>
      <w:r>
        <w:rPr>
          <w:kern w:val="0"/>
          <w:sz w:val="24"/>
          <w:szCs w:val="22"/>
        </w:rPr>
        <w:t>）由美国市场</w:t>
      </w:r>
      <w:r>
        <w:rPr>
          <w:kern w:val="0"/>
          <w:sz w:val="24"/>
          <w:szCs w:val="22"/>
        </w:rPr>
        <w:t>500</w:t>
      </w:r>
      <w:r>
        <w:rPr>
          <w:kern w:val="0"/>
          <w:sz w:val="24"/>
          <w:szCs w:val="22"/>
        </w:rPr>
        <w:t>家龙头公司组成，以反映美国市场大盘股的整体表现；上海黄金交易所</w:t>
      </w:r>
      <w:r>
        <w:rPr>
          <w:kern w:val="0"/>
          <w:sz w:val="24"/>
          <w:szCs w:val="22"/>
        </w:rPr>
        <w:t>Au99.99</w:t>
      </w:r>
      <w:r>
        <w:rPr>
          <w:kern w:val="0"/>
          <w:sz w:val="24"/>
          <w:szCs w:val="22"/>
        </w:rPr>
        <w:t>现货实盘合约价格（合约代码</w:t>
      </w:r>
      <w:r>
        <w:rPr>
          <w:kern w:val="0"/>
          <w:sz w:val="24"/>
          <w:szCs w:val="22"/>
        </w:rPr>
        <w:t>Au99.99</w:t>
      </w:r>
      <w:r>
        <w:rPr>
          <w:kern w:val="0"/>
          <w:sz w:val="24"/>
          <w:szCs w:val="22"/>
        </w:rPr>
        <w:t>）为在上海黄金交易所交易的黄金现货合约的价格。调整后的业绩比较基准要素与基金的投资目标和投资策略相匹配，能够更好地反映本基金的</w:t>
      </w:r>
      <w:r>
        <w:rPr>
          <w:rFonts w:hint="eastAsia"/>
          <w:kern w:val="0"/>
          <w:sz w:val="24"/>
          <w:szCs w:val="22"/>
        </w:rPr>
        <w:t>产品</w:t>
      </w:r>
      <w:r>
        <w:rPr>
          <w:kern w:val="0"/>
          <w:sz w:val="24"/>
          <w:szCs w:val="22"/>
        </w:rPr>
        <w:t>定位。</w:t>
      </w:r>
    </w:p>
    <w:p w:rsidR="0016189C" w:rsidRDefault="00B34D58">
      <w:pPr>
        <w:spacing w:line="360" w:lineRule="auto"/>
        <w:ind w:firstLineChars="200" w:firstLine="480"/>
        <w:rPr>
          <w:kern w:val="0"/>
          <w:sz w:val="24"/>
          <w:szCs w:val="22"/>
        </w:rPr>
      </w:pPr>
      <w:r>
        <w:rPr>
          <w:kern w:val="0"/>
          <w:sz w:val="24"/>
          <w:szCs w:val="22"/>
        </w:rPr>
        <w:t>上述调整对本基金投资运作、基金份额持有人利益无实质性不利影响。</w:t>
      </w:r>
    </w:p>
    <w:p w:rsidR="0016189C" w:rsidRDefault="0016189C">
      <w:pPr>
        <w:spacing w:line="360" w:lineRule="auto"/>
        <w:ind w:firstLineChars="200" w:firstLine="480"/>
        <w:rPr>
          <w:kern w:val="0"/>
          <w:sz w:val="24"/>
          <w:szCs w:val="22"/>
        </w:rPr>
      </w:pPr>
    </w:p>
    <w:p w:rsidR="0016189C" w:rsidRDefault="0016189C">
      <w:pPr>
        <w:rPr>
          <w:szCs w:val="22"/>
        </w:rPr>
      </w:pPr>
    </w:p>
    <w:p w:rsidR="0016189C" w:rsidRDefault="0016189C">
      <w:pPr>
        <w:adjustRightInd w:val="0"/>
        <w:snapToGrid w:val="0"/>
        <w:spacing w:line="460" w:lineRule="exact"/>
        <w:ind w:right="240" w:firstLine="480"/>
        <w:jc w:val="left"/>
        <w:rPr>
          <w:sz w:val="24"/>
        </w:rPr>
      </w:pPr>
    </w:p>
    <w:p w:rsidR="0016189C" w:rsidRDefault="0016189C">
      <w:pPr>
        <w:adjustRightInd w:val="0"/>
        <w:snapToGrid w:val="0"/>
        <w:spacing w:line="460" w:lineRule="exact"/>
        <w:ind w:right="240" w:firstLine="480"/>
        <w:jc w:val="left"/>
        <w:rPr>
          <w:sz w:val="24"/>
        </w:rPr>
      </w:pPr>
    </w:p>
    <w:sectPr w:rsidR="0016189C" w:rsidSect="00CF288F">
      <w:footerReference w:type="default" r:id="rId7"/>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288F" w:rsidRDefault="00CF288F" w:rsidP="00CF288F">
      <w:r>
        <w:separator/>
      </w:r>
    </w:p>
  </w:endnote>
  <w:endnote w:type="continuationSeparator" w:id="0">
    <w:p w:rsidR="00CF288F" w:rsidRDefault="00CF288F" w:rsidP="00CF28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 w:name="仿宋_GB2312">
    <w:altName w:val="仿宋"/>
    <w:panose1 w:val="02010609030101010101"/>
    <w:charset w:val="86"/>
    <w:family w:val="modern"/>
    <w:pitch w:val="default"/>
    <w:sig w:usb0="00000000" w:usb1="00000000" w:usb2="00000000" w:usb3="00000000" w:csb0="00040000" w:csb1="00000000"/>
  </w:font>
  <w:font w:name="Courier New">
    <w:panose1 w:val="02070309020205020404"/>
    <w:charset w:val="00"/>
    <w:family w:val="modern"/>
    <w:notTrueType/>
    <w:pitch w:val="fixed"/>
    <w:sig w:usb0="00000003" w:usb1="00000000" w:usb2="00000000" w:usb3="00000000" w:csb0="00000001" w:csb1="00000000"/>
  </w:font>
  <w:font w:name="等线">
    <w:altName w:val="DengXian"/>
    <w:charset w:val="86"/>
    <w:family w:val="auto"/>
    <w:pitch w:val="variable"/>
    <w:sig w:usb0="A00002BF"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89C" w:rsidRDefault="00CF288F">
    <w:pPr>
      <w:jc w:val="center"/>
    </w:pPr>
    <w:r w:rsidRPr="00CF288F">
      <w:fldChar w:fldCharType="begin"/>
    </w:r>
    <w:r w:rsidR="00B34D58">
      <w:instrText xml:space="preserve"> PAGE   \* MERGEFORMAT </w:instrText>
    </w:r>
    <w:r w:rsidRPr="00CF288F">
      <w:fldChar w:fldCharType="separate"/>
    </w:r>
    <w:r w:rsidR="00B34D58" w:rsidRPr="00B34D58">
      <w:rPr>
        <w:noProof/>
        <w:lang w:val="zh-CN"/>
      </w:rPr>
      <w:t>1</w:t>
    </w:r>
    <w:r>
      <w:rPr>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288F" w:rsidRDefault="00CF288F" w:rsidP="00CF288F">
      <w:r>
        <w:separator/>
      </w:r>
    </w:p>
  </w:footnote>
  <w:footnote w:type="continuationSeparator" w:id="0">
    <w:p w:rsidR="00CF288F" w:rsidRDefault="00CF288F" w:rsidP="00CF288F">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王子豪">
    <w15:presenceInfo w15:providerId="None" w15:userId="王子豪"/>
  </w15:person>
  <w15:person w15:author="姚栋梁">
    <w15:presenceInfo w15:providerId="None" w15:userId="姚栋梁"/>
  </w15:person>
  <w15:person w15:author="崔吴冰">
    <w15:presenceInfo w15:providerId="None" w15:userId="崔吴冰"/>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A38BC"/>
    <w:rsid w:val="9E2393BC"/>
    <w:rsid w:val="9F7E456B"/>
    <w:rsid w:val="C5DFDD9B"/>
    <w:rsid w:val="C6C45042"/>
    <w:rsid w:val="CE6F5EE7"/>
    <w:rsid w:val="DB5F4913"/>
    <w:rsid w:val="DE6A1415"/>
    <w:rsid w:val="DF3670DF"/>
    <w:rsid w:val="ED6EE345"/>
    <w:rsid w:val="F6E73602"/>
    <w:rsid w:val="F7FDBDFB"/>
    <w:rsid w:val="FE7E496E"/>
    <w:rsid w:val="FEF78620"/>
    <w:rsid w:val="00000065"/>
    <w:rsid w:val="00003C93"/>
    <w:rsid w:val="00005EBA"/>
    <w:rsid w:val="00013779"/>
    <w:rsid w:val="000173F2"/>
    <w:rsid w:val="00022A7C"/>
    <w:rsid w:val="000246C6"/>
    <w:rsid w:val="00035613"/>
    <w:rsid w:val="00040DA8"/>
    <w:rsid w:val="00047A24"/>
    <w:rsid w:val="000526A9"/>
    <w:rsid w:val="000706C8"/>
    <w:rsid w:val="00074BC1"/>
    <w:rsid w:val="00077A43"/>
    <w:rsid w:val="0008647F"/>
    <w:rsid w:val="000874DA"/>
    <w:rsid w:val="00087ACA"/>
    <w:rsid w:val="00087FA5"/>
    <w:rsid w:val="000977E1"/>
    <w:rsid w:val="000C6AC8"/>
    <w:rsid w:val="000D0CD0"/>
    <w:rsid w:val="000D1E80"/>
    <w:rsid w:val="000D5D62"/>
    <w:rsid w:val="000D72F4"/>
    <w:rsid w:val="000F6254"/>
    <w:rsid w:val="0010006D"/>
    <w:rsid w:val="00106AE1"/>
    <w:rsid w:val="00112A1A"/>
    <w:rsid w:val="00112DE1"/>
    <w:rsid w:val="001145EC"/>
    <w:rsid w:val="0011579C"/>
    <w:rsid w:val="00116047"/>
    <w:rsid w:val="00116734"/>
    <w:rsid w:val="001233DA"/>
    <w:rsid w:val="00126592"/>
    <w:rsid w:val="00137EE5"/>
    <w:rsid w:val="001412A7"/>
    <w:rsid w:val="00143314"/>
    <w:rsid w:val="0014486A"/>
    <w:rsid w:val="0014725D"/>
    <w:rsid w:val="00147497"/>
    <w:rsid w:val="00160556"/>
    <w:rsid w:val="0016189C"/>
    <w:rsid w:val="00164BC0"/>
    <w:rsid w:val="00177E74"/>
    <w:rsid w:val="00180381"/>
    <w:rsid w:val="00181FA8"/>
    <w:rsid w:val="00182296"/>
    <w:rsid w:val="00184011"/>
    <w:rsid w:val="00186F1C"/>
    <w:rsid w:val="001A3497"/>
    <w:rsid w:val="001A38BC"/>
    <w:rsid w:val="001A4A68"/>
    <w:rsid w:val="001B063A"/>
    <w:rsid w:val="001B6821"/>
    <w:rsid w:val="001B7AA4"/>
    <w:rsid w:val="001C1B29"/>
    <w:rsid w:val="001C3BAE"/>
    <w:rsid w:val="001D22F3"/>
    <w:rsid w:val="001D4017"/>
    <w:rsid w:val="001D430D"/>
    <w:rsid w:val="001F4DB1"/>
    <w:rsid w:val="001F6B75"/>
    <w:rsid w:val="00200221"/>
    <w:rsid w:val="0021251F"/>
    <w:rsid w:val="002151DD"/>
    <w:rsid w:val="00221A80"/>
    <w:rsid w:val="00223F7F"/>
    <w:rsid w:val="00226BF3"/>
    <w:rsid w:val="00231437"/>
    <w:rsid w:val="00240DEF"/>
    <w:rsid w:val="002630DD"/>
    <w:rsid w:val="00265C95"/>
    <w:rsid w:val="002760F2"/>
    <w:rsid w:val="00287831"/>
    <w:rsid w:val="002A1749"/>
    <w:rsid w:val="002C0F74"/>
    <w:rsid w:val="002C5DA6"/>
    <w:rsid w:val="002D1FCF"/>
    <w:rsid w:val="002D4E66"/>
    <w:rsid w:val="002D77DB"/>
    <w:rsid w:val="002E2CD8"/>
    <w:rsid w:val="002E5AD9"/>
    <w:rsid w:val="002E63BF"/>
    <w:rsid w:val="002F3650"/>
    <w:rsid w:val="003005D8"/>
    <w:rsid w:val="00301FBB"/>
    <w:rsid w:val="00303620"/>
    <w:rsid w:val="00306FDD"/>
    <w:rsid w:val="003137EC"/>
    <w:rsid w:val="0031786C"/>
    <w:rsid w:val="00320A20"/>
    <w:rsid w:val="003237EE"/>
    <w:rsid w:val="00327BA2"/>
    <w:rsid w:val="00333045"/>
    <w:rsid w:val="0034212E"/>
    <w:rsid w:val="00343521"/>
    <w:rsid w:val="00344D40"/>
    <w:rsid w:val="003560CF"/>
    <w:rsid w:val="00366842"/>
    <w:rsid w:val="003763E5"/>
    <w:rsid w:val="0038716C"/>
    <w:rsid w:val="003923B0"/>
    <w:rsid w:val="00392D72"/>
    <w:rsid w:val="0039355A"/>
    <w:rsid w:val="00396394"/>
    <w:rsid w:val="003A4492"/>
    <w:rsid w:val="003B0D46"/>
    <w:rsid w:val="003B1934"/>
    <w:rsid w:val="003B2AA9"/>
    <w:rsid w:val="003B3FD0"/>
    <w:rsid w:val="003D2828"/>
    <w:rsid w:val="003D5676"/>
    <w:rsid w:val="003D70BD"/>
    <w:rsid w:val="003E0ACD"/>
    <w:rsid w:val="003E1945"/>
    <w:rsid w:val="003E377F"/>
    <w:rsid w:val="003E6CFE"/>
    <w:rsid w:val="003F2516"/>
    <w:rsid w:val="003F2D9D"/>
    <w:rsid w:val="003F6134"/>
    <w:rsid w:val="00401C46"/>
    <w:rsid w:val="00404BDF"/>
    <w:rsid w:val="00416947"/>
    <w:rsid w:val="00424B48"/>
    <w:rsid w:val="00430206"/>
    <w:rsid w:val="0044610C"/>
    <w:rsid w:val="004539F0"/>
    <w:rsid w:val="004541CE"/>
    <w:rsid w:val="00455EFC"/>
    <w:rsid w:val="00457D61"/>
    <w:rsid w:val="004611AF"/>
    <w:rsid w:val="0046258C"/>
    <w:rsid w:val="00463263"/>
    <w:rsid w:val="0046356D"/>
    <w:rsid w:val="00465FE0"/>
    <w:rsid w:val="004736FE"/>
    <w:rsid w:val="00475415"/>
    <w:rsid w:val="00476701"/>
    <w:rsid w:val="00484870"/>
    <w:rsid w:val="004A2494"/>
    <w:rsid w:val="004A2A90"/>
    <w:rsid w:val="004A3919"/>
    <w:rsid w:val="004A42AE"/>
    <w:rsid w:val="004B2A7C"/>
    <w:rsid w:val="004D701A"/>
    <w:rsid w:val="004E42C4"/>
    <w:rsid w:val="004E7AA1"/>
    <w:rsid w:val="005023B3"/>
    <w:rsid w:val="0050644F"/>
    <w:rsid w:val="00511CBE"/>
    <w:rsid w:val="00515D6B"/>
    <w:rsid w:val="00520E79"/>
    <w:rsid w:val="005271B2"/>
    <w:rsid w:val="0053161A"/>
    <w:rsid w:val="00536913"/>
    <w:rsid w:val="005414E3"/>
    <w:rsid w:val="00542D6F"/>
    <w:rsid w:val="00545B70"/>
    <w:rsid w:val="00546235"/>
    <w:rsid w:val="00564483"/>
    <w:rsid w:val="00571200"/>
    <w:rsid w:val="00585C51"/>
    <w:rsid w:val="00587DB6"/>
    <w:rsid w:val="00587FB9"/>
    <w:rsid w:val="00593D62"/>
    <w:rsid w:val="00593EA0"/>
    <w:rsid w:val="005A3A17"/>
    <w:rsid w:val="005A6525"/>
    <w:rsid w:val="005A73C1"/>
    <w:rsid w:val="005A7FB6"/>
    <w:rsid w:val="005B6CD3"/>
    <w:rsid w:val="005C0CA5"/>
    <w:rsid w:val="005C3FCB"/>
    <w:rsid w:val="005D1704"/>
    <w:rsid w:val="005D34D4"/>
    <w:rsid w:val="005D38C0"/>
    <w:rsid w:val="005D555D"/>
    <w:rsid w:val="005D7BA1"/>
    <w:rsid w:val="005D7D73"/>
    <w:rsid w:val="005E0315"/>
    <w:rsid w:val="005E0D3D"/>
    <w:rsid w:val="005E2BB8"/>
    <w:rsid w:val="005F5C25"/>
    <w:rsid w:val="005F64F6"/>
    <w:rsid w:val="0060686C"/>
    <w:rsid w:val="00611A11"/>
    <w:rsid w:val="0061234E"/>
    <w:rsid w:val="00614CBC"/>
    <w:rsid w:val="006213CC"/>
    <w:rsid w:val="006237A4"/>
    <w:rsid w:val="006256BC"/>
    <w:rsid w:val="00631464"/>
    <w:rsid w:val="00647A51"/>
    <w:rsid w:val="00647D13"/>
    <w:rsid w:val="006601FB"/>
    <w:rsid w:val="00662B50"/>
    <w:rsid w:val="00670ADC"/>
    <w:rsid w:val="006756E7"/>
    <w:rsid w:val="00680CD4"/>
    <w:rsid w:val="00685003"/>
    <w:rsid w:val="00686846"/>
    <w:rsid w:val="00687901"/>
    <w:rsid w:val="00690696"/>
    <w:rsid w:val="006A2F1F"/>
    <w:rsid w:val="006A48DC"/>
    <w:rsid w:val="006B08E5"/>
    <w:rsid w:val="006B3D19"/>
    <w:rsid w:val="006B5753"/>
    <w:rsid w:val="006B7D26"/>
    <w:rsid w:val="006C5DA8"/>
    <w:rsid w:val="006E1721"/>
    <w:rsid w:val="006E1770"/>
    <w:rsid w:val="006E2C21"/>
    <w:rsid w:val="006E30D8"/>
    <w:rsid w:val="00702E01"/>
    <w:rsid w:val="0070320C"/>
    <w:rsid w:val="007038EB"/>
    <w:rsid w:val="00710DFA"/>
    <w:rsid w:val="0072255B"/>
    <w:rsid w:val="007252DA"/>
    <w:rsid w:val="0072556E"/>
    <w:rsid w:val="007371CD"/>
    <w:rsid w:val="00737EB2"/>
    <w:rsid w:val="00737FDD"/>
    <w:rsid w:val="007539E3"/>
    <w:rsid w:val="00754FDF"/>
    <w:rsid w:val="0076428A"/>
    <w:rsid w:val="00780E73"/>
    <w:rsid w:val="00783BBA"/>
    <w:rsid w:val="0079536D"/>
    <w:rsid w:val="0079764F"/>
    <w:rsid w:val="007A0F8B"/>
    <w:rsid w:val="007B7D8D"/>
    <w:rsid w:val="007D1C69"/>
    <w:rsid w:val="007D586B"/>
    <w:rsid w:val="007E14EA"/>
    <w:rsid w:val="007F08F7"/>
    <w:rsid w:val="008019E5"/>
    <w:rsid w:val="00801DD7"/>
    <w:rsid w:val="00810D99"/>
    <w:rsid w:val="0081350F"/>
    <w:rsid w:val="00814E76"/>
    <w:rsid w:val="008229BE"/>
    <w:rsid w:val="0082398F"/>
    <w:rsid w:val="008251DD"/>
    <w:rsid w:val="00830064"/>
    <w:rsid w:val="00834F9E"/>
    <w:rsid w:val="0083516B"/>
    <w:rsid w:val="008604DF"/>
    <w:rsid w:val="00873A2B"/>
    <w:rsid w:val="008753D5"/>
    <w:rsid w:val="008845C9"/>
    <w:rsid w:val="00893F2E"/>
    <w:rsid w:val="0089588A"/>
    <w:rsid w:val="008A2D58"/>
    <w:rsid w:val="008A565F"/>
    <w:rsid w:val="008A56D3"/>
    <w:rsid w:val="008A609C"/>
    <w:rsid w:val="008A7E86"/>
    <w:rsid w:val="008B1C3D"/>
    <w:rsid w:val="008B1CCE"/>
    <w:rsid w:val="008B22E0"/>
    <w:rsid w:val="008B7088"/>
    <w:rsid w:val="008C6F92"/>
    <w:rsid w:val="008D5D56"/>
    <w:rsid w:val="008E2AEA"/>
    <w:rsid w:val="008E7B4D"/>
    <w:rsid w:val="008E7CE2"/>
    <w:rsid w:val="008F3050"/>
    <w:rsid w:val="00904524"/>
    <w:rsid w:val="0091353F"/>
    <w:rsid w:val="00915C5D"/>
    <w:rsid w:val="00923390"/>
    <w:rsid w:val="0092413F"/>
    <w:rsid w:val="00925049"/>
    <w:rsid w:val="00931D3E"/>
    <w:rsid w:val="009360CF"/>
    <w:rsid w:val="00941882"/>
    <w:rsid w:val="00943F34"/>
    <w:rsid w:val="00947378"/>
    <w:rsid w:val="00961071"/>
    <w:rsid w:val="00962DA7"/>
    <w:rsid w:val="0097188C"/>
    <w:rsid w:val="009731EA"/>
    <w:rsid w:val="009734B8"/>
    <w:rsid w:val="00974F97"/>
    <w:rsid w:val="0097543C"/>
    <w:rsid w:val="009759A1"/>
    <w:rsid w:val="009770E1"/>
    <w:rsid w:val="00984E2A"/>
    <w:rsid w:val="009877E1"/>
    <w:rsid w:val="0099072C"/>
    <w:rsid w:val="00995438"/>
    <w:rsid w:val="009A158B"/>
    <w:rsid w:val="009A5F0C"/>
    <w:rsid w:val="009B2386"/>
    <w:rsid w:val="009B2987"/>
    <w:rsid w:val="009B3544"/>
    <w:rsid w:val="009B3F82"/>
    <w:rsid w:val="009B5D02"/>
    <w:rsid w:val="009B6E39"/>
    <w:rsid w:val="009B70F5"/>
    <w:rsid w:val="009B7283"/>
    <w:rsid w:val="009C2B54"/>
    <w:rsid w:val="009C3676"/>
    <w:rsid w:val="009E27BE"/>
    <w:rsid w:val="009E5624"/>
    <w:rsid w:val="00A02732"/>
    <w:rsid w:val="00A14A7B"/>
    <w:rsid w:val="00A20CE4"/>
    <w:rsid w:val="00A42004"/>
    <w:rsid w:val="00A45608"/>
    <w:rsid w:val="00A4569F"/>
    <w:rsid w:val="00A5398B"/>
    <w:rsid w:val="00A64176"/>
    <w:rsid w:val="00A70E63"/>
    <w:rsid w:val="00A73DE0"/>
    <w:rsid w:val="00A74E97"/>
    <w:rsid w:val="00A95AEF"/>
    <w:rsid w:val="00AA4B11"/>
    <w:rsid w:val="00AA54DF"/>
    <w:rsid w:val="00AB3225"/>
    <w:rsid w:val="00AC0638"/>
    <w:rsid w:val="00AC51F4"/>
    <w:rsid w:val="00AC7F59"/>
    <w:rsid w:val="00AD5461"/>
    <w:rsid w:val="00AF0CBD"/>
    <w:rsid w:val="00AF391E"/>
    <w:rsid w:val="00AF3BDB"/>
    <w:rsid w:val="00B04C95"/>
    <w:rsid w:val="00B1700D"/>
    <w:rsid w:val="00B237AD"/>
    <w:rsid w:val="00B252F6"/>
    <w:rsid w:val="00B2732C"/>
    <w:rsid w:val="00B34D58"/>
    <w:rsid w:val="00B35B55"/>
    <w:rsid w:val="00B40CF9"/>
    <w:rsid w:val="00B43216"/>
    <w:rsid w:val="00B46214"/>
    <w:rsid w:val="00B4729D"/>
    <w:rsid w:val="00B47BB2"/>
    <w:rsid w:val="00B47FA3"/>
    <w:rsid w:val="00B51E12"/>
    <w:rsid w:val="00B6494A"/>
    <w:rsid w:val="00B654B0"/>
    <w:rsid w:val="00B90F5C"/>
    <w:rsid w:val="00B93B7B"/>
    <w:rsid w:val="00B9409F"/>
    <w:rsid w:val="00BA7C2A"/>
    <w:rsid w:val="00BB08FF"/>
    <w:rsid w:val="00BB15BC"/>
    <w:rsid w:val="00BB70DD"/>
    <w:rsid w:val="00BC10E2"/>
    <w:rsid w:val="00BC3B77"/>
    <w:rsid w:val="00BD5F57"/>
    <w:rsid w:val="00BE393A"/>
    <w:rsid w:val="00BF7B0A"/>
    <w:rsid w:val="00BF7F13"/>
    <w:rsid w:val="00C012B4"/>
    <w:rsid w:val="00C203FE"/>
    <w:rsid w:val="00C22C6D"/>
    <w:rsid w:val="00C27DC8"/>
    <w:rsid w:val="00C306C1"/>
    <w:rsid w:val="00C3084B"/>
    <w:rsid w:val="00C33303"/>
    <w:rsid w:val="00C37A2D"/>
    <w:rsid w:val="00C602CA"/>
    <w:rsid w:val="00C6045C"/>
    <w:rsid w:val="00C64767"/>
    <w:rsid w:val="00C706C0"/>
    <w:rsid w:val="00C70C17"/>
    <w:rsid w:val="00C74D45"/>
    <w:rsid w:val="00C81DDB"/>
    <w:rsid w:val="00C910A3"/>
    <w:rsid w:val="00C9561D"/>
    <w:rsid w:val="00C95F01"/>
    <w:rsid w:val="00CA264C"/>
    <w:rsid w:val="00CA7C1A"/>
    <w:rsid w:val="00CB0D25"/>
    <w:rsid w:val="00CB3CA5"/>
    <w:rsid w:val="00CC085C"/>
    <w:rsid w:val="00CC5144"/>
    <w:rsid w:val="00CE28F8"/>
    <w:rsid w:val="00CF288F"/>
    <w:rsid w:val="00CF29A7"/>
    <w:rsid w:val="00CF74F8"/>
    <w:rsid w:val="00CF788E"/>
    <w:rsid w:val="00D139F2"/>
    <w:rsid w:val="00D14FCF"/>
    <w:rsid w:val="00D201C1"/>
    <w:rsid w:val="00D21E5E"/>
    <w:rsid w:val="00D2297C"/>
    <w:rsid w:val="00D316C8"/>
    <w:rsid w:val="00D31F8D"/>
    <w:rsid w:val="00D3648B"/>
    <w:rsid w:val="00D40716"/>
    <w:rsid w:val="00D40F0D"/>
    <w:rsid w:val="00D46095"/>
    <w:rsid w:val="00D46A49"/>
    <w:rsid w:val="00D47B18"/>
    <w:rsid w:val="00D606DB"/>
    <w:rsid w:val="00D626B5"/>
    <w:rsid w:val="00D6341F"/>
    <w:rsid w:val="00D641C4"/>
    <w:rsid w:val="00D678B7"/>
    <w:rsid w:val="00D80B19"/>
    <w:rsid w:val="00D97DFA"/>
    <w:rsid w:val="00DB0E19"/>
    <w:rsid w:val="00DC3E49"/>
    <w:rsid w:val="00DD44D0"/>
    <w:rsid w:val="00DD580B"/>
    <w:rsid w:val="00DE16D0"/>
    <w:rsid w:val="00DE7208"/>
    <w:rsid w:val="00DF4510"/>
    <w:rsid w:val="00DF66C8"/>
    <w:rsid w:val="00DF77BE"/>
    <w:rsid w:val="00DF7DC4"/>
    <w:rsid w:val="00E15C08"/>
    <w:rsid w:val="00E165AB"/>
    <w:rsid w:val="00E20547"/>
    <w:rsid w:val="00E22A0D"/>
    <w:rsid w:val="00E2377E"/>
    <w:rsid w:val="00E26601"/>
    <w:rsid w:val="00E310EC"/>
    <w:rsid w:val="00E40365"/>
    <w:rsid w:val="00E4489A"/>
    <w:rsid w:val="00E5109C"/>
    <w:rsid w:val="00E618D3"/>
    <w:rsid w:val="00E8439C"/>
    <w:rsid w:val="00E90975"/>
    <w:rsid w:val="00E9242B"/>
    <w:rsid w:val="00E97154"/>
    <w:rsid w:val="00E97A09"/>
    <w:rsid w:val="00EA16B5"/>
    <w:rsid w:val="00EA4CA4"/>
    <w:rsid w:val="00EA52AA"/>
    <w:rsid w:val="00EB718B"/>
    <w:rsid w:val="00EB7571"/>
    <w:rsid w:val="00EC2760"/>
    <w:rsid w:val="00EC49D4"/>
    <w:rsid w:val="00ED05DF"/>
    <w:rsid w:val="00ED7792"/>
    <w:rsid w:val="00EE0F98"/>
    <w:rsid w:val="00EE20AD"/>
    <w:rsid w:val="00EE56DC"/>
    <w:rsid w:val="00F01DE8"/>
    <w:rsid w:val="00F0396E"/>
    <w:rsid w:val="00F12AD8"/>
    <w:rsid w:val="00F14D53"/>
    <w:rsid w:val="00F25847"/>
    <w:rsid w:val="00F42C33"/>
    <w:rsid w:val="00F43DF3"/>
    <w:rsid w:val="00F46D85"/>
    <w:rsid w:val="00F5561F"/>
    <w:rsid w:val="00F55F8F"/>
    <w:rsid w:val="00F64D21"/>
    <w:rsid w:val="00F66196"/>
    <w:rsid w:val="00F72763"/>
    <w:rsid w:val="00F80000"/>
    <w:rsid w:val="00F82A59"/>
    <w:rsid w:val="00FB5350"/>
    <w:rsid w:val="00FB650B"/>
    <w:rsid w:val="00FC78F3"/>
    <w:rsid w:val="00FD131E"/>
    <w:rsid w:val="00FE4932"/>
    <w:rsid w:val="00FF3E76"/>
    <w:rsid w:val="00FF46DA"/>
    <w:rsid w:val="00FF7774"/>
    <w:rsid w:val="27757E2F"/>
    <w:rsid w:val="57FFC029"/>
    <w:rsid w:val="5DFA57D2"/>
    <w:rsid w:val="5FEE73A8"/>
    <w:rsid w:val="6FDEB027"/>
    <w:rsid w:val="6FFD2064"/>
    <w:rsid w:val="6FFFDDB8"/>
    <w:rsid w:val="75EF2A88"/>
    <w:rsid w:val="79FB0170"/>
    <w:rsid w:val="7BC40CFA"/>
    <w:rsid w:val="7BDF4BF2"/>
    <w:rsid w:val="7BFB59DE"/>
    <w:rsid w:val="7DFD6D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annotation text" w:semiHidden="0" w:unhideWhenUsed="0" w:qFormat="1"/>
    <w:lsdException w:name="header" w:semiHidden="0" w:unhideWhenUsed="0" w:qFormat="1"/>
    <w:lsdException w:name="footer" w:semiHidden="0" w:unhideWhenUsed="0" w:qFormat="1"/>
    <w:lsdException w:name="caption" w:uiPriority="35" w:qFormat="1"/>
    <w:lsdException w:name="annotation reference" w:semiHidden="0" w:unhideWhenUsed="0"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annotation subject" w:semiHidden="0" w:unhideWhenUsed="0" w:qFormat="1"/>
    <w:lsdException w:name="Balloon Text" w:semiHidden="0" w:unhideWhenUsed="0"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88F"/>
    <w:pPr>
      <w:widowControl w:val="0"/>
      <w:jc w:val="both"/>
    </w:pPr>
    <w:rPr>
      <w:rFonts w:ascii="Times New Roman" w:hAnsi="Times New Roman" w:cs="Times New Roman"/>
      <w:kern w:val="2"/>
      <w:sz w:val="21"/>
      <w:szCs w:val="24"/>
    </w:rPr>
  </w:style>
  <w:style w:type="paragraph" w:styleId="1">
    <w:name w:val="heading 1"/>
    <w:basedOn w:val="a"/>
    <w:next w:val="a"/>
    <w:link w:val="1Char"/>
    <w:qFormat/>
    <w:rsid w:val="00CF288F"/>
    <w:pPr>
      <w:keepNext/>
      <w:keepLines/>
      <w:spacing w:before="120" w:after="120" w:line="360" w:lineRule="auto"/>
      <w:outlineLvl w:val="0"/>
    </w:pPr>
    <w:rPr>
      <w:rFonts w:ascii="宋体"/>
      <w:b/>
      <w:color w:val="000000"/>
      <w:kern w:val="0"/>
      <w:sz w:val="24"/>
      <w:szCs w:val="20"/>
    </w:rPr>
  </w:style>
  <w:style w:type="paragraph" w:styleId="2">
    <w:name w:val="heading 2"/>
    <w:basedOn w:val="a"/>
    <w:next w:val="a"/>
    <w:link w:val="2Char"/>
    <w:qFormat/>
    <w:rsid w:val="00CF288F"/>
    <w:pPr>
      <w:keepNext/>
      <w:keepLines/>
      <w:spacing w:before="260" w:after="260" w:line="416" w:lineRule="auto"/>
      <w:outlineLvl w:val="1"/>
    </w:pPr>
    <w:rPr>
      <w:rFonts w:ascii="Calibri Light" w:hAnsi="Calibri Light" w:cs="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rsid w:val="00CF288F"/>
    <w:pPr>
      <w:ind w:firstLineChars="200" w:firstLine="420"/>
    </w:pPr>
  </w:style>
  <w:style w:type="paragraph" w:styleId="a4">
    <w:name w:val="annotation text"/>
    <w:basedOn w:val="a"/>
    <w:link w:val="Char"/>
    <w:uiPriority w:val="99"/>
    <w:qFormat/>
    <w:rsid w:val="00CF288F"/>
    <w:pPr>
      <w:jc w:val="left"/>
    </w:pPr>
  </w:style>
  <w:style w:type="paragraph" w:styleId="a5">
    <w:name w:val="Body Text Indent"/>
    <w:basedOn w:val="a"/>
    <w:link w:val="Char0"/>
    <w:qFormat/>
    <w:rsid w:val="00CF288F"/>
    <w:pPr>
      <w:spacing w:line="400" w:lineRule="exact"/>
      <w:ind w:firstLineChars="192" w:firstLine="538"/>
    </w:pPr>
    <w:rPr>
      <w:rFonts w:ascii="仿宋_GB2312" w:eastAsia="仿宋_GB2312" w:hAnsi="宋体"/>
      <w:color w:val="000000"/>
      <w:sz w:val="28"/>
    </w:rPr>
  </w:style>
  <w:style w:type="paragraph" w:styleId="a6">
    <w:name w:val="Plain Text"/>
    <w:basedOn w:val="a"/>
    <w:link w:val="Char1"/>
    <w:qFormat/>
    <w:rsid w:val="00CF288F"/>
    <w:rPr>
      <w:rFonts w:ascii="宋体" w:hAnsi="Courier New" w:cs="Courier New"/>
      <w:szCs w:val="21"/>
    </w:rPr>
  </w:style>
  <w:style w:type="paragraph" w:styleId="a7">
    <w:name w:val="Balloon Text"/>
    <w:basedOn w:val="a"/>
    <w:link w:val="Char2"/>
    <w:uiPriority w:val="99"/>
    <w:qFormat/>
    <w:rsid w:val="00CF288F"/>
    <w:rPr>
      <w:sz w:val="18"/>
      <w:szCs w:val="18"/>
    </w:rPr>
  </w:style>
  <w:style w:type="paragraph" w:styleId="a8">
    <w:name w:val="footer"/>
    <w:basedOn w:val="a"/>
    <w:link w:val="Char3"/>
    <w:uiPriority w:val="99"/>
    <w:qFormat/>
    <w:rsid w:val="00CF288F"/>
    <w:pPr>
      <w:tabs>
        <w:tab w:val="center" w:pos="4153"/>
        <w:tab w:val="right" w:pos="8306"/>
      </w:tabs>
      <w:snapToGrid w:val="0"/>
      <w:jc w:val="left"/>
    </w:pPr>
    <w:rPr>
      <w:sz w:val="18"/>
      <w:szCs w:val="18"/>
    </w:rPr>
  </w:style>
  <w:style w:type="paragraph" w:styleId="a9">
    <w:name w:val="header"/>
    <w:basedOn w:val="a"/>
    <w:link w:val="Char4"/>
    <w:uiPriority w:val="99"/>
    <w:qFormat/>
    <w:rsid w:val="00CF288F"/>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CF288F"/>
    <w:pPr>
      <w:tabs>
        <w:tab w:val="right" w:leader="dot" w:pos="8296"/>
      </w:tabs>
      <w:spacing w:line="360" w:lineRule="auto"/>
    </w:pPr>
    <w:rPr>
      <w:szCs w:val="20"/>
    </w:rPr>
  </w:style>
  <w:style w:type="paragraph" w:styleId="aa">
    <w:name w:val="Subtitle"/>
    <w:basedOn w:val="a"/>
    <w:next w:val="a"/>
    <w:link w:val="Char5"/>
    <w:qFormat/>
    <w:rsid w:val="00CF288F"/>
    <w:pPr>
      <w:spacing w:before="240" w:after="60" w:line="312" w:lineRule="auto"/>
      <w:jc w:val="center"/>
      <w:outlineLvl w:val="1"/>
    </w:pPr>
    <w:rPr>
      <w:rFonts w:ascii="Calibri Light" w:hAnsi="Calibri Light"/>
      <w:b/>
      <w:bCs/>
      <w:kern w:val="28"/>
      <w:sz w:val="32"/>
      <w:szCs w:val="32"/>
    </w:rPr>
  </w:style>
  <w:style w:type="paragraph" w:styleId="ab">
    <w:name w:val="annotation subject"/>
    <w:basedOn w:val="a4"/>
    <w:next w:val="a4"/>
    <w:link w:val="Char6"/>
    <w:uiPriority w:val="99"/>
    <w:qFormat/>
    <w:rsid w:val="00CF288F"/>
    <w:rPr>
      <w:b/>
      <w:bCs/>
    </w:rPr>
  </w:style>
  <w:style w:type="table" w:styleId="ac">
    <w:name w:val="Table Grid"/>
    <w:basedOn w:val="a1"/>
    <w:uiPriority w:val="39"/>
    <w:qFormat/>
    <w:rsid w:val="00CF28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qFormat/>
    <w:rsid w:val="00CF288F"/>
    <w:rPr>
      <w:color w:val="0563C1"/>
      <w:u w:val="single"/>
    </w:rPr>
  </w:style>
  <w:style w:type="character" w:styleId="ae">
    <w:name w:val="annotation reference"/>
    <w:basedOn w:val="a0"/>
    <w:uiPriority w:val="99"/>
    <w:qFormat/>
    <w:rsid w:val="00CF288F"/>
    <w:rPr>
      <w:sz w:val="21"/>
      <w:szCs w:val="21"/>
    </w:rPr>
  </w:style>
  <w:style w:type="paragraph" w:styleId="af">
    <w:name w:val="List Paragraph"/>
    <w:basedOn w:val="a"/>
    <w:uiPriority w:val="34"/>
    <w:qFormat/>
    <w:rsid w:val="00CF288F"/>
    <w:pPr>
      <w:ind w:firstLineChars="200" w:firstLine="420"/>
    </w:pPr>
  </w:style>
  <w:style w:type="character" w:customStyle="1" w:styleId="Char2">
    <w:name w:val="批注框文本 Char"/>
    <w:basedOn w:val="a0"/>
    <w:link w:val="a7"/>
    <w:uiPriority w:val="99"/>
    <w:qFormat/>
    <w:rsid w:val="00CF288F"/>
    <w:rPr>
      <w:rFonts w:ascii="Times New Roman" w:eastAsia="宋体" w:hAnsi="Times New Roman" w:cs="Times New Roman"/>
      <w:sz w:val="18"/>
      <w:szCs w:val="18"/>
    </w:rPr>
  </w:style>
  <w:style w:type="character" w:customStyle="1" w:styleId="Char">
    <w:name w:val="批注文字 Char"/>
    <w:basedOn w:val="a0"/>
    <w:link w:val="a4"/>
    <w:uiPriority w:val="99"/>
    <w:qFormat/>
    <w:rsid w:val="00CF288F"/>
    <w:rPr>
      <w:rFonts w:ascii="Times New Roman" w:eastAsia="宋体" w:hAnsi="Times New Roman" w:cs="Times New Roman"/>
      <w:szCs w:val="24"/>
    </w:rPr>
  </w:style>
  <w:style w:type="character" w:customStyle="1" w:styleId="Char6">
    <w:name w:val="批注主题 Char"/>
    <w:basedOn w:val="Char"/>
    <w:link w:val="ab"/>
    <w:uiPriority w:val="99"/>
    <w:qFormat/>
    <w:rsid w:val="00CF288F"/>
    <w:rPr>
      <w:rFonts w:ascii="Times New Roman" w:eastAsia="宋体" w:hAnsi="Times New Roman" w:cs="Times New Roman"/>
      <w:b/>
      <w:bCs/>
      <w:szCs w:val="24"/>
    </w:rPr>
  </w:style>
  <w:style w:type="character" w:customStyle="1" w:styleId="Char4">
    <w:name w:val="页眉 Char"/>
    <w:basedOn w:val="a0"/>
    <w:link w:val="a9"/>
    <w:uiPriority w:val="99"/>
    <w:qFormat/>
    <w:rsid w:val="00CF288F"/>
    <w:rPr>
      <w:rFonts w:ascii="Times New Roman" w:eastAsia="宋体" w:hAnsi="Times New Roman" w:cs="Times New Roman"/>
      <w:sz w:val="18"/>
      <w:szCs w:val="18"/>
    </w:rPr>
  </w:style>
  <w:style w:type="character" w:customStyle="1" w:styleId="Char3">
    <w:name w:val="页脚 Char"/>
    <w:basedOn w:val="a0"/>
    <w:link w:val="a8"/>
    <w:uiPriority w:val="99"/>
    <w:qFormat/>
    <w:rsid w:val="00CF288F"/>
    <w:rPr>
      <w:rFonts w:ascii="Times New Roman" w:eastAsia="宋体" w:hAnsi="Times New Roman" w:cs="Times New Roman"/>
      <w:sz w:val="18"/>
      <w:szCs w:val="18"/>
    </w:rPr>
  </w:style>
  <w:style w:type="character" w:customStyle="1" w:styleId="Char5">
    <w:name w:val="副标题 Char"/>
    <w:basedOn w:val="a0"/>
    <w:link w:val="aa"/>
    <w:qFormat/>
    <w:rsid w:val="00CF288F"/>
    <w:rPr>
      <w:rFonts w:ascii="Calibri Light" w:eastAsia="宋体" w:hAnsi="Calibri Light" w:cs="Times New Roman"/>
      <w:b/>
      <w:bCs/>
      <w:kern w:val="28"/>
      <w:sz w:val="32"/>
      <w:szCs w:val="32"/>
    </w:rPr>
  </w:style>
  <w:style w:type="character" w:customStyle="1" w:styleId="Char1">
    <w:name w:val="纯文本 Char"/>
    <w:basedOn w:val="a0"/>
    <w:link w:val="a6"/>
    <w:qFormat/>
    <w:rsid w:val="00CF288F"/>
    <w:rPr>
      <w:rFonts w:ascii="宋体" w:eastAsia="宋体" w:hAnsi="Courier New" w:cs="Courier New"/>
      <w:szCs w:val="21"/>
    </w:rPr>
  </w:style>
  <w:style w:type="character" w:customStyle="1" w:styleId="1Char">
    <w:name w:val="标题 1 Char"/>
    <w:basedOn w:val="a0"/>
    <w:link w:val="1"/>
    <w:qFormat/>
    <w:rsid w:val="00CF288F"/>
    <w:rPr>
      <w:rFonts w:ascii="宋体" w:eastAsia="宋体" w:hAnsi="Times New Roman" w:cs="Times New Roman"/>
      <w:b/>
      <w:color w:val="000000"/>
      <w:kern w:val="0"/>
      <w:sz w:val="24"/>
      <w:szCs w:val="20"/>
    </w:rPr>
  </w:style>
  <w:style w:type="character" w:customStyle="1" w:styleId="2Char">
    <w:name w:val="标题 2 Char"/>
    <w:basedOn w:val="a0"/>
    <w:link w:val="2"/>
    <w:qFormat/>
    <w:rsid w:val="00CF288F"/>
    <w:rPr>
      <w:rFonts w:ascii="Calibri Light" w:eastAsia="宋体" w:hAnsi="Calibri Light" w:cs="宋体"/>
      <w:b/>
      <w:bCs/>
      <w:sz w:val="32"/>
      <w:szCs w:val="32"/>
    </w:rPr>
  </w:style>
  <w:style w:type="character" w:customStyle="1" w:styleId="Char0">
    <w:name w:val="正文文本缩进 Char"/>
    <w:basedOn w:val="a0"/>
    <w:link w:val="a5"/>
    <w:qFormat/>
    <w:rsid w:val="00CF288F"/>
    <w:rPr>
      <w:rFonts w:ascii="仿宋_GB2312" w:eastAsia="仿宋_GB2312" w:hAnsi="宋体" w:cs="Times New Roman"/>
      <w:color w:val="000000"/>
      <w:sz w:val="28"/>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3297</Words>
  <Characters>18799</Characters>
  <Application>Microsoft Office Word</Application>
  <DocSecurity>4</DocSecurity>
  <Lines>156</Lines>
  <Paragraphs>44</Paragraphs>
  <ScaleCrop>false</ScaleCrop>
  <Company/>
  <LinksUpToDate>false</LinksUpToDate>
  <CharactersWithSpaces>22052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2026-04-30T16:01:00Z</dcterms:created>
  <dcterms:modified xsi:type="dcterms:W3CDTF">2026-04-30T16:01:00Z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54BDEA515E77856E26A1E1699C854B3A</vt:lpwstr>
  </property>
  <property fmtid="{D5CDD505-2E9C-101B-9397-08002B2CF9AE}" pid="3" name="KSOProductBuildVer">
    <vt:lpwstr>2052-0.0.0.0</vt:lpwstr>
  </property>
</Properties>
</file>