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047" w:rsidRDefault="00C82047">
      <w:pPr>
        <w:adjustRightInd w:val="0"/>
        <w:snapToGrid w:val="0"/>
        <w:spacing w:line="460" w:lineRule="exact"/>
        <w:ind w:rightChars="40" w:right="84"/>
        <w:jc w:val="center"/>
        <w:rPr>
          <w:b/>
          <w:sz w:val="28"/>
          <w:szCs w:val="28"/>
        </w:rPr>
      </w:pPr>
      <w:bookmarkStart w:id="0" w:name="OLE_LINK5"/>
      <w:bookmarkStart w:id="1" w:name="OLE_LINK7"/>
      <w:bookmarkStart w:id="2" w:name="OLE_LINK4"/>
      <w:bookmarkStart w:id="3" w:name="OLE_LINK6"/>
    </w:p>
    <w:p w:rsidR="00C82047" w:rsidRDefault="00ED7586">
      <w:pPr>
        <w:adjustRightInd w:val="0"/>
        <w:snapToGrid w:val="0"/>
        <w:spacing w:line="460" w:lineRule="exact"/>
        <w:ind w:rightChars="40" w:right="84"/>
        <w:jc w:val="center"/>
        <w:rPr>
          <w:b/>
          <w:sz w:val="28"/>
          <w:szCs w:val="28"/>
        </w:rPr>
      </w:pPr>
      <w:r>
        <w:rPr>
          <w:rFonts w:hint="eastAsia"/>
          <w:b/>
          <w:sz w:val="28"/>
          <w:szCs w:val="28"/>
        </w:rPr>
        <w:t>天弘</w:t>
      </w:r>
      <w:r>
        <w:rPr>
          <w:b/>
          <w:sz w:val="28"/>
          <w:szCs w:val="28"/>
        </w:rPr>
        <w:t>基金管理有限公司关于旗下部分基金调整业绩比较基准</w:t>
      </w:r>
    </w:p>
    <w:p w:rsidR="00C82047" w:rsidRDefault="00ED7586">
      <w:pPr>
        <w:adjustRightInd w:val="0"/>
        <w:snapToGrid w:val="0"/>
        <w:spacing w:line="460" w:lineRule="exact"/>
        <w:ind w:rightChars="40" w:right="84"/>
        <w:jc w:val="center"/>
        <w:rPr>
          <w:b/>
          <w:szCs w:val="21"/>
        </w:rPr>
      </w:pPr>
      <w:r>
        <w:rPr>
          <w:b/>
          <w:kern w:val="0"/>
          <w:sz w:val="28"/>
          <w:szCs w:val="28"/>
        </w:rPr>
        <w:t>并</w:t>
      </w:r>
      <w:r>
        <w:rPr>
          <w:b/>
          <w:sz w:val="28"/>
          <w:szCs w:val="28"/>
        </w:rPr>
        <w:t>修订基金合同</w:t>
      </w:r>
      <w:r>
        <w:rPr>
          <w:rFonts w:hint="eastAsia"/>
          <w:b/>
          <w:sz w:val="28"/>
          <w:szCs w:val="28"/>
        </w:rPr>
        <w:t>等法律文件</w:t>
      </w:r>
      <w:r>
        <w:rPr>
          <w:b/>
          <w:sz w:val="28"/>
          <w:szCs w:val="28"/>
        </w:rPr>
        <w:t>的公告</w:t>
      </w:r>
    </w:p>
    <w:p w:rsidR="00C82047" w:rsidRDefault="00C82047">
      <w:pPr>
        <w:pStyle w:val="af"/>
        <w:adjustRightInd w:val="0"/>
        <w:snapToGrid w:val="0"/>
        <w:spacing w:line="460" w:lineRule="exact"/>
        <w:ind w:firstLine="480"/>
        <w:rPr>
          <w:sz w:val="24"/>
        </w:rPr>
      </w:pPr>
    </w:p>
    <w:p w:rsidR="00C82047" w:rsidRDefault="00ED7586">
      <w:pPr>
        <w:adjustRightInd w:val="0"/>
        <w:snapToGrid w:val="0"/>
        <w:spacing w:line="460" w:lineRule="exact"/>
        <w:ind w:firstLineChars="200" w:firstLine="480"/>
        <w:rPr>
          <w:sz w:val="24"/>
        </w:rPr>
      </w:pPr>
      <w:r>
        <w:rPr>
          <w:rFonts w:hint="eastAsia"/>
          <w:bCs/>
          <w:sz w:val="24"/>
        </w:rPr>
        <w:t>根据</w:t>
      </w:r>
      <w:r>
        <w:rPr>
          <w:bCs/>
          <w:sz w:val="24"/>
        </w:rPr>
        <w:t>《公开募集证券投资基金业绩比较基准指引》</w:t>
      </w:r>
      <w:r>
        <w:rPr>
          <w:rFonts w:hint="eastAsia"/>
          <w:bCs/>
          <w:sz w:val="24"/>
        </w:rPr>
        <w:t>的相关规定</w:t>
      </w:r>
      <w:r>
        <w:rPr>
          <w:bCs/>
          <w:sz w:val="24"/>
        </w:rPr>
        <w:t>，</w:t>
      </w:r>
      <w:r>
        <w:rPr>
          <w:rFonts w:hint="eastAsia"/>
          <w:bCs/>
          <w:sz w:val="24"/>
        </w:rPr>
        <w:t>为</w:t>
      </w:r>
      <w:r>
        <w:rPr>
          <w:bCs/>
          <w:sz w:val="24"/>
        </w:rPr>
        <w:t>更好地反映基金</w:t>
      </w:r>
      <w:r>
        <w:rPr>
          <w:rFonts w:hint="eastAsia"/>
          <w:bCs/>
          <w:sz w:val="24"/>
        </w:rPr>
        <w:t>投资风格</w:t>
      </w:r>
      <w:r>
        <w:rPr>
          <w:bCs/>
          <w:sz w:val="24"/>
        </w:rPr>
        <w:t>，提高基金业绩表现与业绩比较基准的可比性，</w:t>
      </w:r>
      <w:r>
        <w:rPr>
          <w:sz w:val="24"/>
        </w:rPr>
        <w:t>经与各基金托管人协商一致，</w:t>
      </w:r>
      <w:r>
        <w:rPr>
          <w:rFonts w:hint="eastAsia"/>
          <w:sz w:val="24"/>
        </w:rPr>
        <w:t>天弘</w:t>
      </w:r>
      <w:r>
        <w:rPr>
          <w:sz w:val="24"/>
        </w:rPr>
        <w:t>基金管理有限公司（以下简称</w:t>
      </w:r>
      <w:r>
        <w:rPr>
          <w:rFonts w:hint="eastAsia"/>
          <w:sz w:val="24"/>
        </w:rPr>
        <w:t>“</w:t>
      </w:r>
      <w:r>
        <w:rPr>
          <w:sz w:val="24"/>
        </w:rPr>
        <w:t>基金管理人</w:t>
      </w:r>
      <w:r>
        <w:rPr>
          <w:rFonts w:hint="eastAsia"/>
          <w:sz w:val="24"/>
        </w:rPr>
        <w:t>”</w:t>
      </w:r>
      <w:r>
        <w:rPr>
          <w:sz w:val="24"/>
        </w:rPr>
        <w:t>）决定自</w:t>
      </w:r>
      <w:r>
        <w:rPr>
          <w:rFonts w:hint="eastAsia"/>
          <w:sz w:val="24"/>
        </w:rPr>
        <w:t>2</w:t>
      </w:r>
      <w:r>
        <w:rPr>
          <w:sz w:val="24"/>
        </w:rPr>
        <w:t>026</w:t>
      </w:r>
      <w:r>
        <w:rPr>
          <w:sz w:val="24"/>
        </w:rPr>
        <w:t>年</w:t>
      </w:r>
      <w:r w:rsidR="00F05A3A">
        <w:rPr>
          <w:rFonts w:hint="eastAsia"/>
          <w:sz w:val="24"/>
        </w:rPr>
        <w:t>6</w:t>
      </w:r>
      <w:r>
        <w:rPr>
          <w:rFonts w:hint="eastAsia"/>
          <w:sz w:val="24"/>
        </w:rPr>
        <w:t>月</w:t>
      </w:r>
      <w:r w:rsidR="00F05A3A">
        <w:rPr>
          <w:rFonts w:hint="eastAsia"/>
          <w:sz w:val="24"/>
        </w:rPr>
        <w:t>1</w:t>
      </w:r>
      <w:r>
        <w:rPr>
          <w:rFonts w:hint="eastAsia"/>
          <w:sz w:val="24"/>
        </w:rPr>
        <w:t>日起</w:t>
      </w:r>
      <w:r>
        <w:rPr>
          <w:sz w:val="24"/>
        </w:rPr>
        <w:t>调整旗下部分基金的</w:t>
      </w:r>
      <w:r>
        <w:rPr>
          <w:bCs/>
          <w:sz w:val="24"/>
        </w:rPr>
        <w:t>业绩比较基准并对基金合同</w:t>
      </w:r>
      <w:r>
        <w:rPr>
          <w:rFonts w:hint="eastAsia"/>
          <w:bCs/>
          <w:sz w:val="24"/>
        </w:rPr>
        <w:t>等法律文件</w:t>
      </w:r>
      <w:r>
        <w:rPr>
          <w:bCs/>
          <w:sz w:val="24"/>
        </w:rPr>
        <w:t>有关条款进行修订。</w:t>
      </w:r>
      <w:r>
        <w:rPr>
          <w:sz w:val="24"/>
        </w:rPr>
        <w:t>现将相关事宜公告如下：</w:t>
      </w:r>
    </w:p>
    <w:p w:rsidR="00C82047" w:rsidRDefault="00ED7586">
      <w:pPr>
        <w:pStyle w:val="a6"/>
        <w:adjustRightInd w:val="0"/>
        <w:snapToGrid w:val="0"/>
        <w:spacing w:line="460" w:lineRule="exact"/>
        <w:ind w:firstLineChars="200" w:firstLine="482"/>
        <w:rPr>
          <w:rFonts w:ascii="Times New Roman" w:hAnsi="Times New Roman" w:cs="Times New Roman"/>
          <w:b/>
          <w:bCs/>
          <w:sz w:val="24"/>
          <w:szCs w:val="24"/>
        </w:rPr>
      </w:pPr>
      <w:r>
        <w:rPr>
          <w:rFonts w:ascii="Times New Roman" w:hAnsi="Times New Roman" w:cs="Times New Roman"/>
          <w:b/>
          <w:bCs/>
          <w:sz w:val="24"/>
          <w:szCs w:val="24"/>
        </w:rPr>
        <w:t>一、</w:t>
      </w:r>
      <w:r>
        <w:rPr>
          <w:rFonts w:ascii="Times New Roman" w:hAnsi="Times New Roman" w:cs="Times New Roman" w:hint="eastAsia"/>
          <w:b/>
          <w:bCs/>
          <w:sz w:val="24"/>
          <w:szCs w:val="24"/>
        </w:rPr>
        <w:t>业绩比较基准调整情况</w:t>
      </w:r>
    </w:p>
    <w:p w:rsidR="00C82047" w:rsidRDefault="00ED7586">
      <w:pPr>
        <w:pStyle w:val="a6"/>
        <w:adjustRightInd w:val="0"/>
        <w:snapToGrid w:val="0"/>
        <w:spacing w:line="460" w:lineRule="exact"/>
        <w:ind w:firstLineChars="200" w:firstLine="480"/>
        <w:rPr>
          <w:rFonts w:ascii="Times New Roman" w:hAnsi="Times New Roman" w:cs="Times New Roman"/>
          <w:bCs/>
          <w:sz w:val="24"/>
          <w:szCs w:val="24"/>
        </w:rPr>
      </w:pPr>
      <w:r>
        <w:rPr>
          <w:rFonts w:ascii="Times New Roman" w:hAnsi="Times New Roman" w:cs="Times New Roman"/>
          <w:bCs/>
          <w:sz w:val="24"/>
          <w:szCs w:val="24"/>
        </w:rPr>
        <w:t>本次调整业绩比较基准的基金及调整前后的业绩比较基准情况如下：</w:t>
      </w:r>
    </w:p>
    <w:tbl>
      <w:tblPr>
        <w:tblStyle w:val="ac"/>
        <w:tblW w:w="8120" w:type="dxa"/>
        <w:jc w:val="center"/>
        <w:tblLook w:val="04A0"/>
      </w:tblPr>
      <w:tblGrid>
        <w:gridCol w:w="682"/>
        <w:gridCol w:w="1736"/>
        <w:gridCol w:w="2863"/>
        <w:gridCol w:w="2839"/>
      </w:tblGrid>
      <w:tr w:rsidR="00C82047" w:rsidTr="00861668">
        <w:trPr>
          <w:trHeight w:val="376"/>
          <w:jc w:val="center"/>
        </w:trPr>
        <w:tc>
          <w:tcPr>
            <w:tcW w:w="704" w:type="dxa"/>
          </w:tcPr>
          <w:p w:rsidR="00C82047" w:rsidRDefault="00ED7586" w:rsidP="00861668">
            <w:pPr>
              <w:pStyle w:val="af"/>
              <w:adjustRightInd w:val="0"/>
              <w:snapToGrid w:val="0"/>
              <w:spacing w:line="460" w:lineRule="exact"/>
              <w:ind w:firstLineChars="0" w:firstLine="0"/>
              <w:rPr>
                <w:sz w:val="24"/>
              </w:rPr>
            </w:pPr>
            <w:r>
              <w:rPr>
                <w:sz w:val="24"/>
              </w:rPr>
              <w:t>序号</w:t>
            </w:r>
          </w:p>
        </w:tc>
        <w:tc>
          <w:tcPr>
            <w:tcW w:w="1356" w:type="dxa"/>
          </w:tcPr>
          <w:p w:rsidR="00C82047" w:rsidRDefault="00ED7586" w:rsidP="00861668">
            <w:pPr>
              <w:pStyle w:val="af"/>
              <w:adjustRightInd w:val="0"/>
              <w:snapToGrid w:val="0"/>
              <w:spacing w:line="460" w:lineRule="exact"/>
              <w:ind w:firstLineChars="0" w:firstLine="0"/>
              <w:rPr>
                <w:sz w:val="24"/>
              </w:rPr>
            </w:pPr>
            <w:r>
              <w:rPr>
                <w:sz w:val="24"/>
              </w:rPr>
              <w:t>基金全称</w:t>
            </w:r>
          </w:p>
        </w:tc>
        <w:tc>
          <w:tcPr>
            <w:tcW w:w="3028" w:type="dxa"/>
          </w:tcPr>
          <w:p w:rsidR="00C82047" w:rsidRDefault="00ED7586" w:rsidP="00861668">
            <w:pPr>
              <w:pStyle w:val="af"/>
              <w:adjustRightInd w:val="0"/>
              <w:snapToGrid w:val="0"/>
              <w:spacing w:line="460" w:lineRule="exact"/>
              <w:ind w:firstLineChars="0" w:firstLine="0"/>
              <w:rPr>
                <w:sz w:val="24"/>
              </w:rPr>
            </w:pPr>
            <w:r>
              <w:rPr>
                <w:sz w:val="24"/>
              </w:rPr>
              <w:t>原基金合同业绩比较基准</w:t>
            </w:r>
          </w:p>
        </w:tc>
        <w:tc>
          <w:tcPr>
            <w:tcW w:w="3032" w:type="dxa"/>
          </w:tcPr>
          <w:p w:rsidR="00C82047" w:rsidRDefault="00ED7586" w:rsidP="00861668">
            <w:pPr>
              <w:pStyle w:val="af"/>
              <w:adjustRightInd w:val="0"/>
              <w:snapToGrid w:val="0"/>
              <w:spacing w:line="460" w:lineRule="exact"/>
              <w:ind w:firstLineChars="0" w:firstLine="0"/>
              <w:rPr>
                <w:sz w:val="24"/>
              </w:rPr>
            </w:pPr>
            <w:r>
              <w:rPr>
                <w:sz w:val="24"/>
              </w:rPr>
              <w:t>调整后的</w:t>
            </w:r>
            <w:r>
              <w:rPr>
                <w:rFonts w:hint="eastAsia"/>
                <w:sz w:val="24"/>
              </w:rPr>
              <w:t>新</w:t>
            </w:r>
            <w:r>
              <w:rPr>
                <w:sz w:val="24"/>
              </w:rPr>
              <w:t>业绩比较基准</w:t>
            </w:r>
          </w:p>
        </w:tc>
      </w:tr>
      <w:tr w:rsidR="00C82047" w:rsidTr="00861668">
        <w:trPr>
          <w:trHeight w:val="370"/>
          <w:jc w:val="center"/>
        </w:trPr>
        <w:tc>
          <w:tcPr>
            <w:tcW w:w="704" w:type="dxa"/>
          </w:tcPr>
          <w:p w:rsidR="00C82047" w:rsidRDefault="00ED7586" w:rsidP="00861668">
            <w:pPr>
              <w:pStyle w:val="af"/>
              <w:adjustRightInd w:val="0"/>
              <w:snapToGrid w:val="0"/>
              <w:spacing w:line="460" w:lineRule="exact"/>
              <w:ind w:firstLineChars="0" w:firstLine="0"/>
              <w:rPr>
                <w:sz w:val="24"/>
              </w:rPr>
            </w:pPr>
            <w:r>
              <w:rPr>
                <w:sz w:val="24"/>
              </w:rPr>
              <w:t>1</w:t>
            </w:r>
          </w:p>
        </w:tc>
        <w:tc>
          <w:tcPr>
            <w:tcW w:w="1356" w:type="dxa"/>
          </w:tcPr>
          <w:p w:rsidR="00C82047" w:rsidRDefault="00ED7586" w:rsidP="00861668">
            <w:pPr>
              <w:pStyle w:val="af"/>
              <w:adjustRightInd w:val="0"/>
              <w:snapToGrid w:val="0"/>
              <w:spacing w:line="460" w:lineRule="exact"/>
              <w:ind w:firstLineChars="0" w:firstLine="0"/>
              <w:rPr>
                <w:sz w:val="24"/>
              </w:rPr>
            </w:pPr>
            <w:r>
              <w:rPr>
                <w:sz w:val="24"/>
              </w:rPr>
              <w:t>天弘云端生活优选灵活配置混合型证券投资基金</w:t>
            </w:r>
          </w:p>
        </w:tc>
        <w:tc>
          <w:tcPr>
            <w:tcW w:w="3028" w:type="dxa"/>
          </w:tcPr>
          <w:p w:rsidR="00C82047" w:rsidRDefault="00ED7586" w:rsidP="00861668">
            <w:pPr>
              <w:widowControl/>
              <w:adjustRightInd w:val="0"/>
              <w:snapToGrid w:val="0"/>
              <w:spacing w:line="460" w:lineRule="exact"/>
              <w:rPr>
                <w:sz w:val="24"/>
              </w:rPr>
            </w:pPr>
            <w:r w:rsidRPr="00861668">
              <w:rPr>
                <w:sz w:val="24"/>
              </w:rPr>
              <w:t>60%×</w:t>
            </w:r>
            <w:r w:rsidRPr="00861668">
              <w:rPr>
                <w:sz w:val="24"/>
              </w:rPr>
              <w:t>中证主要消费指数收益率</w:t>
            </w:r>
            <w:r w:rsidRPr="00861668">
              <w:rPr>
                <w:sz w:val="24"/>
              </w:rPr>
              <w:t>+40%×</w:t>
            </w:r>
            <w:r w:rsidRPr="00861668">
              <w:rPr>
                <w:sz w:val="24"/>
              </w:rPr>
              <w:t>中证综合债指数收益率</w:t>
            </w:r>
          </w:p>
        </w:tc>
        <w:tc>
          <w:tcPr>
            <w:tcW w:w="3032" w:type="dxa"/>
          </w:tcPr>
          <w:p w:rsidR="00C82047" w:rsidRDefault="00ED7586" w:rsidP="00861668">
            <w:pPr>
              <w:pStyle w:val="af"/>
              <w:adjustRightInd w:val="0"/>
              <w:snapToGrid w:val="0"/>
              <w:spacing w:line="460" w:lineRule="exact"/>
              <w:ind w:firstLineChars="0" w:firstLine="0"/>
              <w:rPr>
                <w:sz w:val="24"/>
              </w:rPr>
            </w:pPr>
            <w:r>
              <w:rPr>
                <w:sz w:val="24"/>
              </w:rPr>
              <w:t>中证内地消费主题指数收益率</w:t>
            </w:r>
            <w:r>
              <w:rPr>
                <w:sz w:val="24"/>
              </w:rPr>
              <w:t>*85%+</w:t>
            </w:r>
            <w:r>
              <w:rPr>
                <w:sz w:val="24"/>
              </w:rPr>
              <w:t>中证综合债指数收益率</w:t>
            </w:r>
            <w:r>
              <w:rPr>
                <w:sz w:val="24"/>
              </w:rPr>
              <w:t>*15%</w:t>
            </w:r>
          </w:p>
        </w:tc>
      </w:tr>
      <w:tr w:rsidR="00C82047" w:rsidTr="00861668">
        <w:trPr>
          <w:trHeight w:val="376"/>
          <w:jc w:val="center"/>
        </w:trPr>
        <w:tc>
          <w:tcPr>
            <w:tcW w:w="704" w:type="dxa"/>
          </w:tcPr>
          <w:p w:rsidR="00C82047" w:rsidRDefault="00ED7586" w:rsidP="00861668">
            <w:pPr>
              <w:pStyle w:val="af"/>
              <w:adjustRightInd w:val="0"/>
              <w:snapToGrid w:val="0"/>
              <w:spacing w:line="460" w:lineRule="exact"/>
              <w:ind w:firstLineChars="0" w:firstLine="0"/>
              <w:rPr>
                <w:sz w:val="24"/>
              </w:rPr>
            </w:pPr>
            <w:r>
              <w:rPr>
                <w:sz w:val="24"/>
              </w:rPr>
              <w:t>2</w:t>
            </w:r>
          </w:p>
        </w:tc>
        <w:tc>
          <w:tcPr>
            <w:tcW w:w="1356" w:type="dxa"/>
          </w:tcPr>
          <w:p w:rsidR="00C82047" w:rsidRDefault="00ED7586" w:rsidP="00861668">
            <w:pPr>
              <w:pStyle w:val="af"/>
              <w:adjustRightInd w:val="0"/>
              <w:snapToGrid w:val="0"/>
              <w:spacing w:line="460" w:lineRule="exact"/>
              <w:ind w:firstLineChars="0" w:firstLine="0"/>
              <w:rPr>
                <w:sz w:val="24"/>
              </w:rPr>
            </w:pPr>
            <w:r>
              <w:rPr>
                <w:sz w:val="24"/>
              </w:rPr>
              <w:t>天弘精选混合型证券投资基金</w:t>
            </w:r>
          </w:p>
        </w:tc>
        <w:tc>
          <w:tcPr>
            <w:tcW w:w="3028" w:type="dxa"/>
          </w:tcPr>
          <w:p w:rsidR="00C82047" w:rsidRDefault="00ED7586" w:rsidP="00861668">
            <w:pPr>
              <w:pStyle w:val="af"/>
              <w:adjustRightInd w:val="0"/>
              <w:snapToGrid w:val="0"/>
              <w:spacing w:line="460" w:lineRule="exact"/>
              <w:ind w:firstLineChars="0" w:firstLine="0"/>
              <w:rPr>
                <w:sz w:val="24"/>
              </w:rPr>
            </w:pPr>
            <w:r>
              <w:rPr>
                <w:rFonts w:ascii="宋体" w:hAnsi="宋体" w:cs="宋体"/>
                <w:sz w:val="24"/>
              </w:rPr>
              <w:t>上证180指数收益率×55%＋上证国债指数收益率×45%</w:t>
            </w:r>
          </w:p>
        </w:tc>
        <w:tc>
          <w:tcPr>
            <w:tcW w:w="3032" w:type="dxa"/>
          </w:tcPr>
          <w:p w:rsidR="00C82047" w:rsidRDefault="00ED7586" w:rsidP="00861668">
            <w:pPr>
              <w:pStyle w:val="af"/>
              <w:adjustRightInd w:val="0"/>
              <w:snapToGrid w:val="0"/>
              <w:spacing w:line="460" w:lineRule="exact"/>
              <w:ind w:firstLineChars="0" w:firstLine="0"/>
              <w:rPr>
                <w:sz w:val="24"/>
              </w:rPr>
            </w:pPr>
            <w:r>
              <w:rPr>
                <w:sz w:val="24"/>
              </w:rPr>
              <w:t>沪深</w:t>
            </w:r>
            <w:r>
              <w:rPr>
                <w:sz w:val="24"/>
              </w:rPr>
              <w:t>300</w:t>
            </w:r>
            <w:r>
              <w:rPr>
                <w:sz w:val="24"/>
              </w:rPr>
              <w:t>指数收益率</w:t>
            </w:r>
            <w:r>
              <w:rPr>
                <w:sz w:val="24"/>
              </w:rPr>
              <w:t>*75%+</w:t>
            </w:r>
            <w:r>
              <w:rPr>
                <w:sz w:val="24"/>
              </w:rPr>
              <w:t>上证国债指数收益率</w:t>
            </w:r>
            <w:r>
              <w:rPr>
                <w:sz w:val="24"/>
              </w:rPr>
              <w:t>*25%</w:t>
            </w:r>
          </w:p>
        </w:tc>
      </w:tr>
      <w:tr w:rsidR="00C82047" w:rsidTr="00861668">
        <w:trPr>
          <w:trHeight w:val="376"/>
          <w:jc w:val="center"/>
        </w:trPr>
        <w:tc>
          <w:tcPr>
            <w:tcW w:w="704" w:type="dxa"/>
          </w:tcPr>
          <w:p w:rsidR="00C82047" w:rsidRDefault="00ED7586" w:rsidP="00861668">
            <w:pPr>
              <w:pStyle w:val="af"/>
              <w:adjustRightInd w:val="0"/>
              <w:snapToGrid w:val="0"/>
              <w:spacing w:line="460" w:lineRule="exact"/>
              <w:ind w:firstLineChars="0" w:firstLine="0"/>
              <w:rPr>
                <w:sz w:val="24"/>
              </w:rPr>
            </w:pPr>
            <w:r>
              <w:rPr>
                <w:sz w:val="24"/>
              </w:rPr>
              <w:t>3</w:t>
            </w:r>
          </w:p>
        </w:tc>
        <w:tc>
          <w:tcPr>
            <w:tcW w:w="1356" w:type="dxa"/>
          </w:tcPr>
          <w:p w:rsidR="00C82047" w:rsidRDefault="00ED7586" w:rsidP="00861668">
            <w:pPr>
              <w:pStyle w:val="af"/>
              <w:adjustRightInd w:val="0"/>
              <w:snapToGrid w:val="0"/>
              <w:spacing w:line="460" w:lineRule="exact"/>
              <w:ind w:firstLineChars="0" w:firstLine="0"/>
              <w:rPr>
                <w:sz w:val="24"/>
              </w:rPr>
            </w:pPr>
            <w:r>
              <w:rPr>
                <w:sz w:val="24"/>
              </w:rPr>
              <w:t>天弘永定价值成长混合型证券投资基金</w:t>
            </w:r>
          </w:p>
        </w:tc>
        <w:tc>
          <w:tcPr>
            <w:tcW w:w="3028" w:type="dxa"/>
          </w:tcPr>
          <w:p w:rsidR="00C82047" w:rsidRDefault="00ED7586" w:rsidP="00861668">
            <w:pPr>
              <w:pStyle w:val="af"/>
              <w:adjustRightInd w:val="0"/>
              <w:snapToGrid w:val="0"/>
              <w:spacing w:line="460" w:lineRule="exact"/>
              <w:ind w:firstLineChars="0" w:firstLine="0"/>
              <w:rPr>
                <w:sz w:val="24"/>
              </w:rPr>
            </w:pPr>
            <w:r>
              <w:rPr>
                <w:rFonts w:ascii="宋体" w:hAnsi="宋体" w:cs="宋体"/>
                <w:sz w:val="24"/>
              </w:rPr>
              <w:t>沪深300指数收益率×80%＋上证国债指数收益率×20%</w:t>
            </w:r>
          </w:p>
        </w:tc>
        <w:tc>
          <w:tcPr>
            <w:tcW w:w="3032" w:type="dxa"/>
          </w:tcPr>
          <w:p w:rsidR="00C82047" w:rsidRDefault="00ED7586" w:rsidP="00861668">
            <w:pPr>
              <w:pStyle w:val="af"/>
              <w:adjustRightInd w:val="0"/>
              <w:snapToGrid w:val="0"/>
              <w:spacing w:line="460" w:lineRule="exact"/>
              <w:ind w:firstLineChars="0" w:firstLine="0"/>
              <w:rPr>
                <w:sz w:val="24"/>
              </w:rPr>
            </w:pPr>
            <w:r>
              <w:rPr>
                <w:sz w:val="24"/>
              </w:rPr>
              <w:t>中证</w:t>
            </w:r>
            <w:r>
              <w:rPr>
                <w:sz w:val="24"/>
              </w:rPr>
              <w:t>800</w:t>
            </w:r>
            <w:r>
              <w:rPr>
                <w:sz w:val="24"/>
              </w:rPr>
              <w:t>指数收益率</w:t>
            </w:r>
            <w:r>
              <w:rPr>
                <w:sz w:val="24"/>
              </w:rPr>
              <w:t>*80%+</w:t>
            </w:r>
            <w:r>
              <w:rPr>
                <w:sz w:val="24"/>
              </w:rPr>
              <w:t>上证国债指数收益率</w:t>
            </w:r>
            <w:r>
              <w:rPr>
                <w:sz w:val="24"/>
              </w:rPr>
              <w:t>*20%</w:t>
            </w:r>
          </w:p>
        </w:tc>
      </w:tr>
      <w:tr w:rsidR="00C82047" w:rsidTr="00861668">
        <w:trPr>
          <w:trHeight w:val="370"/>
          <w:jc w:val="center"/>
        </w:trPr>
        <w:tc>
          <w:tcPr>
            <w:tcW w:w="704" w:type="dxa"/>
          </w:tcPr>
          <w:p w:rsidR="00C82047" w:rsidRDefault="00ED7586" w:rsidP="00861668">
            <w:pPr>
              <w:pStyle w:val="af"/>
              <w:adjustRightInd w:val="0"/>
              <w:snapToGrid w:val="0"/>
              <w:spacing w:line="460" w:lineRule="exact"/>
              <w:ind w:firstLineChars="0" w:firstLine="0"/>
              <w:rPr>
                <w:sz w:val="24"/>
              </w:rPr>
            </w:pPr>
            <w:r>
              <w:rPr>
                <w:sz w:val="24"/>
              </w:rPr>
              <w:t>4</w:t>
            </w:r>
          </w:p>
        </w:tc>
        <w:tc>
          <w:tcPr>
            <w:tcW w:w="1356" w:type="dxa"/>
          </w:tcPr>
          <w:p w:rsidR="00C82047" w:rsidRDefault="00ED7586" w:rsidP="00861668">
            <w:pPr>
              <w:pStyle w:val="af"/>
              <w:adjustRightInd w:val="0"/>
              <w:snapToGrid w:val="0"/>
              <w:spacing w:line="460" w:lineRule="exact"/>
              <w:ind w:firstLineChars="0" w:firstLine="0"/>
              <w:rPr>
                <w:sz w:val="24"/>
              </w:rPr>
            </w:pPr>
            <w:r>
              <w:rPr>
                <w:sz w:val="24"/>
              </w:rPr>
              <w:t>天弘匠心臻选混合型发起式证券投资基金</w:t>
            </w:r>
          </w:p>
        </w:tc>
        <w:tc>
          <w:tcPr>
            <w:tcW w:w="3028" w:type="dxa"/>
          </w:tcPr>
          <w:p w:rsidR="00C82047" w:rsidRDefault="00ED7586" w:rsidP="00861668">
            <w:pPr>
              <w:widowControl/>
              <w:adjustRightInd w:val="0"/>
              <w:snapToGrid w:val="0"/>
              <w:spacing w:line="460" w:lineRule="exact"/>
              <w:rPr>
                <w:sz w:val="24"/>
              </w:rPr>
            </w:pPr>
            <w:r w:rsidRPr="00861668">
              <w:rPr>
                <w:rFonts w:ascii="宋体" w:hAnsi="宋体" w:cs="宋体"/>
                <w:sz w:val="24"/>
              </w:rPr>
              <w:t>中证800指数收益率*75%+恒生指数收益率（经汇率调整）*5%+中债综合债指数收益率*20%</w:t>
            </w:r>
          </w:p>
        </w:tc>
        <w:tc>
          <w:tcPr>
            <w:tcW w:w="3032" w:type="dxa"/>
          </w:tcPr>
          <w:p w:rsidR="00C82047" w:rsidRDefault="00ED7586" w:rsidP="00861668">
            <w:pPr>
              <w:pStyle w:val="af"/>
              <w:adjustRightInd w:val="0"/>
              <w:snapToGrid w:val="0"/>
              <w:spacing w:line="460" w:lineRule="exact"/>
              <w:ind w:firstLineChars="0" w:firstLine="0"/>
              <w:rPr>
                <w:sz w:val="24"/>
              </w:rPr>
            </w:pPr>
            <w:r>
              <w:rPr>
                <w:sz w:val="24"/>
              </w:rPr>
              <w:t>中证</w:t>
            </w:r>
            <w:r>
              <w:rPr>
                <w:sz w:val="24"/>
              </w:rPr>
              <w:t>800</w:t>
            </w:r>
            <w:r>
              <w:rPr>
                <w:sz w:val="24"/>
              </w:rPr>
              <w:t>指数收益率</w:t>
            </w:r>
            <w:r>
              <w:rPr>
                <w:sz w:val="24"/>
              </w:rPr>
              <w:t>*60%+</w:t>
            </w:r>
            <w:r>
              <w:rPr>
                <w:sz w:val="24"/>
              </w:rPr>
              <w:t>中证港股通综合指数（港元）收益率</w:t>
            </w:r>
            <w:r>
              <w:rPr>
                <w:sz w:val="24"/>
              </w:rPr>
              <w:t>*20%+</w:t>
            </w:r>
            <w:r>
              <w:rPr>
                <w:sz w:val="24"/>
              </w:rPr>
              <w:t>中债</w:t>
            </w:r>
            <w:r>
              <w:rPr>
                <w:sz w:val="24"/>
              </w:rPr>
              <w:t>-</w:t>
            </w:r>
            <w:r>
              <w:rPr>
                <w:sz w:val="24"/>
              </w:rPr>
              <w:t>综合全价</w:t>
            </w:r>
            <w:r>
              <w:rPr>
                <w:sz w:val="24"/>
              </w:rPr>
              <w:t>(</w:t>
            </w:r>
            <w:r>
              <w:rPr>
                <w:sz w:val="24"/>
              </w:rPr>
              <w:t>总值</w:t>
            </w:r>
            <w:r>
              <w:rPr>
                <w:sz w:val="24"/>
              </w:rPr>
              <w:t>)</w:t>
            </w:r>
            <w:r>
              <w:rPr>
                <w:sz w:val="24"/>
              </w:rPr>
              <w:t>指数收益率</w:t>
            </w:r>
            <w:r>
              <w:rPr>
                <w:sz w:val="24"/>
              </w:rPr>
              <w:t>*20%</w:t>
            </w:r>
          </w:p>
        </w:tc>
      </w:tr>
      <w:tr w:rsidR="00C82047" w:rsidTr="00861668">
        <w:trPr>
          <w:trHeight w:val="376"/>
          <w:jc w:val="center"/>
        </w:trPr>
        <w:tc>
          <w:tcPr>
            <w:tcW w:w="704" w:type="dxa"/>
          </w:tcPr>
          <w:p w:rsidR="00C82047" w:rsidRDefault="00ED7586" w:rsidP="00861668">
            <w:pPr>
              <w:pStyle w:val="af"/>
              <w:adjustRightInd w:val="0"/>
              <w:snapToGrid w:val="0"/>
              <w:spacing w:line="460" w:lineRule="exact"/>
              <w:ind w:firstLineChars="0" w:firstLine="0"/>
              <w:rPr>
                <w:sz w:val="24"/>
              </w:rPr>
            </w:pPr>
            <w:r>
              <w:rPr>
                <w:sz w:val="24"/>
              </w:rPr>
              <w:t>5</w:t>
            </w:r>
          </w:p>
        </w:tc>
        <w:tc>
          <w:tcPr>
            <w:tcW w:w="1356" w:type="dxa"/>
          </w:tcPr>
          <w:p w:rsidR="00C82047" w:rsidRDefault="00ED7586" w:rsidP="00861668">
            <w:pPr>
              <w:pStyle w:val="af"/>
              <w:adjustRightInd w:val="0"/>
              <w:snapToGrid w:val="0"/>
              <w:spacing w:line="460" w:lineRule="exact"/>
              <w:ind w:firstLineChars="0" w:firstLine="0"/>
              <w:rPr>
                <w:sz w:val="24"/>
              </w:rPr>
            </w:pPr>
            <w:r>
              <w:rPr>
                <w:sz w:val="24"/>
              </w:rPr>
              <w:t>天弘阿尔法优选混合型证券</w:t>
            </w:r>
            <w:r>
              <w:rPr>
                <w:sz w:val="24"/>
              </w:rPr>
              <w:lastRenderedPageBreak/>
              <w:t>投资基金</w:t>
            </w:r>
          </w:p>
        </w:tc>
        <w:tc>
          <w:tcPr>
            <w:tcW w:w="3028" w:type="dxa"/>
          </w:tcPr>
          <w:p w:rsidR="00C82047" w:rsidRDefault="00ED7586" w:rsidP="00861668">
            <w:pPr>
              <w:widowControl/>
              <w:spacing w:line="460" w:lineRule="exact"/>
            </w:pPr>
            <w:r>
              <w:rPr>
                <w:rFonts w:ascii="宋体" w:hAnsi="宋体" w:cs="宋体"/>
                <w:kern w:val="0"/>
                <w:sz w:val="24"/>
                <w:lang/>
              </w:rPr>
              <w:lastRenderedPageBreak/>
              <w:t>中证800指数收益率*75%+中证港股通综合指</w:t>
            </w:r>
            <w:r>
              <w:rPr>
                <w:rFonts w:ascii="宋体" w:hAnsi="宋体" w:cs="宋体"/>
                <w:kern w:val="0"/>
                <w:sz w:val="24"/>
                <w:lang/>
              </w:rPr>
              <w:lastRenderedPageBreak/>
              <w:t>数(人民币)收益率*5%+中债综合财富(总值)指数收益率*20%</w:t>
            </w:r>
          </w:p>
        </w:tc>
        <w:tc>
          <w:tcPr>
            <w:tcW w:w="3032" w:type="dxa"/>
          </w:tcPr>
          <w:p w:rsidR="00C82047" w:rsidRDefault="00ED7586" w:rsidP="00861668">
            <w:pPr>
              <w:pStyle w:val="af"/>
              <w:adjustRightInd w:val="0"/>
              <w:snapToGrid w:val="0"/>
              <w:spacing w:line="460" w:lineRule="exact"/>
              <w:ind w:firstLineChars="0" w:firstLine="0"/>
              <w:rPr>
                <w:sz w:val="24"/>
              </w:rPr>
            </w:pPr>
            <w:r>
              <w:rPr>
                <w:sz w:val="24"/>
              </w:rPr>
              <w:lastRenderedPageBreak/>
              <w:t>中证</w:t>
            </w:r>
            <w:r>
              <w:rPr>
                <w:sz w:val="24"/>
              </w:rPr>
              <w:t>800</w:t>
            </w:r>
            <w:r>
              <w:rPr>
                <w:sz w:val="24"/>
              </w:rPr>
              <w:t>指数收益率</w:t>
            </w:r>
            <w:r>
              <w:rPr>
                <w:sz w:val="24"/>
              </w:rPr>
              <w:t>*60%+</w:t>
            </w:r>
            <w:r>
              <w:rPr>
                <w:sz w:val="24"/>
              </w:rPr>
              <w:t>中证港股通综合指</w:t>
            </w:r>
            <w:r>
              <w:rPr>
                <w:sz w:val="24"/>
              </w:rPr>
              <w:lastRenderedPageBreak/>
              <w:t>数</w:t>
            </w:r>
            <w:r>
              <w:rPr>
                <w:sz w:val="24"/>
              </w:rPr>
              <w:t>(</w:t>
            </w:r>
            <w:r>
              <w:rPr>
                <w:sz w:val="24"/>
              </w:rPr>
              <w:t>人民币</w:t>
            </w:r>
            <w:r>
              <w:rPr>
                <w:sz w:val="24"/>
              </w:rPr>
              <w:t>)</w:t>
            </w:r>
            <w:r>
              <w:rPr>
                <w:sz w:val="24"/>
              </w:rPr>
              <w:t>收益率</w:t>
            </w:r>
            <w:r>
              <w:rPr>
                <w:sz w:val="24"/>
              </w:rPr>
              <w:t>*20%+</w:t>
            </w:r>
            <w:r>
              <w:rPr>
                <w:sz w:val="24"/>
              </w:rPr>
              <w:t>中债</w:t>
            </w:r>
            <w:r>
              <w:rPr>
                <w:sz w:val="24"/>
              </w:rPr>
              <w:t>-</w:t>
            </w:r>
            <w:r>
              <w:rPr>
                <w:sz w:val="24"/>
              </w:rPr>
              <w:t>综合财富</w:t>
            </w:r>
            <w:r>
              <w:rPr>
                <w:sz w:val="24"/>
              </w:rPr>
              <w:t>(</w:t>
            </w:r>
            <w:r>
              <w:rPr>
                <w:sz w:val="24"/>
              </w:rPr>
              <w:t>总值</w:t>
            </w:r>
            <w:r>
              <w:rPr>
                <w:sz w:val="24"/>
              </w:rPr>
              <w:t>)</w:t>
            </w:r>
            <w:r>
              <w:rPr>
                <w:sz w:val="24"/>
              </w:rPr>
              <w:t>指数收益率</w:t>
            </w:r>
            <w:r>
              <w:rPr>
                <w:sz w:val="24"/>
              </w:rPr>
              <w:t>*20%</w:t>
            </w:r>
          </w:p>
        </w:tc>
      </w:tr>
      <w:tr w:rsidR="00C82047" w:rsidTr="00861668">
        <w:trPr>
          <w:trHeight w:val="376"/>
          <w:jc w:val="center"/>
        </w:trPr>
        <w:tc>
          <w:tcPr>
            <w:tcW w:w="704" w:type="dxa"/>
          </w:tcPr>
          <w:p w:rsidR="00C82047" w:rsidRDefault="00ED7586" w:rsidP="00861668">
            <w:pPr>
              <w:pStyle w:val="af"/>
              <w:adjustRightInd w:val="0"/>
              <w:snapToGrid w:val="0"/>
              <w:spacing w:line="460" w:lineRule="exact"/>
              <w:ind w:firstLineChars="0" w:firstLine="0"/>
              <w:rPr>
                <w:sz w:val="24"/>
              </w:rPr>
            </w:pPr>
            <w:r>
              <w:rPr>
                <w:rFonts w:hint="eastAsia"/>
                <w:sz w:val="24"/>
              </w:rPr>
              <w:lastRenderedPageBreak/>
              <w:t>6</w:t>
            </w:r>
          </w:p>
        </w:tc>
        <w:tc>
          <w:tcPr>
            <w:tcW w:w="1356" w:type="dxa"/>
          </w:tcPr>
          <w:p w:rsidR="00C82047" w:rsidRDefault="00ED7586" w:rsidP="00861668">
            <w:pPr>
              <w:pStyle w:val="af"/>
              <w:adjustRightInd w:val="0"/>
              <w:snapToGrid w:val="0"/>
              <w:spacing w:line="460" w:lineRule="exact"/>
              <w:ind w:firstLineChars="0" w:firstLine="0"/>
              <w:rPr>
                <w:sz w:val="24"/>
              </w:rPr>
            </w:pPr>
            <w:r>
              <w:rPr>
                <w:sz w:val="24"/>
              </w:rPr>
              <w:t>天弘永利债券型证券投资基金</w:t>
            </w:r>
          </w:p>
        </w:tc>
        <w:tc>
          <w:tcPr>
            <w:tcW w:w="3028" w:type="dxa"/>
          </w:tcPr>
          <w:p w:rsidR="00C82047" w:rsidRDefault="00ED7586" w:rsidP="00861668">
            <w:pPr>
              <w:pStyle w:val="af"/>
              <w:adjustRightInd w:val="0"/>
              <w:snapToGrid w:val="0"/>
              <w:spacing w:line="460" w:lineRule="exact"/>
              <w:ind w:firstLineChars="0" w:firstLine="0"/>
              <w:rPr>
                <w:sz w:val="24"/>
              </w:rPr>
            </w:pPr>
            <w:r>
              <w:rPr>
                <w:sz w:val="24"/>
              </w:rPr>
              <w:t>中债新综合指数</w:t>
            </w:r>
          </w:p>
        </w:tc>
        <w:tc>
          <w:tcPr>
            <w:tcW w:w="3032" w:type="dxa"/>
          </w:tcPr>
          <w:p w:rsidR="00C82047" w:rsidRDefault="00ED7586" w:rsidP="00861668">
            <w:pPr>
              <w:pStyle w:val="af"/>
              <w:adjustRightInd w:val="0"/>
              <w:snapToGrid w:val="0"/>
              <w:spacing w:line="460" w:lineRule="exact"/>
              <w:ind w:firstLineChars="0" w:firstLine="0"/>
              <w:rPr>
                <w:sz w:val="24"/>
              </w:rPr>
            </w:pPr>
            <w:r>
              <w:rPr>
                <w:rFonts w:ascii="宋体" w:hAnsi="宋体" w:cs="Arial" w:hint="eastAsia"/>
                <w:sz w:val="24"/>
                <w:lang/>
              </w:rPr>
              <w:t>中债-新综合财富（总值）指数收益率*85%+沪深300指数收益率*15%</w:t>
            </w:r>
          </w:p>
        </w:tc>
      </w:tr>
      <w:tr w:rsidR="00C82047" w:rsidTr="00861668">
        <w:trPr>
          <w:trHeight w:val="376"/>
          <w:jc w:val="center"/>
        </w:trPr>
        <w:tc>
          <w:tcPr>
            <w:tcW w:w="704" w:type="dxa"/>
          </w:tcPr>
          <w:p w:rsidR="00C82047" w:rsidRDefault="00ED7586" w:rsidP="00861668">
            <w:pPr>
              <w:pStyle w:val="af"/>
              <w:adjustRightInd w:val="0"/>
              <w:snapToGrid w:val="0"/>
              <w:spacing w:line="460" w:lineRule="exact"/>
              <w:ind w:firstLineChars="0" w:firstLine="0"/>
              <w:rPr>
                <w:sz w:val="24"/>
              </w:rPr>
            </w:pPr>
            <w:r>
              <w:rPr>
                <w:rFonts w:hint="eastAsia"/>
                <w:sz w:val="24"/>
              </w:rPr>
              <w:t>7</w:t>
            </w:r>
          </w:p>
        </w:tc>
        <w:tc>
          <w:tcPr>
            <w:tcW w:w="1356" w:type="dxa"/>
          </w:tcPr>
          <w:p w:rsidR="00C82047" w:rsidRDefault="00ED7586" w:rsidP="00861668">
            <w:pPr>
              <w:pStyle w:val="af"/>
              <w:adjustRightInd w:val="0"/>
              <w:snapToGrid w:val="0"/>
              <w:spacing w:line="460" w:lineRule="exact"/>
              <w:ind w:firstLineChars="0" w:firstLine="0"/>
              <w:rPr>
                <w:sz w:val="24"/>
              </w:rPr>
            </w:pPr>
            <w:r>
              <w:rPr>
                <w:rFonts w:hint="eastAsia"/>
                <w:sz w:val="24"/>
              </w:rPr>
              <w:t>天弘安康颐养混合型证券投资基金</w:t>
            </w:r>
          </w:p>
        </w:tc>
        <w:tc>
          <w:tcPr>
            <w:tcW w:w="3028" w:type="dxa"/>
          </w:tcPr>
          <w:p w:rsidR="00C82047" w:rsidRDefault="00ED7586" w:rsidP="00861668">
            <w:pPr>
              <w:pStyle w:val="af"/>
              <w:adjustRightInd w:val="0"/>
              <w:snapToGrid w:val="0"/>
              <w:spacing w:line="460" w:lineRule="exact"/>
              <w:ind w:firstLineChars="0" w:firstLine="0"/>
              <w:rPr>
                <w:sz w:val="24"/>
              </w:rPr>
            </w:pPr>
            <w:r>
              <w:rPr>
                <w:rFonts w:hint="eastAsia"/>
                <w:sz w:val="24"/>
              </w:rPr>
              <w:t>三年期银行定期存款利率（税后）</w:t>
            </w:r>
            <w:r>
              <w:rPr>
                <w:rFonts w:hint="eastAsia"/>
                <w:sz w:val="24"/>
              </w:rPr>
              <w:t>+0.75%</w:t>
            </w:r>
            <w:r w:rsidR="0031619A" w:rsidRPr="0031619A">
              <w:rPr>
                <w:rFonts w:hint="eastAsia"/>
                <w:sz w:val="24"/>
              </w:rPr>
              <w:t>，即中国人民银行公布并执行的三年期金融机构人民币存款基准利率（税后）</w:t>
            </w:r>
            <w:r w:rsidR="0031619A" w:rsidRPr="0031619A">
              <w:rPr>
                <w:rFonts w:hint="eastAsia"/>
                <w:sz w:val="24"/>
              </w:rPr>
              <w:t>+0.75%</w:t>
            </w:r>
          </w:p>
        </w:tc>
        <w:tc>
          <w:tcPr>
            <w:tcW w:w="3032" w:type="dxa"/>
          </w:tcPr>
          <w:p w:rsidR="00C82047" w:rsidRDefault="00ED7586" w:rsidP="00861668">
            <w:pPr>
              <w:pStyle w:val="af"/>
              <w:adjustRightInd w:val="0"/>
              <w:snapToGrid w:val="0"/>
              <w:spacing w:line="460" w:lineRule="exact"/>
              <w:ind w:firstLineChars="0" w:firstLine="0"/>
              <w:rPr>
                <w:sz w:val="24"/>
              </w:rPr>
            </w:pPr>
            <w:r>
              <w:rPr>
                <w:rFonts w:hint="eastAsia"/>
                <w:sz w:val="24"/>
              </w:rPr>
              <w:t>中债</w:t>
            </w:r>
            <w:r>
              <w:rPr>
                <w:rFonts w:hint="eastAsia"/>
                <w:sz w:val="24"/>
              </w:rPr>
              <w:t>-</w:t>
            </w:r>
            <w:r>
              <w:rPr>
                <w:rFonts w:hint="eastAsia"/>
                <w:sz w:val="24"/>
              </w:rPr>
              <w:t>新综合全价（总值）指数收益率</w:t>
            </w:r>
            <w:r>
              <w:rPr>
                <w:rFonts w:hint="eastAsia"/>
                <w:sz w:val="24"/>
              </w:rPr>
              <w:t>*85%+</w:t>
            </w:r>
            <w:r>
              <w:rPr>
                <w:rFonts w:hint="eastAsia"/>
                <w:sz w:val="24"/>
              </w:rPr>
              <w:t>沪深</w:t>
            </w:r>
            <w:r>
              <w:rPr>
                <w:rFonts w:hint="eastAsia"/>
                <w:sz w:val="24"/>
              </w:rPr>
              <w:t>300</w:t>
            </w:r>
            <w:r>
              <w:rPr>
                <w:rFonts w:hint="eastAsia"/>
                <w:sz w:val="24"/>
              </w:rPr>
              <w:t>指数收益率</w:t>
            </w:r>
            <w:r>
              <w:rPr>
                <w:rFonts w:hint="eastAsia"/>
                <w:sz w:val="24"/>
              </w:rPr>
              <w:t>*15%</w:t>
            </w:r>
          </w:p>
        </w:tc>
      </w:tr>
      <w:tr w:rsidR="00C82047" w:rsidTr="00861668">
        <w:trPr>
          <w:trHeight w:val="376"/>
          <w:jc w:val="center"/>
        </w:trPr>
        <w:tc>
          <w:tcPr>
            <w:tcW w:w="704" w:type="dxa"/>
          </w:tcPr>
          <w:p w:rsidR="00C82047" w:rsidRDefault="00ED7586" w:rsidP="00861668">
            <w:pPr>
              <w:pStyle w:val="af"/>
              <w:adjustRightInd w:val="0"/>
              <w:snapToGrid w:val="0"/>
              <w:spacing w:line="460" w:lineRule="exact"/>
              <w:ind w:firstLineChars="0" w:firstLine="0"/>
              <w:rPr>
                <w:sz w:val="24"/>
              </w:rPr>
            </w:pPr>
            <w:r>
              <w:rPr>
                <w:rFonts w:hint="eastAsia"/>
                <w:sz w:val="24"/>
              </w:rPr>
              <w:t>8</w:t>
            </w:r>
          </w:p>
        </w:tc>
        <w:tc>
          <w:tcPr>
            <w:tcW w:w="1356" w:type="dxa"/>
          </w:tcPr>
          <w:p w:rsidR="00C82047" w:rsidRDefault="00ED7586" w:rsidP="00861668">
            <w:pPr>
              <w:pStyle w:val="af"/>
              <w:adjustRightInd w:val="0"/>
              <w:snapToGrid w:val="0"/>
              <w:spacing w:line="460" w:lineRule="exact"/>
              <w:ind w:firstLineChars="0" w:firstLine="0"/>
              <w:rPr>
                <w:sz w:val="24"/>
              </w:rPr>
            </w:pPr>
            <w:r>
              <w:rPr>
                <w:rFonts w:hint="eastAsia"/>
                <w:sz w:val="24"/>
              </w:rPr>
              <w:t>天弘安和平衡混合型证券投资基金</w:t>
            </w:r>
          </w:p>
        </w:tc>
        <w:tc>
          <w:tcPr>
            <w:tcW w:w="3028" w:type="dxa"/>
          </w:tcPr>
          <w:p w:rsidR="00C82047" w:rsidRDefault="00ED7586" w:rsidP="00861668">
            <w:pPr>
              <w:pStyle w:val="af"/>
              <w:adjustRightInd w:val="0"/>
              <w:snapToGrid w:val="0"/>
              <w:spacing w:line="460" w:lineRule="exact"/>
              <w:ind w:firstLineChars="0" w:firstLine="0"/>
              <w:rPr>
                <w:sz w:val="24"/>
              </w:rPr>
            </w:pPr>
            <w:r>
              <w:rPr>
                <w:rFonts w:hint="eastAsia"/>
                <w:sz w:val="24"/>
              </w:rPr>
              <w:t>中债新综合指数（财富）收益率×</w:t>
            </w:r>
            <w:r>
              <w:rPr>
                <w:rFonts w:hint="eastAsia"/>
                <w:sz w:val="24"/>
              </w:rPr>
              <w:t>55%+</w:t>
            </w:r>
            <w:r>
              <w:rPr>
                <w:rFonts w:hint="eastAsia"/>
                <w:sz w:val="24"/>
              </w:rPr>
              <w:t>中证</w:t>
            </w:r>
            <w:r>
              <w:rPr>
                <w:rFonts w:hint="eastAsia"/>
                <w:sz w:val="24"/>
              </w:rPr>
              <w:t>800</w:t>
            </w:r>
            <w:r>
              <w:rPr>
                <w:rFonts w:hint="eastAsia"/>
                <w:sz w:val="24"/>
              </w:rPr>
              <w:t>指数收益率×</w:t>
            </w:r>
            <w:r>
              <w:rPr>
                <w:rFonts w:hint="eastAsia"/>
                <w:sz w:val="24"/>
              </w:rPr>
              <w:t>40%+</w:t>
            </w:r>
            <w:r>
              <w:rPr>
                <w:rFonts w:hint="eastAsia"/>
                <w:sz w:val="24"/>
              </w:rPr>
              <w:t>中证港股通综合指数收益率×</w:t>
            </w:r>
            <w:r>
              <w:rPr>
                <w:rFonts w:hint="eastAsia"/>
                <w:sz w:val="24"/>
              </w:rPr>
              <w:t>5%</w:t>
            </w:r>
          </w:p>
        </w:tc>
        <w:tc>
          <w:tcPr>
            <w:tcW w:w="3032" w:type="dxa"/>
          </w:tcPr>
          <w:p w:rsidR="00C82047" w:rsidRDefault="00ED7586" w:rsidP="00861668">
            <w:pPr>
              <w:pStyle w:val="af"/>
              <w:adjustRightInd w:val="0"/>
              <w:snapToGrid w:val="0"/>
              <w:spacing w:line="460" w:lineRule="exact"/>
              <w:ind w:firstLineChars="0" w:firstLine="0"/>
              <w:rPr>
                <w:sz w:val="24"/>
              </w:rPr>
            </w:pPr>
            <w:r>
              <w:rPr>
                <w:rFonts w:hint="eastAsia"/>
                <w:sz w:val="24"/>
              </w:rPr>
              <w:t>中债</w:t>
            </w:r>
            <w:r>
              <w:rPr>
                <w:rFonts w:hint="eastAsia"/>
                <w:sz w:val="24"/>
              </w:rPr>
              <w:t>-</w:t>
            </w:r>
            <w:r>
              <w:rPr>
                <w:rFonts w:hint="eastAsia"/>
                <w:sz w:val="24"/>
              </w:rPr>
              <w:t>新综合财富（总值）指数收益率</w:t>
            </w:r>
            <w:r>
              <w:rPr>
                <w:sz w:val="24"/>
              </w:rPr>
              <w:t>*</w:t>
            </w:r>
            <w:r>
              <w:rPr>
                <w:rFonts w:hint="eastAsia"/>
                <w:sz w:val="24"/>
              </w:rPr>
              <w:t>80%+</w:t>
            </w:r>
            <w:r>
              <w:rPr>
                <w:rFonts w:hint="eastAsia"/>
                <w:sz w:val="24"/>
              </w:rPr>
              <w:t>中证</w:t>
            </w:r>
            <w:r>
              <w:rPr>
                <w:rFonts w:hint="eastAsia"/>
                <w:sz w:val="24"/>
              </w:rPr>
              <w:t>800</w:t>
            </w:r>
            <w:r>
              <w:rPr>
                <w:rFonts w:hint="eastAsia"/>
                <w:sz w:val="24"/>
              </w:rPr>
              <w:t>指数收益率</w:t>
            </w:r>
            <w:r>
              <w:rPr>
                <w:sz w:val="24"/>
              </w:rPr>
              <w:t>*</w:t>
            </w:r>
            <w:r>
              <w:rPr>
                <w:rFonts w:hint="eastAsia"/>
                <w:sz w:val="24"/>
              </w:rPr>
              <w:t>15%+</w:t>
            </w:r>
            <w:r>
              <w:rPr>
                <w:rFonts w:hint="eastAsia"/>
                <w:sz w:val="24"/>
              </w:rPr>
              <w:t>中证港股通综合指数（人民币）收益率</w:t>
            </w:r>
            <w:r>
              <w:rPr>
                <w:sz w:val="24"/>
              </w:rPr>
              <w:t>*</w:t>
            </w:r>
            <w:r>
              <w:rPr>
                <w:rFonts w:hint="eastAsia"/>
                <w:sz w:val="24"/>
              </w:rPr>
              <w:t>5%</w:t>
            </w:r>
          </w:p>
        </w:tc>
      </w:tr>
      <w:tr w:rsidR="00C82047" w:rsidTr="00861668">
        <w:trPr>
          <w:trHeight w:val="376"/>
          <w:jc w:val="center"/>
        </w:trPr>
        <w:tc>
          <w:tcPr>
            <w:tcW w:w="704" w:type="dxa"/>
          </w:tcPr>
          <w:p w:rsidR="00C82047" w:rsidRDefault="00ED7586" w:rsidP="00861668">
            <w:pPr>
              <w:pStyle w:val="af"/>
              <w:adjustRightInd w:val="0"/>
              <w:snapToGrid w:val="0"/>
              <w:spacing w:line="460" w:lineRule="exact"/>
              <w:ind w:firstLineChars="0" w:firstLine="0"/>
              <w:rPr>
                <w:sz w:val="24"/>
              </w:rPr>
            </w:pPr>
            <w:r>
              <w:rPr>
                <w:rFonts w:hint="eastAsia"/>
                <w:sz w:val="24"/>
              </w:rPr>
              <w:t>9</w:t>
            </w:r>
          </w:p>
        </w:tc>
        <w:tc>
          <w:tcPr>
            <w:tcW w:w="1356" w:type="dxa"/>
          </w:tcPr>
          <w:p w:rsidR="00C82047" w:rsidRDefault="00ED7586" w:rsidP="00861668">
            <w:pPr>
              <w:pStyle w:val="af"/>
              <w:adjustRightInd w:val="0"/>
              <w:snapToGrid w:val="0"/>
              <w:spacing w:line="460" w:lineRule="exact"/>
              <w:ind w:firstLineChars="0" w:firstLine="0"/>
              <w:rPr>
                <w:sz w:val="24"/>
              </w:rPr>
            </w:pPr>
            <w:r>
              <w:rPr>
                <w:rFonts w:hint="eastAsia"/>
                <w:sz w:val="24"/>
              </w:rPr>
              <w:t>天弘安康颐丰一年持有期混合型证券投资基金</w:t>
            </w:r>
          </w:p>
        </w:tc>
        <w:tc>
          <w:tcPr>
            <w:tcW w:w="3028" w:type="dxa"/>
          </w:tcPr>
          <w:p w:rsidR="00C82047" w:rsidRDefault="00ED7586" w:rsidP="00861668">
            <w:pPr>
              <w:pStyle w:val="af"/>
              <w:adjustRightInd w:val="0"/>
              <w:snapToGrid w:val="0"/>
              <w:spacing w:line="460" w:lineRule="exact"/>
              <w:ind w:firstLineChars="0" w:firstLine="0"/>
              <w:rPr>
                <w:sz w:val="24"/>
              </w:rPr>
            </w:pPr>
            <w:r>
              <w:rPr>
                <w:rFonts w:hint="eastAsia"/>
                <w:sz w:val="24"/>
              </w:rPr>
              <w:t>中债新综合指数（财富）收益率×</w:t>
            </w:r>
            <w:r>
              <w:rPr>
                <w:rFonts w:hint="eastAsia"/>
                <w:sz w:val="24"/>
              </w:rPr>
              <w:t>85%+</w:t>
            </w:r>
            <w:r>
              <w:rPr>
                <w:rFonts w:hint="eastAsia"/>
                <w:sz w:val="24"/>
              </w:rPr>
              <w:t>沪深</w:t>
            </w:r>
            <w:r>
              <w:rPr>
                <w:rFonts w:hint="eastAsia"/>
                <w:sz w:val="24"/>
              </w:rPr>
              <w:t>300</w:t>
            </w:r>
            <w:r>
              <w:rPr>
                <w:rFonts w:hint="eastAsia"/>
                <w:sz w:val="24"/>
              </w:rPr>
              <w:t>指数收益率×</w:t>
            </w:r>
            <w:r>
              <w:rPr>
                <w:rFonts w:hint="eastAsia"/>
                <w:sz w:val="24"/>
              </w:rPr>
              <w:t>13%+</w:t>
            </w:r>
            <w:r>
              <w:rPr>
                <w:rFonts w:hint="eastAsia"/>
                <w:sz w:val="24"/>
              </w:rPr>
              <w:t>中证港股通综合指数收益率×</w:t>
            </w:r>
            <w:r>
              <w:rPr>
                <w:rFonts w:hint="eastAsia"/>
                <w:sz w:val="24"/>
              </w:rPr>
              <w:t>2%</w:t>
            </w:r>
          </w:p>
        </w:tc>
        <w:tc>
          <w:tcPr>
            <w:tcW w:w="3032" w:type="dxa"/>
          </w:tcPr>
          <w:p w:rsidR="00C82047" w:rsidRDefault="00ED7586" w:rsidP="00861668">
            <w:pPr>
              <w:pStyle w:val="af"/>
              <w:adjustRightInd w:val="0"/>
              <w:snapToGrid w:val="0"/>
              <w:spacing w:line="460" w:lineRule="exact"/>
              <w:ind w:firstLineChars="0" w:firstLine="0"/>
              <w:rPr>
                <w:sz w:val="24"/>
              </w:rPr>
            </w:pPr>
            <w:r>
              <w:rPr>
                <w:rFonts w:hint="eastAsia"/>
                <w:sz w:val="24"/>
              </w:rPr>
              <w:t>中债</w:t>
            </w:r>
            <w:r>
              <w:rPr>
                <w:rFonts w:hint="eastAsia"/>
                <w:sz w:val="24"/>
              </w:rPr>
              <w:t>-</w:t>
            </w:r>
            <w:r>
              <w:rPr>
                <w:rFonts w:hint="eastAsia"/>
                <w:sz w:val="24"/>
              </w:rPr>
              <w:t>新综合财富（总值）指数收益率</w:t>
            </w:r>
            <w:r>
              <w:rPr>
                <w:sz w:val="24"/>
              </w:rPr>
              <w:t>*</w:t>
            </w:r>
            <w:r>
              <w:rPr>
                <w:rFonts w:hint="eastAsia"/>
                <w:sz w:val="24"/>
              </w:rPr>
              <w:t>80%+</w:t>
            </w:r>
            <w:r>
              <w:rPr>
                <w:rFonts w:hint="eastAsia"/>
                <w:sz w:val="24"/>
              </w:rPr>
              <w:t>沪深</w:t>
            </w:r>
            <w:r>
              <w:rPr>
                <w:rFonts w:hint="eastAsia"/>
                <w:sz w:val="24"/>
              </w:rPr>
              <w:t>300</w:t>
            </w:r>
            <w:r>
              <w:rPr>
                <w:rFonts w:hint="eastAsia"/>
                <w:sz w:val="24"/>
              </w:rPr>
              <w:t>指数收益率</w:t>
            </w:r>
            <w:r>
              <w:rPr>
                <w:sz w:val="24"/>
              </w:rPr>
              <w:t>*</w:t>
            </w:r>
            <w:r>
              <w:rPr>
                <w:rFonts w:hint="eastAsia"/>
                <w:sz w:val="24"/>
              </w:rPr>
              <w:t>15%+</w:t>
            </w:r>
            <w:r>
              <w:rPr>
                <w:rFonts w:hint="eastAsia"/>
                <w:sz w:val="24"/>
              </w:rPr>
              <w:t>中证港股通综合指数（人民币）收益率</w:t>
            </w:r>
            <w:r>
              <w:rPr>
                <w:sz w:val="24"/>
              </w:rPr>
              <w:t>*</w:t>
            </w:r>
            <w:r>
              <w:rPr>
                <w:rFonts w:hint="eastAsia"/>
                <w:sz w:val="24"/>
              </w:rPr>
              <w:t>5%</w:t>
            </w:r>
          </w:p>
        </w:tc>
      </w:tr>
      <w:tr w:rsidR="00C82047" w:rsidTr="00861668">
        <w:trPr>
          <w:trHeight w:val="376"/>
          <w:jc w:val="center"/>
        </w:trPr>
        <w:tc>
          <w:tcPr>
            <w:tcW w:w="704" w:type="dxa"/>
          </w:tcPr>
          <w:p w:rsidR="00C82047" w:rsidRDefault="00ED7586" w:rsidP="00861668">
            <w:pPr>
              <w:pStyle w:val="af"/>
              <w:adjustRightInd w:val="0"/>
              <w:snapToGrid w:val="0"/>
              <w:spacing w:line="460" w:lineRule="exact"/>
              <w:ind w:firstLineChars="0" w:firstLine="0"/>
              <w:rPr>
                <w:sz w:val="24"/>
              </w:rPr>
            </w:pPr>
            <w:r>
              <w:rPr>
                <w:rFonts w:hint="eastAsia"/>
                <w:sz w:val="24"/>
              </w:rPr>
              <w:t>10</w:t>
            </w:r>
          </w:p>
        </w:tc>
        <w:tc>
          <w:tcPr>
            <w:tcW w:w="1356" w:type="dxa"/>
          </w:tcPr>
          <w:p w:rsidR="00C82047" w:rsidRDefault="00ED7586" w:rsidP="00861668">
            <w:pPr>
              <w:pStyle w:val="af"/>
              <w:adjustRightInd w:val="0"/>
              <w:snapToGrid w:val="0"/>
              <w:spacing w:line="460" w:lineRule="exact"/>
              <w:ind w:firstLineChars="0" w:firstLine="0"/>
              <w:rPr>
                <w:sz w:val="24"/>
              </w:rPr>
            </w:pPr>
            <w:r>
              <w:rPr>
                <w:rFonts w:hint="eastAsia"/>
                <w:sz w:val="24"/>
              </w:rPr>
              <w:t>天弘安康颐利混合型证券投资基金</w:t>
            </w:r>
          </w:p>
        </w:tc>
        <w:tc>
          <w:tcPr>
            <w:tcW w:w="3028" w:type="dxa"/>
          </w:tcPr>
          <w:p w:rsidR="00C82047" w:rsidRDefault="00ED7586" w:rsidP="00861668">
            <w:pPr>
              <w:pStyle w:val="af"/>
              <w:adjustRightInd w:val="0"/>
              <w:snapToGrid w:val="0"/>
              <w:spacing w:line="460" w:lineRule="exact"/>
              <w:ind w:firstLineChars="0" w:firstLine="0"/>
              <w:rPr>
                <w:sz w:val="24"/>
              </w:rPr>
            </w:pPr>
            <w:r>
              <w:rPr>
                <w:rFonts w:hint="eastAsia"/>
                <w:sz w:val="24"/>
              </w:rPr>
              <w:t>中证全债指数收益率×</w:t>
            </w:r>
            <w:r>
              <w:rPr>
                <w:rFonts w:hint="eastAsia"/>
                <w:sz w:val="24"/>
              </w:rPr>
              <w:t>85%</w:t>
            </w:r>
            <w:r>
              <w:rPr>
                <w:sz w:val="24"/>
              </w:rPr>
              <w:t>+</w:t>
            </w:r>
            <w:r>
              <w:rPr>
                <w:rFonts w:hint="eastAsia"/>
                <w:sz w:val="24"/>
              </w:rPr>
              <w:t>沪深</w:t>
            </w:r>
            <w:r>
              <w:rPr>
                <w:rFonts w:hint="eastAsia"/>
                <w:sz w:val="24"/>
              </w:rPr>
              <w:t>300</w:t>
            </w:r>
            <w:r>
              <w:rPr>
                <w:rFonts w:hint="eastAsia"/>
                <w:sz w:val="24"/>
              </w:rPr>
              <w:t>指数收益率×</w:t>
            </w:r>
            <w:r>
              <w:rPr>
                <w:rFonts w:hint="eastAsia"/>
                <w:sz w:val="24"/>
              </w:rPr>
              <w:t>13%+</w:t>
            </w:r>
            <w:r>
              <w:rPr>
                <w:rFonts w:hint="eastAsia"/>
                <w:sz w:val="24"/>
              </w:rPr>
              <w:t>恒生指数收益率</w:t>
            </w:r>
            <w:r>
              <w:rPr>
                <w:rFonts w:hint="eastAsia"/>
                <w:sz w:val="24"/>
              </w:rPr>
              <w:t>(</w:t>
            </w:r>
            <w:r>
              <w:rPr>
                <w:rFonts w:hint="eastAsia"/>
                <w:sz w:val="24"/>
              </w:rPr>
              <w:t>使用估值汇率调整</w:t>
            </w:r>
            <w:r>
              <w:rPr>
                <w:rFonts w:hint="eastAsia"/>
                <w:sz w:val="24"/>
              </w:rPr>
              <w:t>)</w:t>
            </w:r>
            <w:r>
              <w:rPr>
                <w:rFonts w:hint="eastAsia"/>
                <w:sz w:val="24"/>
              </w:rPr>
              <w:t>×</w:t>
            </w:r>
            <w:r>
              <w:rPr>
                <w:rFonts w:hint="eastAsia"/>
                <w:sz w:val="24"/>
              </w:rPr>
              <w:t>2%</w:t>
            </w:r>
          </w:p>
        </w:tc>
        <w:tc>
          <w:tcPr>
            <w:tcW w:w="3032" w:type="dxa"/>
          </w:tcPr>
          <w:p w:rsidR="00C82047" w:rsidRDefault="00ED7586" w:rsidP="00861668">
            <w:pPr>
              <w:pStyle w:val="af"/>
              <w:adjustRightInd w:val="0"/>
              <w:snapToGrid w:val="0"/>
              <w:spacing w:line="460" w:lineRule="exact"/>
              <w:ind w:firstLineChars="0" w:firstLine="0"/>
              <w:rPr>
                <w:sz w:val="24"/>
              </w:rPr>
            </w:pPr>
            <w:r>
              <w:rPr>
                <w:rFonts w:hint="eastAsia"/>
                <w:sz w:val="24"/>
              </w:rPr>
              <w:t>中证全债指数收益率</w:t>
            </w:r>
            <w:r>
              <w:rPr>
                <w:rFonts w:hint="eastAsia"/>
                <w:sz w:val="24"/>
              </w:rPr>
              <w:t>*90%+</w:t>
            </w:r>
            <w:r>
              <w:rPr>
                <w:rFonts w:hint="eastAsia"/>
                <w:sz w:val="24"/>
              </w:rPr>
              <w:t>沪深</w:t>
            </w:r>
            <w:r>
              <w:rPr>
                <w:rFonts w:hint="eastAsia"/>
                <w:sz w:val="24"/>
              </w:rPr>
              <w:t>300</w:t>
            </w:r>
            <w:r>
              <w:rPr>
                <w:rFonts w:hint="eastAsia"/>
                <w:sz w:val="24"/>
              </w:rPr>
              <w:t>指数收益率</w:t>
            </w:r>
            <w:r>
              <w:rPr>
                <w:rFonts w:hint="eastAsia"/>
                <w:sz w:val="24"/>
              </w:rPr>
              <w:t>*10%</w:t>
            </w:r>
          </w:p>
        </w:tc>
      </w:tr>
      <w:tr w:rsidR="00C82047" w:rsidTr="00861668">
        <w:trPr>
          <w:trHeight w:val="376"/>
          <w:jc w:val="center"/>
        </w:trPr>
        <w:tc>
          <w:tcPr>
            <w:tcW w:w="704" w:type="dxa"/>
          </w:tcPr>
          <w:p w:rsidR="00C82047" w:rsidRDefault="00ED7586" w:rsidP="00861668">
            <w:pPr>
              <w:pStyle w:val="af"/>
              <w:adjustRightInd w:val="0"/>
              <w:snapToGrid w:val="0"/>
              <w:spacing w:line="460" w:lineRule="exact"/>
              <w:ind w:firstLineChars="0" w:firstLine="0"/>
              <w:rPr>
                <w:sz w:val="24"/>
              </w:rPr>
            </w:pPr>
            <w:r>
              <w:rPr>
                <w:rFonts w:hint="eastAsia"/>
                <w:sz w:val="24"/>
              </w:rPr>
              <w:t>11</w:t>
            </w:r>
          </w:p>
        </w:tc>
        <w:tc>
          <w:tcPr>
            <w:tcW w:w="1356" w:type="dxa"/>
          </w:tcPr>
          <w:p w:rsidR="00C82047" w:rsidRDefault="00ED7586" w:rsidP="00861668">
            <w:pPr>
              <w:pStyle w:val="af"/>
              <w:adjustRightInd w:val="0"/>
              <w:snapToGrid w:val="0"/>
              <w:spacing w:line="460" w:lineRule="exact"/>
              <w:ind w:firstLineChars="0" w:firstLine="0"/>
              <w:rPr>
                <w:sz w:val="24"/>
              </w:rPr>
            </w:pPr>
            <w:r>
              <w:rPr>
                <w:rFonts w:hint="eastAsia"/>
                <w:sz w:val="24"/>
              </w:rPr>
              <w:t>天弘月月宝</w:t>
            </w:r>
            <w:r>
              <w:rPr>
                <w:rFonts w:hint="eastAsia"/>
                <w:sz w:val="24"/>
              </w:rPr>
              <w:t>30</w:t>
            </w:r>
            <w:r>
              <w:rPr>
                <w:rFonts w:hint="eastAsia"/>
                <w:sz w:val="24"/>
              </w:rPr>
              <w:t>天持有期债券型证券投资基金</w:t>
            </w:r>
          </w:p>
        </w:tc>
        <w:tc>
          <w:tcPr>
            <w:tcW w:w="3028" w:type="dxa"/>
          </w:tcPr>
          <w:p w:rsidR="00C82047" w:rsidRDefault="00ED7586" w:rsidP="00861668">
            <w:pPr>
              <w:pStyle w:val="af"/>
              <w:adjustRightInd w:val="0"/>
              <w:snapToGrid w:val="0"/>
              <w:spacing w:line="460" w:lineRule="exact"/>
              <w:ind w:firstLineChars="0" w:firstLine="0"/>
              <w:rPr>
                <w:sz w:val="24"/>
              </w:rPr>
            </w:pPr>
            <w:r>
              <w:rPr>
                <w:rFonts w:hint="eastAsia"/>
                <w:sz w:val="24"/>
              </w:rPr>
              <w:t>中债综合全价指数收益率×</w:t>
            </w:r>
            <w:r>
              <w:rPr>
                <w:rFonts w:hint="eastAsia"/>
                <w:sz w:val="24"/>
              </w:rPr>
              <w:t>80%+</w:t>
            </w:r>
            <w:r>
              <w:rPr>
                <w:rFonts w:hint="eastAsia"/>
                <w:sz w:val="24"/>
              </w:rPr>
              <w:t>中国人民银行公告的金融机构人民币七天通知存款基准利率</w:t>
            </w:r>
            <w:r>
              <w:rPr>
                <w:rFonts w:hint="eastAsia"/>
                <w:sz w:val="24"/>
              </w:rPr>
              <w:t>(</w:t>
            </w:r>
            <w:r>
              <w:rPr>
                <w:rFonts w:hint="eastAsia"/>
                <w:sz w:val="24"/>
              </w:rPr>
              <w:t>税后）×</w:t>
            </w:r>
            <w:r>
              <w:rPr>
                <w:rFonts w:hint="eastAsia"/>
                <w:sz w:val="24"/>
              </w:rPr>
              <w:t>20%</w:t>
            </w:r>
          </w:p>
        </w:tc>
        <w:tc>
          <w:tcPr>
            <w:tcW w:w="3032" w:type="dxa"/>
          </w:tcPr>
          <w:p w:rsidR="00C82047" w:rsidRDefault="00ED7586" w:rsidP="00861668">
            <w:pPr>
              <w:pStyle w:val="af"/>
              <w:adjustRightInd w:val="0"/>
              <w:snapToGrid w:val="0"/>
              <w:spacing w:line="460" w:lineRule="exact"/>
              <w:ind w:firstLineChars="0" w:firstLine="0"/>
              <w:rPr>
                <w:sz w:val="24"/>
              </w:rPr>
            </w:pPr>
            <w:r>
              <w:rPr>
                <w:rFonts w:hint="eastAsia"/>
                <w:sz w:val="24"/>
              </w:rPr>
              <w:t>中债</w:t>
            </w:r>
            <w:r>
              <w:rPr>
                <w:rFonts w:hint="eastAsia"/>
                <w:sz w:val="24"/>
              </w:rPr>
              <w:t>-</w:t>
            </w:r>
            <w:r>
              <w:rPr>
                <w:rFonts w:hint="eastAsia"/>
                <w:sz w:val="24"/>
              </w:rPr>
              <w:t>综合全价（</w:t>
            </w:r>
            <w:r>
              <w:rPr>
                <w:rFonts w:hint="eastAsia"/>
                <w:sz w:val="24"/>
              </w:rPr>
              <w:t>1</w:t>
            </w:r>
            <w:r>
              <w:rPr>
                <w:rFonts w:hint="eastAsia"/>
                <w:sz w:val="24"/>
              </w:rPr>
              <w:t>年以下）指数收益率</w:t>
            </w:r>
            <w:r>
              <w:rPr>
                <w:rFonts w:hint="eastAsia"/>
                <w:sz w:val="24"/>
              </w:rPr>
              <w:t>*95%+</w:t>
            </w:r>
            <w:r>
              <w:rPr>
                <w:rFonts w:hint="eastAsia"/>
                <w:sz w:val="24"/>
              </w:rPr>
              <w:t>活期存款基准利率</w:t>
            </w:r>
            <w:r>
              <w:rPr>
                <w:rFonts w:hint="eastAsia"/>
                <w:sz w:val="24"/>
              </w:rPr>
              <w:t>*5%</w:t>
            </w:r>
          </w:p>
        </w:tc>
      </w:tr>
      <w:tr w:rsidR="00C82047" w:rsidTr="00861668">
        <w:trPr>
          <w:trHeight w:val="376"/>
          <w:jc w:val="center"/>
        </w:trPr>
        <w:tc>
          <w:tcPr>
            <w:tcW w:w="704" w:type="dxa"/>
          </w:tcPr>
          <w:p w:rsidR="00C82047" w:rsidRDefault="00ED7586" w:rsidP="00861668">
            <w:pPr>
              <w:pStyle w:val="af"/>
              <w:adjustRightInd w:val="0"/>
              <w:snapToGrid w:val="0"/>
              <w:spacing w:line="460" w:lineRule="exact"/>
              <w:ind w:firstLineChars="0" w:firstLine="0"/>
              <w:rPr>
                <w:sz w:val="24"/>
              </w:rPr>
            </w:pPr>
            <w:r>
              <w:rPr>
                <w:rFonts w:hint="eastAsia"/>
                <w:sz w:val="24"/>
              </w:rPr>
              <w:t>12</w:t>
            </w:r>
          </w:p>
        </w:tc>
        <w:tc>
          <w:tcPr>
            <w:tcW w:w="1356" w:type="dxa"/>
          </w:tcPr>
          <w:p w:rsidR="00C82047" w:rsidRDefault="00ED7586" w:rsidP="00861668">
            <w:pPr>
              <w:pStyle w:val="af"/>
              <w:adjustRightInd w:val="0"/>
              <w:snapToGrid w:val="0"/>
              <w:spacing w:line="460" w:lineRule="exact"/>
              <w:ind w:firstLineChars="0" w:firstLine="0"/>
              <w:rPr>
                <w:sz w:val="24"/>
              </w:rPr>
            </w:pPr>
            <w:r>
              <w:rPr>
                <w:sz w:val="24"/>
              </w:rPr>
              <w:t>天弘臻享一年定期开放债券型发起式证券投资基金</w:t>
            </w:r>
          </w:p>
        </w:tc>
        <w:tc>
          <w:tcPr>
            <w:tcW w:w="3028" w:type="dxa"/>
          </w:tcPr>
          <w:p w:rsidR="00C82047" w:rsidRDefault="00ED7586" w:rsidP="00861668">
            <w:pPr>
              <w:pStyle w:val="af"/>
              <w:adjustRightInd w:val="0"/>
              <w:snapToGrid w:val="0"/>
              <w:spacing w:line="460" w:lineRule="exact"/>
              <w:ind w:firstLineChars="0" w:firstLine="0"/>
              <w:rPr>
                <w:sz w:val="24"/>
              </w:rPr>
            </w:pPr>
            <w:r>
              <w:rPr>
                <w:sz w:val="24"/>
              </w:rPr>
              <w:t>中债综合全价（总值）指数收益率</w:t>
            </w:r>
          </w:p>
        </w:tc>
        <w:tc>
          <w:tcPr>
            <w:tcW w:w="3032" w:type="dxa"/>
          </w:tcPr>
          <w:p w:rsidR="00C82047" w:rsidRDefault="00ED7586" w:rsidP="00861668">
            <w:pPr>
              <w:pStyle w:val="af"/>
              <w:adjustRightInd w:val="0"/>
              <w:snapToGrid w:val="0"/>
              <w:spacing w:line="460" w:lineRule="exact"/>
              <w:ind w:firstLineChars="0" w:firstLine="0"/>
              <w:rPr>
                <w:sz w:val="24"/>
              </w:rPr>
            </w:pPr>
            <w:r>
              <w:rPr>
                <w:sz w:val="24"/>
              </w:rPr>
              <w:t>中债</w:t>
            </w:r>
            <w:r w:rsidRPr="00861668">
              <w:rPr>
                <w:rFonts w:ascii="宋体" w:hAnsi="宋体" w:cs="宋体"/>
                <w:sz w:val="24"/>
              </w:rPr>
              <w:t>-</w:t>
            </w:r>
            <w:r>
              <w:rPr>
                <w:sz w:val="24"/>
              </w:rPr>
              <w:t>信用债总全价（总值）指数收益率</w:t>
            </w:r>
          </w:p>
        </w:tc>
      </w:tr>
      <w:tr w:rsidR="00C82047" w:rsidTr="00861668">
        <w:trPr>
          <w:trHeight w:val="376"/>
          <w:jc w:val="center"/>
        </w:trPr>
        <w:tc>
          <w:tcPr>
            <w:tcW w:w="704" w:type="dxa"/>
          </w:tcPr>
          <w:p w:rsidR="00C82047" w:rsidRDefault="00ED7586" w:rsidP="00861668">
            <w:pPr>
              <w:pStyle w:val="af"/>
              <w:adjustRightInd w:val="0"/>
              <w:snapToGrid w:val="0"/>
              <w:spacing w:line="460" w:lineRule="exact"/>
              <w:ind w:firstLineChars="0" w:firstLine="0"/>
              <w:rPr>
                <w:sz w:val="24"/>
              </w:rPr>
            </w:pPr>
            <w:r>
              <w:rPr>
                <w:rFonts w:hint="eastAsia"/>
                <w:sz w:val="24"/>
              </w:rPr>
              <w:t>13</w:t>
            </w:r>
          </w:p>
        </w:tc>
        <w:tc>
          <w:tcPr>
            <w:tcW w:w="1356" w:type="dxa"/>
          </w:tcPr>
          <w:p w:rsidR="00C82047" w:rsidRDefault="00ED7586" w:rsidP="00861668">
            <w:pPr>
              <w:pStyle w:val="af"/>
              <w:adjustRightInd w:val="0"/>
              <w:snapToGrid w:val="0"/>
              <w:spacing w:line="460" w:lineRule="exact"/>
              <w:ind w:firstLineChars="0" w:firstLine="0"/>
              <w:rPr>
                <w:sz w:val="24"/>
              </w:rPr>
            </w:pPr>
            <w:r>
              <w:rPr>
                <w:sz w:val="24"/>
              </w:rPr>
              <w:t>天弘优选债券型证券投资基金</w:t>
            </w:r>
          </w:p>
        </w:tc>
        <w:tc>
          <w:tcPr>
            <w:tcW w:w="3028" w:type="dxa"/>
          </w:tcPr>
          <w:p w:rsidR="00C82047" w:rsidRDefault="00ED7586" w:rsidP="00861668">
            <w:pPr>
              <w:pStyle w:val="af"/>
              <w:adjustRightInd w:val="0"/>
              <w:snapToGrid w:val="0"/>
              <w:spacing w:line="460" w:lineRule="exact"/>
              <w:ind w:firstLineChars="0" w:firstLine="0"/>
              <w:rPr>
                <w:sz w:val="24"/>
              </w:rPr>
            </w:pPr>
            <w:r>
              <w:rPr>
                <w:sz w:val="24"/>
              </w:rPr>
              <w:t>中债</w:t>
            </w:r>
            <w:r>
              <w:rPr>
                <w:sz w:val="24"/>
              </w:rPr>
              <w:t>-</w:t>
            </w:r>
            <w:r>
              <w:rPr>
                <w:sz w:val="24"/>
              </w:rPr>
              <w:t>金融债券总全价</w:t>
            </w:r>
            <w:r>
              <w:rPr>
                <w:sz w:val="24"/>
              </w:rPr>
              <w:t>(</w:t>
            </w:r>
            <w:r>
              <w:rPr>
                <w:sz w:val="24"/>
              </w:rPr>
              <w:t>总值</w:t>
            </w:r>
            <w:r>
              <w:rPr>
                <w:sz w:val="24"/>
              </w:rPr>
              <w:t>)</w:t>
            </w:r>
            <w:r>
              <w:rPr>
                <w:sz w:val="24"/>
              </w:rPr>
              <w:t>指数收益率</w:t>
            </w:r>
            <w:r>
              <w:rPr>
                <w:rFonts w:hint="eastAsia"/>
                <w:sz w:val="24"/>
              </w:rPr>
              <w:t>×</w:t>
            </w:r>
            <w:r>
              <w:rPr>
                <w:sz w:val="24"/>
              </w:rPr>
              <w:t>80%+</w:t>
            </w:r>
            <w:r>
              <w:rPr>
                <w:sz w:val="24"/>
              </w:rPr>
              <w:t>银行人民币活期存款利率（税后）</w:t>
            </w:r>
            <w:r>
              <w:rPr>
                <w:rFonts w:hint="eastAsia"/>
                <w:sz w:val="24"/>
              </w:rPr>
              <w:t>×</w:t>
            </w:r>
            <w:r>
              <w:rPr>
                <w:sz w:val="24"/>
              </w:rPr>
              <w:t>20%</w:t>
            </w:r>
          </w:p>
        </w:tc>
        <w:tc>
          <w:tcPr>
            <w:tcW w:w="3032" w:type="dxa"/>
          </w:tcPr>
          <w:p w:rsidR="00C82047" w:rsidRDefault="00ED7586" w:rsidP="00861668">
            <w:pPr>
              <w:pStyle w:val="af"/>
              <w:adjustRightInd w:val="0"/>
              <w:snapToGrid w:val="0"/>
              <w:spacing w:line="460" w:lineRule="exact"/>
              <w:ind w:firstLineChars="0" w:firstLine="0"/>
              <w:rPr>
                <w:sz w:val="24"/>
              </w:rPr>
            </w:pPr>
            <w:r>
              <w:rPr>
                <w:sz w:val="24"/>
              </w:rPr>
              <w:t>中债</w:t>
            </w:r>
            <w:r>
              <w:rPr>
                <w:sz w:val="24"/>
              </w:rPr>
              <w:t>-</w:t>
            </w:r>
            <w:r>
              <w:rPr>
                <w:sz w:val="24"/>
              </w:rPr>
              <w:t>金融债券总全价（总值）指数收益率</w:t>
            </w:r>
            <w:r>
              <w:rPr>
                <w:sz w:val="24"/>
              </w:rPr>
              <w:t>*95%+</w:t>
            </w:r>
            <w:r>
              <w:rPr>
                <w:sz w:val="24"/>
              </w:rPr>
              <w:t>活期存款基准利率</w:t>
            </w:r>
            <w:r>
              <w:rPr>
                <w:sz w:val="24"/>
              </w:rPr>
              <w:t>*5%</w:t>
            </w:r>
          </w:p>
        </w:tc>
      </w:tr>
      <w:tr w:rsidR="00C82047" w:rsidTr="00861668">
        <w:trPr>
          <w:trHeight w:val="376"/>
          <w:jc w:val="center"/>
        </w:trPr>
        <w:tc>
          <w:tcPr>
            <w:tcW w:w="704" w:type="dxa"/>
          </w:tcPr>
          <w:p w:rsidR="00C82047" w:rsidRDefault="00ED7586" w:rsidP="00861668">
            <w:pPr>
              <w:pStyle w:val="af"/>
              <w:adjustRightInd w:val="0"/>
              <w:snapToGrid w:val="0"/>
              <w:spacing w:line="460" w:lineRule="exact"/>
              <w:ind w:firstLineChars="0" w:firstLine="0"/>
              <w:rPr>
                <w:sz w:val="24"/>
              </w:rPr>
            </w:pPr>
            <w:r>
              <w:rPr>
                <w:rFonts w:hint="eastAsia"/>
                <w:sz w:val="24"/>
              </w:rPr>
              <w:t>14</w:t>
            </w:r>
          </w:p>
        </w:tc>
        <w:tc>
          <w:tcPr>
            <w:tcW w:w="1356" w:type="dxa"/>
          </w:tcPr>
          <w:p w:rsidR="00C82047" w:rsidRDefault="00ED7586" w:rsidP="00861668">
            <w:pPr>
              <w:pStyle w:val="af"/>
              <w:adjustRightInd w:val="0"/>
              <w:snapToGrid w:val="0"/>
              <w:spacing w:line="460" w:lineRule="exact"/>
              <w:ind w:firstLineChars="0" w:firstLine="0"/>
              <w:rPr>
                <w:sz w:val="24"/>
              </w:rPr>
            </w:pPr>
            <w:r>
              <w:rPr>
                <w:sz w:val="24"/>
              </w:rPr>
              <w:t>天弘兴享一年定期开放债券型发起式证券投资基金</w:t>
            </w:r>
          </w:p>
        </w:tc>
        <w:tc>
          <w:tcPr>
            <w:tcW w:w="3028" w:type="dxa"/>
          </w:tcPr>
          <w:p w:rsidR="00C82047" w:rsidRDefault="00ED7586" w:rsidP="00861668">
            <w:pPr>
              <w:pStyle w:val="af"/>
              <w:adjustRightInd w:val="0"/>
              <w:snapToGrid w:val="0"/>
              <w:spacing w:line="460" w:lineRule="exact"/>
              <w:ind w:firstLineChars="0" w:firstLine="0"/>
              <w:rPr>
                <w:sz w:val="24"/>
              </w:rPr>
            </w:pPr>
            <w:r>
              <w:rPr>
                <w:sz w:val="24"/>
              </w:rPr>
              <w:t>中债综合全价（总值）指数收益率</w:t>
            </w:r>
          </w:p>
        </w:tc>
        <w:tc>
          <w:tcPr>
            <w:tcW w:w="3032" w:type="dxa"/>
          </w:tcPr>
          <w:p w:rsidR="00C82047" w:rsidRDefault="00ED7586" w:rsidP="00861668">
            <w:pPr>
              <w:pStyle w:val="af"/>
              <w:adjustRightInd w:val="0"/>
              <w:snapToGrid w:val="0"/>
              <w:spacing w:line="460" w:lineRule="exact"/>
              <w:ind w:firstLineChars="0" w:firstLine="0"/>
              <w:rPr>
                <w:sz w:val="24"/>
              </w:rPr>
            </w:pPr>
            <w:r>
              <w:rPr>
                <w:sz w:val="24"/>
              </w:rPr>
              <w:t>中债</w:t>
            </w:r>
            <w:r>
              <w:rPr>
                <w:rFonts w:ascii="宋体" w:hAnsi="宋体" w:hint="eastAsia"/>
                <w:sz w:val="24"/>
                <w:szCs w:val="20"/>
                <w:lang/>
              </w:rPr>
              <w:t>-</w:t>
            </w:r>
            <w:r>
              <w:rPr>
                <w:sz w:val="24"/>
              </w:rPr>
              <w:t>信用债总全价（总值）指数收益率</w:t>
            </w:r>
          </w:p>
        </w:tc>
      </w:tr>
      <w:tr w:rsidR="00C82047" w:rsidTr="00861668">
        <w:trPr>
          <w:trHeight w:val="376"/>
          <w:jc w:val="center"/>
        </w:trPr>
        <w:tc>
          <w:tcPr>
            <w:tcW w:w="704" w:type="dxa"/>
          </w:tcPr>
          <w:p w:rsidR="00C82047" w:rsidRDefault="00ED7586" w:rsidP="00861668">
            <w:pPr>
              <w:pStyle w:val="af"/>
              <w:adjustRightInd w:val="0"/>
              <w:snapToGrid w:val="0"/>
              <w:spacing w:line="460" w:lineRule="exact"/>
              <w:ind w:firstLineChars="0" w:firstLine="0"/>
              <w:rPr>
                <w:sz w:val="24"/>
              </w:rPr>
            </w:pPr>
            <w:r>
              <w:rPr>
                <w:rFonts w:hint="eastAsia"/>
                <w:sz w:val="24"/>
              </w:rPr>
              <w:t>15</w:t>
            </w:r>
          </w:p>
        </w:tc>
        <w:tc>
          <w:tcPr>
            <w:tcW w:w="1356" w:type="dxa"/>
          </w:tcPr>
          <w:p w:rsidR="00C82047" w:rsidRDefault="00ED7586" w:rsidP="00861668">
            <w:pPr>
              <w:pStyle w:val="af"/>
              <w:adjustRightInd w:val="0"/>
              <w:snapToGrid w:val="0"/>
              <w:spacing w:line="460" w:lineRule="exact"/>
              <w:ind w:firstLineChars="0" w:firstLine="0"/>
              <w:rPr>
                <w:sz w:val="24"/>
              </w:rPr>
            </w:pPr>
            <w:r>
              <w:rPr>
                <w:sz w:val="24"/>
              </w:rPr>
              <w:t>天弘永裕稳健养老目标一年持有期混合型基金中基金（</w:t>
            </w:r>
            <w:r>
              <w:rPr>
                <w:sz w:val="24"/>
              </w:rPr>
              <w:t>FOF</w:t>
            </w:r>
            <w:r>
              <w:rPr>
                <w:sz w:val="24"/>
              </w:rPr>
              <w:t>）</w:t>
            </w:r>
          </w:p>
        </w:tc>
        <w:tc>
          <w:tcPr>
            <w:tcW w:w="3028" w:type="dxa"/>
          </w:tcPr>
          <w:p w:rsidR="00C82047" w:rsidRDefault="00ED7586" w:rsidP="00861668">
            <w:pPr>
              <w:pStyle w:val="af"/>
              <w:adjustRightInd w:val="0"/>
              <w:snapToGrid w:val="0"/>
              <w:spacing w:line="460" w:lineRule="exact"/>
              <w:ind w:firstLineChars="0" w:firstLine="0"/>
              <w:rPr>
                <w:sz w:val="24"/>
              </w:rPr>
            </w:pPr>
            <w:r>
              <w:rPr>
                <w:bCs/>
                <w:sz w:val="24"/>
                <w:szCs w:val="20"/>
                <w:lang/>
              </w:rPr>
              <w:t>20%*</w:t>
            </w:r>
            <w:r>
              <w:rPr>
                <w:rFonts w:hint="eastAsia"/>
                <w:bCs/>
                <w:sz w:val="24"/>
                <w:szCs w:val="20"/>
                <w:lang/>
              </w:rPr>
              <w:t>沪深</w:t>
            </w:r>
            <w:r>
              <w:rPr>
                <w:bCs/>
                <w:sz w:val="24"/>
                <w:szCs w:val="20"/>
                <w:lang/>
              </w:rPr>
              <w:t>300</w:t>
            </w:r>
            <w:r>
              <w:rPr>
                <w:rFonts w:hint="eastAsia"/>
                <w:bCs/>
                <w:sz w:val="24"/>
                <w:szCs w:val="20"/>
                <w:lang/>
              </w:rPr>
              <w:t>指数收益率</w:t>
            </w:r>
            <w:r>
              <w:rPr>
                <w:bCs/>
                <w:sz w:val="24"/>
                <w:szCs w:val="20"/>
                <w:lang/>
              </w:rPr>
              <w:t>+80%*</w:t>
            </w:r>
            <w:r>
              <w:rPr>
                <w:rFonts w:hint="eastAsia"/>
                <w:bCs/>
                <w:sz w:val="24"/>
                <w:szCs w:val="20"/>
                <w:lang/>
              </w:rPr>
              <w:t>中债新综合财富（总值）指数收益率</w:t>
            </w:r>
          </w:p>
        </w:tc>
        <w:tc>
          <w:tcPr>
            <w:tcW w:w="3032" w:type="dxa"/>
          </w:tcPr>
          <w:p w:rsidR="00C82047" w:rsidRDefault="00ED7586" w:rsidP="00861668">
            <w:pPr>
              <w:pStyle w:val="af"/>
              <w:adjustRightInd w:val="0"/>
              <w:snapToGrid w:val="0"/>
              <w:spacing w:line="460" w:lineRule="exact"/>
              <w:ind w:firstLineChars="0" w:firstLine="0"/>
              <w:rPr>
                <w:sz w:val="24"/>
              </w:rPr>
            </w:pPr>
            <w:r>
              <w:rPr>
                <w:sz w:val="24"/>
              </w:rPr>
              <w:t>中证纯债债券型基金指数收益率</w:t>
            </w:r>
            <w:r>
              <w:rPr>
                <w:sz w:val="24"/>
              </w:rPr>
              <w:t>*80%+</w:t>
            </w:r>
            <w:r>
              <w:rPr>
                <w:sz w:val="24"/>
              </w:rPr>
              <w:t>沪深</w:t>
            </w:r>
            <w:r>
              <w:rPr>
                <w:sz w:val="24"/>
              </w:rPr>
              <w:t>300</w:t>
            </w:r>
            <w:r>
              <w:rPr>
                <w:sz w:val="24"/>
              </w:rPr>
              <w:t>指数收益率</w:t>
            </w:r>
            <w:r>
              <w:rPr>
                <w:sz w:val="24"/>
              </w:rPr>
              <w:t>*20%</w:t>
            </w:r>
          </w:p>
        </w:tc>
      </w:tr>
      <w:tr w:rsidR="00C82047" w:rsidTr="00861668">
        <w:trPr>
          <w:trHeight w:val="376"/>
          <w:jc w:val="center"/>
        </w:trPr>
        <w:tc>
          <w:tcPr>
            <w:tcW w:w="704" w:type="dxa"/>
          </w:tcPr>
          <w:p w:rsidR="00C82047" w:rsidRDefault="00ED7586" w:rsidP="00861668">
            <w:pPr>
              <w:pStyle w:val="af"/>
              <w:adjustRightInd w:val="0"/>
              <w:snapToGrid w:val="0"/>
              <w:spacing w:line="460" w:lineRule="exact"/>
              <w:ind w:firstLineChars="0" w:firstLine="0"/>
              <w:rPr>
                <w:sz w:val="24"/>
              </w:rPr>
            </w:pPr>
            <w:r>
              <w:rPr>
                <w:rFonts w:hint="eastAsia"/>
                <w:sz w:val="24"/>
              </w:rPr>
              <w:t>16</w:t>
            </w:r>
          </w:p>
        </w:tc>
        <w:tc>
          <w:tcPr>
            <w:tcW w:w="1356" w:type="dxa"/>
          </w:tcPr>
          <w:p w:rsidR="00C82047" w:rsidRDefault="00ED7586" w:rsidP="00861668">
            <w:pPr>
              <w:pStyle w:val="af"/>
              <w:adjustRightInd w:val="0"/>
              <w:snapToGrid w:val="0"/>
              <w:spacing w:line="460" w:lineRule="exact"/>
              <w:ind w:firstLineChars="0" w:firstLine="0"/>
              <w:rPr>
                <w:sz w:val="24"/>
              </w:rPr>
            </w:pPr>
            <w:r>
              <w:rPr>
                <w:sz w:val="24"/>
              </w:rPr>
              <w:t>天弘全球新能源汽车股票型证券投资基金（</w:t>
            </w:r>
            <w:r>
              <w:rPr>
                <w:sz w:val="24"/>
              </w:rPr>
              <w:t>QDII-LOF</w:t>
            </w:r>
            <w:r>
              <w:rPr>
                <w:sz w:val="24"/>
              </w:rPr>
              <w:t>）</w:t>
            </w:r>
          </w:p>
        </w:tc>
        <w:tc>
          <w:tcPr>
            <w:tcW w:w="3028" w:type="dxa"/>
          </w:tcPr>
          <w:p w:rsidR="00C82047" w:rsidRDefault="00ED7586" w:rsidP="00861668">
            <w:pPr>
              <w:pStyle w:val="af"/>
              <w:adjustRightInd w:val="0"/>
              <w:snapToGrid w:val="0"/>
              <w:spacing w:line="460" w:lineRule="exact"/>
              <w:ind w:firstLineChars="0" w:firstLine="0"/>
              <w:rPr>
                <w:sz w:val="24"/>
              </w:rPr>
            </w:pPr>
            <w:r>
              <w:rPr>
                <w:sz w:val="24"/>
              </w:rPr>
              <w:t>标普</w:t>
            </w:r>
            <w:r>
              <w:rPr>
                <w:sz w:val="24"/>
              </w:rPr>
              <w:t>Kensho</w:t>
            </w:r>
            <w:r>
              <w:rPr>
                <w:sz w:val="24"/>
              </w:rPr>
              <w:t>电动车行业指数收益率（使用估值汇率折算）</w:t>
            </w:r>
            <w:r>
              <w:rPr>
                <w:sz w:val="24"/>
              </w:rPr>
              <w:t>*90%+</w:t>
            </w:r>
            <w:r>
              <w:rPr>
                <w:sz w:val="24"/>
              </w:rPr>
              <w:t>人民币活期存款利率（税后）</w:t>
            </w:r>
            <w:r>
              <w:rPr>
                <w:sz w:val="24"/>
              </w:rPr>
              <w:t>*10%</w:t>
            </w:r>
          </w:p>
        </w:tc>
        <w:tc>
          <w:tcPr>
            <w:tcW w:w="3032" w:type="dxa"/>
          </w:tcPr>
          <w:p w:rsidR="00C82047" w:rsidRDefault="00ED7586" w:rsidP="00861668">
            <w:pPr>
              <w:pStyle w:val="af"/>
              <w:adjustRightInd w:val="0"/>
              <w:snapToGrid w:val="0"/>
              <w:spacing w:line="460" w:lineRule="exact"/>
              <w:ind w:firstLineChars="0" w:firstLine="0"/>
              <w:rPr>
                <w:sz w:val="24"/>
              </w:rPr>
            </w:pPr>
            <w:r>
              <w:rPr>
                <w:sz w:val="24"/>
              </w:rPr>
              <w:t>中证港美上市全球智能汽车主题指数（人民币）收益率</w:t>
            </w:r>
            <w:r>
              <w:rPr>
                <w:sz w:val="24"/>
              </w:rPr>
              <w:t>*60%+</w:t>
            </w:r>
            <w:r>
              <w:rPr>
                <w:sz w:val="24"/>
              </w:rPr>
              <w:t>中证新能源汽车指数收益率</w:t>
            </w:r>
            <w:r>
              <w:rPr>
                <w:sz w:val="24"/>
              </w:rPr>
              <w:t>*30%+</w:t>
            </w:r>
            <w:r>
              <w:rPr>
                <w:sz w:val="24"/>
              </w:rPr>
              <w:t>人民币活期存款基准利率</w:t>
            </w:r>
            <w:r>
              <w:rPr>
                <w:sz w:val="24"/>
              </w:rPr>
              <w:t>*10%</w:t>
            </w:r>
          </w:p>
        </w:tc>
      </w:tr>
    </w:tbl>
    <w:p w:rsidR="00C82047" w:rsidRDefault="00ED7586">
      <w:pPr>
        <w:adjustRightInd w:val="0"/>
        <w:snapToGrid w:val="0"/>
        <w:spacing w:line="460" w:lineRule="exact"/>
        <w:ind w:firstLineChars="175" w:firstLine="420"/>
        <w:rPr>
          <w:b/>
          <w:bCs/>
          <w:sz w:val="24"/>
        </w:rPr>
      </w:pPr>
      <w:r>
        <w:rPr>
          <w:bCs/>
          <w:sz w:val="24"/>
        </w:rPr>
        <w:t>上述基金</w:t>
      </w:r>
      <w:bookmarkStart w:id="4" w:name="OLE_LINK9"/>
      <w:bookmarkStart w:id="5" w:name="OLE_LINK10"/>
      <w:r>
        <w:rPr>
          <w:bCs/>
          <w:sz w:val="24"/>
        </w:rPr>
        <w:t>调整业绩比较基准</w:t>
      </w:r>
      <w:r>
        <w:rPr>
          <w:rFonts w:hint="eastAsia"/>
          <w:bCs/>
          <w:sz w:val="24"/>
        </w:rPr>
        <w:t>要素</w:t>
      </w:r>
      <w:r>
        <w:rPr>
          <w:bCs/>
          <w:sz w:val="24"/>
        </w:rPr>
        <w:t>的原因</w:t>
      </w:r>
      <w:r>
        <w:rPr>
          <w:rFonts w:hint="eastAsia"/>
          <w:bCs/>
          <w:sz w:val="24"/>
        </w:rPr>
        <w:t>、差异</w:t>
      </w:r>
      <w:r>
        <w:rPr>
          <w:bCs/>
          <w:sz w:val="24"/>
        </w:rPr>
        <w:t>及</w:t>
      </w:r>
      <w:r>
        <w:rPr>
          <w:rFonts w:hint="eastAsia"/>
          <w:bCs/>
          <w:sz w:val="24"/>
        </w:rPr>
        <w:t>影响</w:t>
      </w:r>
      <w:bookmarkEnd w:id="4"/>
      <w:bookmarkEnd w:id="5"/>
      <w:r>
        <w:rPr>
          <w:bCs/>
          <w:sz w:val="24"/>
        </w:rPr>
        <w:t>详见附件《</w:t>
      </w:r>
      <w:r>
        <w:rPr>
          <w:sz w:val="24"/>
        </w:rPr>
        <w:t>业绩比较基准调整原因及合理性说明》。</w:t>
      </w:r>
    </w:p>
    <w:p w:rsidR="00C82047" w:rsidRDefault="00C82047">
      <w:pPr>
        <w:pStyle w:val="af"/>
        <w:adjustRightInd w:val="0"/>
        <w:snapToGrid w:val="0"/>
        <w:spacing w:line="460" w:lineRule="exact"/>
        <w:ind w:rightChars="40" w:right="84" w:firstLine="480"/>
        <w:rPr>
          <w:kern w:val="0"/>
          <w:sz w:val="24"/>
        </w:rPr>
      </w:pPr>
    </w:p>
    <w:p w:rsidR="00C82047" w:rsidRDefault="00ED7586">
      <w:pPr>
        <w:pStyle w:val="af"/>
        <w:adjustRightInd w:val="0"/>
        <w:snapToGrid w:val="0"/>
        <w:spacing w:line="460" w:lineRule="exact"/>
        <w:ind w:firstLine="482"/>
        <w:rPr>
          <w:b/>
          <w:sz w:val="24"/>
        </w:rPr>
      </w:pPr>
      <w:r>
        <w:rPr>
          <w:b/>
          <w:kern w:val="0"/>
          <w:sz w:val="24"/>
        </w:rPr>
        <w:t>二、基金合同</w:t>
      </w:r>
      <w:r>
        <w:rPr>
          <w:rFonts w:hint="eastAsia"/>
          <w:b/>
          <w:kern w:val="0"/>
          <w:sz w:val="24"/>
        </w:rPr>
        <w:t>等法律文件</w:t>
      </w:r>
      <w:r>
        <w:rPr>
          <w:b/>
          <w:sz w:val="24"/>
        </w:rPr>
        <w:t>修订内容</w:t>
      </w:r>
    </w:p>
    <w:p w:rsidR="00C82047" w:rsidRDefault="00ED7586">
      <w:pPr>
        <w:adjustRightInd w:val="0"/>
        <w:snapToGrid w:val="0"/>
        <w:spacing w:line="460" w:lineRule="exact"/>
        <w:ind w:firstLineChars="200" w:firstLine="480"/>
        <w:rPr>
          <w:rFonts w:eastAsiaTheme="minorEastAsia"/>
          <w:sz w:val="24"/>
        </w:rPr>
      </w:pPr>
      <w:r>
        <w:rPr>
          <w:sz w:val="24"/>
        </w:rPr>
        <w:t>（一）基金合同具体修订内容包括：在</w:t>
      </w:r>
      <w:r>
        <w:rPr>
          <w:rFonts w:hint="eastAsia"/>
          <w:sz w:val="24"/>
        </w:rPr>
        <w:t>“</w:t>
      </w:r>
      <w:r>
        <w:rPr>
          <w:sz w:val="24"/>
        </w:rPr>
        <w:t>基金的投资</w:t>
      </w:r>
      <w:r>
        <w:rPr>
          <w:rFonts w:hint="eastAsia"/>
          <w:sz w:val="24"/>
        </w:rPr>
        <w:t>”</w:t>
      </w:r>
      <w:r>
        <w:rPr>
          <w:sz w:val="24"/>
        </w:rPr>
        <w:t>章节中的</w:t>
      </w:r>
      <w:r>
        <w:rPr>
          <w:rFonts w:hint="eastAsia"/>
          <w:sz w:val="24"/>
        </w:rPr>
        <w:t>“</w:t>
      </w:r>
      <w:r>
        <w:rPr>
          <w:sz w:val="24"/>
        </w:rPr>
        <w:t>业绩比较基准</w:t>
      </w:r>
      <w:r>
        <w:rPr>
          <w:rFonts w:hint="eastAsia"/>
          <w:sz w:val="24"/>
        </w:rPr>
        <w:t>”</w:t>
      </w:r>
      <w:r>
        <w:rPr>
          <w:sz w:val="24"/>
        </w:rPr>
        <w:t>部分列明基金调整后的业绩比较基准</w:t>
      </w:r>
      <w:r>
        <w:rPr>
          <w:rFonts w:hint="eastAsia"/>
          <w:sz w:val="24"/>
        </w:rPr>
        <w:t>、设定</w:t>
      </w:r>
      <w:r>
        <w:rPr>
          <w:sz w:val="24"/>
        </w:rPr>
        <w:t>原因</w:t>
      </w:r>
      <w:r>
        <w:rPr>
          <w:rFonts w:hint="eastAsia"/>
          <w:sz w:val="24"/>
        </w:rPr>
        <w:t>（</w:t>
      </w:r>
      <w:r>
        <w:rPr>
          <w:sz w:val="24"/>
        </w:rPr>
        <w:t>包括与基金产品投资目标、投资范围、投资策略、投资比例限制的匹配情况</w:t>
      </w:r>
      <w:r>
        <w:rPr>
          <w:rFonts w:hint="eastAsia"/>
          <w:sz w:val="24"/>
        </w:rPr>
        <w:t>）、</w:t>
      </w:r>
      <w:r>
        <w:rPr>
          <w:sz w:val="24"/>
        </w:rPr>
        <w:t>基准要素</w:t>
      </w:r>
      <w:r>
        <w:rPr>
          <w:rFonts w:hint="eastAsia"/>
          <w:sz w:val="24"/>
        </w:rPr>
        <w:t>相关信息（包括</w:t>
      </w:r>
      <w:r>
        <w:rPr>
          <w:sz w:val="24"/>
        </w:rPr>
        <w:t>发布机构、代码、查询途径等</w:t>
      </w:r>
      <w:r>
        <w:rPr>
          <w:rFonts w:hint="eastAsia"/>
          <w:sz w:val="24"/>
        </w:rPr>
        <w:t>）、</w:t>
      </w:r>
      <w:r>
        <w:rPr>
          <w:sz w:val="24"/>
        </w:rPr>
        <w:t>业绩比较基准的计算方法</w:t>
      </w:r>
      <w:r>
        <w:rPr>
          <w:rFonts w:hint="eastAsia"/>
          <w:sz w:val="24"/>
        </w:rPr>
        <w:t>、</w:t>
      </w:r>
      <w:r>
        <w:rPr>
          <w:sz w:val="24"/>
        </w:rPr>
        <w:t>管理投资偏离业绩比较基准的定性或定量方法</w:t>
      </w:r>
      <w:r>
        <w:rPr>
          <w:rFonts w:hint="eastAsia"/>
          <w:sz w:val="24"/>
        </w:rPr>
        <w:t>，以及</w:t>
      </w:r>
      <w:r>
        <w:rPr>
          <w:sz w:val="24"/>
        </w:rPr>
        <w:t>未来可能变更业绩比较基准的情形和程序</w:t>
      </w:r>
      <w:r>
        <w:rPr>
          <w:rFonts w:hint="eastAsia"/>
          <w:sz w:val="24"/>
        </w:rPr>
        <w:t>。</w:t>
      </w:r>
      <w:r>
        <w:rPr>
          <w:rFonts w:eastAsiaTheme="minorEastAsia"/>
          <w:sz w:val="24"/>
        </w:rPr>
        <w:t>基金管理人将</w:t>
      </w:r>
      <w:r>
        <w:rPr>
          <w:rFonts w:eastAsiaTheme="minorEastAsia" w:hint="eastAsia"/>
          <w:sz w:val="24"/>
        </w:rPr>
        <w:t>一并修订托管协议，并</w:t>
      </w:r>
      <w:r>
        <w:rPr>
          <w:rFonts w:eastAsiaTheme="minorEastAsia"/>
          <w:sz w:val="24"/>
        </w:rPr>
        <w:t>更新招募说明书</w:t>
      </w:r>
      <w:r>
        <w:rPr>
          <w:rFonts w:eastAsiaTheme="minorEastAsia" w:hint="eastAsia"/>
          <w:sz w:val="24"/>
        </w:rPr>
        <w:t>、基金产品资料概要</w:t>
      </w:r>
      <w:r>
        <w:rPr>
          <w:rFonts w:eastAsiaTheme="minorEastAsia"/>
          <w:sz w:val="24"/>
        </w:rPr>
        <w:t>相关内容。</w:t>
      </w:r>
    </w:p>
    <w:p w:rsidR="00C82047" w:rsidRDefault="00ED7586">
      <w:pPr>
        <w:adjustRightInd w:val="0"/>
        <w:snapToGrid w:val="0"/>
        <w:spacing w:line="460" w:lineRule="exact"/>
        <w:ind w:firstLineChars="200" w:firstLine="480"/>
        <w:rPr>
          <w:sz w:val="24"/>
        </w:rPr>
      </w:pPr>
      <w:r>
        <w:rPr>
          <w:sz w:val="24"/>
        </w:rPr>
        <w:t>（二）</w:t>
      </w:r>
      <w:r>
        <w:rPr>
          <w:rFonts w:hint="eastAsia"/>
          <w:kern w:val="0"/>
          <w:sz w:val="24"/>
        </w:rPr>
        <w:t>本次修订</w:t>
      </w:r>
      <w:r>
        <w:rPr>
          <w:kern w:val="0"/>
          <w:sz w:val="24"/>
        </w:rPr>
        <w:t>对基金份额持有人利益无实质性不利影响</w:t>
      </w:r>
      <w:r>
        <w:rPr>
          <w:rFonts w:hint="eastAsia"/>
          <w:kern w:val="0"/>
          <w:sz w:val="24"/>
        </w:rPr>
        <w:t>，基金管理人已履行规定的程序，</w:t>
      </w:r>
      <w:r>
        <w:rPr>
          <w:kern w:val="0"/>
          <w:sz w:val="24"/>
        </w:rPr>
        <w:t>符合相关法律法规规定和基金合同约定</w:t>
      </w:r>
      <w:r>
        <w:rPr>
          <w:rFonts w:hint="eastAsia"/>
          <w:kern w:val="0"/>
          <w:sz w:val="24"/>
        </w:rPr>
        <w:t>，</w:t>
      </w:r>
      <w:r>
        <w:rPr>
          <w:sz w:val="24"/>
        </w:rPr>
        <w:t>修订后的基金合同、</w:t>
      </w:r>
      <w:r>
        <w:rPr>
          <w:rFonts w:eastAsiaTheme="minorEastAsia" w:hint="eastAsia"/>
          <w:sz w:val="24"/>
        </w:rPr>
        <w:t>托管协议、</w:t>
      </w:r>
      <w:r>
        <w:rPr>
          <w:sz w:val="24"/>
        </w:rPr>
        <w:t>招募说明书（更新）和基金产品资料概要（更新）将在</w:t>
      </w:r>
      <w:r>
        <w:rPr>
          <w:rFonts w:hint="eastAsia"/>
          <w:sz w:val="24"/>
        </w:rPr>
        <w:t>基金管理人</w:t>
      </w:r>
      <w:r>
        <w:rPr>
          <w:sz w:val="24"/>
        </w:rPr>
        <w:t>网站（</w:t>
      </w:r>
      <w:r>
        <w:rPr>
          <w:sz w:val="24"/>
        </w:rPr>
        <w:t>www.thfund.com.cn</w:t>
      </w:r>
      <w:r>
        <w:rPr>
          <w:sz w:val="24"/>
        </w:rPr>
        <w:t>）和中国证监会基金电子披露网站（</w:t>
      </w:r>
      <w:r>
        <w:rPr>
          <w:sz w:val="24"/>
        </w:rPr>
        <w:t>http://eid.csrc.gov.cn/fund</w:t>
      </w:r>
      <w:r>
        <w:rPr>
          <w:sz w:val="24"/>
        </w:rPr>
        <w:t>）发布。投资者办理基金交易等相关业务前，应仔细阅读各基金的基金合同、招募说明书、基金产品资料概要、风险提示及相关业务规则和操作指南等文件。</w:t>
      </w:r>
    </w:p>
    <w:p w:rsidR="00C82047" w:rsidRDefault="00C82047">
      <w:pPr>
        <w:pStyle w:val="af"/>
        <w:adjustRightInd w:val="0"/>
        <w:snapToGrid w:val="0"/>
        <w:spacing w:line="460" w:lineRule="exact"/>
        <w:ind w:firstLine="480"/>
        <w:rPr>
          <w:sz w:val="24"/>
        </w:rPr>
      </w:pPr>
    </w:p>
    <w:p w:rsidR="00C82047" w:rsidRDefault="00ED7586">
      <w:pPr>
        <w:autoSpaceDE w:val="0"/>
        <w:autoSpaceDN w:val="0"/>
        <w:adjustRightInd w:val="0"/>
        <w:snapToGrid w:val="0"/>
        <w:spacing w:line="460" w:lineRule="exact"/>
        <w:ind w:firstLineChars="200" w:firstLine="482"/>
        <w:rPr>
          <w:b/>
          <w:sz w:val="24"/>
        </w:rPr>
      </w:pPr>
      <w:r>
        <w:rPr>
          <w:b/>
          <w:sz w:val="24"/>
        </w:rPr>
        <w:t>三、上述基金修订后的基金合同</w:t>
      </w:r>
      <w:r>
        <w:rPr>
          <w:rFonts w:hint="eastAsia"/>
          <w:b/>
          <w:sz w:val="24"/>
        </w:rPr>
        <w:t>、托管协议</w:t>
      </w:r>
      <w:r>
        <w:rPr>
          <w:b/>
          <w:sz w:val="24"/>
        </w:rPr>
        <w:t>自</w:t>
      </w:r>
      <w:r>
        <w:rPr>
          <w:b/>
          <w:sz w:val="24"/>
        </w:rPr>
        <w:t>202</w:t>
      </w:r>
      <w:r>
        <w:rPr>
          <w:rFonts w:hint="eastAsia"/>
          <w:b/>
          <w:sz w:val="24"/>
        </w:rPr>
        <w:t>6</w:t>
      </w:r>
      <w:r>
        <w:rPr>
          <w:b/>
          <w:sz w:val="24"/>
        </w:rPr>
        <w:t>年</w:t>
      </w:r>
      <w:r w:rsidR="00F05A3A">
        <w:rPr>
          <w:rFonts w:hint="eastAsia"/>
          <w:b/>
          <w:sz w:val="24"/>
        </w:rPr>
        <w:t>6</w:t>
      </w:r>
      <w:r>
        <w:rPr>
          <w:b/>
          <w:sz w:val="24"/>
        </w:rPr>
        <w:t>月</w:t>
      </w:r>
      <w:r w:rsidR="00F05A3A">
        <w:rPr>
          <w:rFonts w:hint="eastAsia"/>
          <w:b/>
          <w:sz w:val="24"/>
        </w:rPr>
        <w:t>1</w:t>
      </w:r>
      <w:r>
        <w:rPr>
          <w:b/>
          <w:sz w:val="24"/>
        </w:rPr>
        <w:t>日起生效。</w:t>
      </w:r>
    </w:p>
    <w:p w:rsidR="00C82047" w:rsidRDefault="00C82047">
      <w:pPr>
        <w:autoSpaceDE w:val="0"/>
        <w:autoSpaceDN w:val="0"/>
        <w:adjustRightInd w:val="0"/>
        <w:snapToGrid w:val="0"/>
        <w:spacing w:line="460" w:lineRule="exact"/>
        <w:ind w:firstLineChars="200" w:firstLine="482"/>
        <w:rPr>
          <w:b/>
          <w:sz w:val="24"/>
        </w:rPr>
      </w:pPr>
    </w:p>
    <w:p w:rsidR="00C82047" w:rsidRDefault="00ED7586">
      <w:pPr>
        <w:pStyle w:val="af"/>
        <w:adjustRightInd w:val="0"/>
        <w:snapToGrid w:val="0"/>
        <w:spacing w:line="460" w:lineRule="exact"/>
        <w:ind w:firstLine="482"/>
        <w:rPr>
          <w:b/>
          <w:sz w:val="24"/>
        </w:rPr>
      </w:pPr>
      <w:r>
        <w:rPr>
          <w:b/>
          <w:sz w:val="24"/>
        </w:rPr>
        <w:t>四、其他事项</w:t>
      </w:r>
    </w:p>
    <w:p w:rsidR="00C82047" w:rsidRDefault="00ED7586">
      <w:pPr>
        <w:pStyle w:val="af"/>
        <w:adjustRightInd w:val="0"/>
        <w:snapToGrid w:val="0"/>
        <w:spacing w:line="460" w:lineRule="exact"/>
        <w:ind w:rightChars="40" w:right="84" w:firstLine="480"/>
        <w:rPr>
          <w:sz w:val="24"/>
        </w:rPr>
      </w:pPr>
      <w:r>
        <w:rPr>
          <w:rFonts w:hint="eastAsia"/>
          <w:sz w:val="24"/>
        </w:rPr>
        <w:t>（一）</w:t>
      </w:r>
      <w:r>
        <w:rPr>
          <w:sz w:val="24"/>
        </w:rPr>
        <w:t>投资者可通过以下途径咨询有关详情</w:t>
      </w:r>
    </w:p>
    <w:p w:rsidR="00C82047" w:rsidRDefault="00ED7586">
      <w:pPr>
        <w:pStyle w:val="af"/>
        <w:adjustRightInd w:val="0"/>
        <w:snapToGrid w:val="0"/>
        <w:spacing w:line="460" w:lineRule="exact"/>
        <w:ind w:rightChars="40" w:right="84" w:firstLine="480"/>
        <w:rPr>
          <w:sz w:val="24"/>
        </w:rPr>
      </w:pPr>
      <w:r>
        <w:rPr>
          <w:sz w:val="24"/>
        </w:rPr>
        <w:t>客户服务电话：</w:t>
      </w:r>
      <w:r>
        <w:rPr>
          <w:sz w:val="24"/>
        </w:rPr>
        <w:t>400-986-8888</w:t>
      </w:r>
    </w:p>
    <w:p w:rsidR="00C82047" w:rsidRDefault="00ED7586">
      <w:pPr>
        <w:pStyle w:val="af"/>
        <w:adjustRightInd w:val="0"/>
        <w:snapToGrid w:val="0"/>
        <w:spacing w:line="460" w:lineRule="exact"/>
        <w:ind w:rightChars="40" w:right="84" w:firstLine="480"/>
        <w:rPr>
          <w:sz w:val="24"/>
        </w:rPr>
      </w:pPr>
      <w:r>
        <w:rPr>
          <w:sz w:val="24"/>
        </w:rPr>
        <w:t>网址：</w:t>
      </w:r>
      <w:r>
        <w:rPr>
          <w:sz w:val="24"/>
        </w:rPr>
        <w:t>www.thfund.com.cn</w:t>
      </w:r>
    </w:p>
    <w:p w:rsidR="00C82047" w:rsidRDefault="00ED7586">
      <w:pPr>
        <w:pStyle w:val="af"/>
        <w:adjustRightInd w:val="0"/>
        <w:snapToGrid w:val="0"/>
        <w:spacing w:line="460" w:lineRule="exact"/>
        <w:ind w:rightChars="40" w:right="84" w:firstLine="480"/>
        <w:rPr>
          <w:sz w:val="24"/>
        </w:rPr>
      </w:pPr>
      <w:r>
        <w:rPr>
          <w:rFonts w:hint="eastAsia"/>
          <w:sz w:val="24"/>
        </w:rPr>
        <w:t>（二）</w:t>
      </w:r>
      <w:r>
        <w:rPr>
          <w:sz w:val="24"/>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w:t>
      </w:r>
      <w:r>
        <w:rPr>
          <w:sz w:val="24"/>
        </w:rPr>
        <w:t>“</w:t>
      </w:r>
      <w:r>
        <w:rPr>
          <w:sz w:val="24"/>
        </w:rPr>
        <w:t>买者自负</w:t>
      </w:r>
      <w:r>
        <w:rPr>
          <w:sz w:val="24"/>
        </w:rPr>
        <w:t>”</w:t>
      </w:r>
      <w:r>
        <w:rPr>
          <w:sz w:val="24"/>
        </w:rPr>
        <w:t>原则，在投资者作出投资决策后，基金运营状况与基金净值变化引致的投资风险，由投资者自行负责。</w:t>
      </w:r>
    </w:p>
    <w:p w:rsidR="00C82047" w:rsidRDefault="00C82047">
      <w:pPr>
        <w:pStyle w:val="af"/>
        <w:adjustRightInd w:val="0"/>
        <w:snapToGrid w:val="0"/>
        <w:spacing w:line="460" w:lineRule="exact"/>
        <w:ind w:rightChars="40" w:right="84"/>
      </w:pPr>
    </w:p>
    <w:p w:rsidR="00C82047" w:rsidRDefault="00ED7586">
      <w:pPr>
        <w:adjustRightInd w:val="0"/>
        <w:snapToGrid w:val="0"/>
        <w:spacing w:line="460" w:lineRule="exact"/>
        <w:ind w:firstLineChars="175" w:firstLine="420"/>
        <w:rPr>
          <w:sz w:val="24"/>
        </w:rPr>
      </w:pPr>
      <w:r>
        <w:rPr>
          <w:sz w:val="24"/>
        </w:rPr>
        <w:t>特此公告。</w:t>
      </w:r>
    </w:p>
    <w:p w:rsidR="00C82047" w:rsidRDefault="00C82047">
      <w:pPr>
        <w:adjustRightInd w:val="0"/>
        <w:snapToGrid w:val="0"/>
        <w:spacing w:line="460" w:lineRule="exact"/>
        <w:ind w:firstLineChars="175" w:firstLine="420"/>
        <w:rPr>
          <w:sz w:val="24"/>
        </w:rPr>
      </w:pPr>
    </w:p>
    <w:p w:rsidR="00C82047" w:rsidRDefault="00ED7586">
      <w:pPr>
        <w:adjustRightInd w:val="0"/>
        <w:snapToGrid w:val="0"/>
        <w:spacing w:line="460" w:lineRule="exact"/>
        <w:ind w:firstLineChars="1450" w:firstLine="3480"/>
        <w:jc w:val="right"/>
        <w:rPr>
          <w:sz w:val="24"/>
        </w:rPr>
      </w:pPr>
      <w:r>
        <w:rPr>
          <w:rFonts w:hint="eastAsia"/>
          <w:sz w:val="24"/>
        </w:rPr>
        <w:t>天弘</w:t>
      </w:r>
      <w:r>
        <w:rPr>
          <w:sz w:val="24"/>
        </w:rPr>
        <w:t>基金管理有限公司</w:t>
      </w:r>
    </w:p>
    <w:p w:rsidR="00C82047" w:rsidRDefault="00ED7586">
      <w:pPr>
        <w:pStyle w:val="af"/>
        <w:adjustRightInd w:val="0"/>
        <w:snapToGrid w:val="0"/>
        <w:spacing w:line="460" w:lineRule="exact"/>
        <w:ind w:right="240" w:firstLineChars="1500" w:firstLine="3600"/>
        <w:jc w:val="right"/>
        <w:rPr>
          <w:sz w:val="24"/>
        </w:rPr>
      </w:pPr>
      <w:r>
        <w:rPr>
          <w:sz w:val="24"/>
        </w:rPr>
        <w:t>20</w:t>
      </w:r>
      <w:r>
        <w:rPr>
          <w:rFonts w:hint="eastAsia"/>
          <w:sz w:val="24"/>
        </w:rPr>
        <w:t>26</w:t>
      </w:r>
      <w:r>
        <w:rPr>
          <w:sz w:val="24"/>
        </w:rPr>
        <w:t>年</w:t>
      </w:r>
      <w:r w:rsidR="00F05A3A">
        <w:rPr>
          <w:rFonts w:hint="eastAsia"/>
          <w:sz w:val="24"/>
        </w:rPr>
        <w:t>5</w:t>
      </w:r>
      <w:r>
        <w:rPr>
          <w:sz w:val="24"/>
        </w:rPr>
        <w:t>月</w:t>
      </w:r>
      <w:r w:rsidR="00F05A3A">
        <w:rPr>
          <w:rFonts w:hint="eastAsia"/>
          <w:sz w:val="24"/>
        </w:rPr>
        <w:t>1</w:t>
      </w:r>
      <w:r>
        <w:rPr>
          <w:sz w:val="24"/>
        </w:rPr>
        <w:t>日</w:t>
      </w:r>
      <w:bookmarkEnd w:id="0"/>
      <w:bookmarkEnd w:id="1"/>
      <w:bookmarkEnd w:id="2"/>
      <w:bookmarkEnd w:id="3"/>
    </w:p>
    <w:p w:rsidR="00C82047" w:rsidRDefault="00C82047">
      <w:pPr>
        <w:pStyle w:val="af"/>
        <w:adjustRightInd w:val="0"/>
        <w:snapToGrid w:val="0"/>
        <w:spacing w:line="460" w:lineRule="exact"/>
        <w:ind w:right="240" w:firstLineChars="1500" w:firstLine="3600"/>
        <w:jc w:val="right"/>
        <w:rPr>
          <w:sz w:val="24"/>
        </w:rPr>
      </w:pPr>
    </w:p>
    <w:p w:rsidR="00B70C49" w:rsidRDefault="00B70C49">
      <w:pPr>
        <w:adjustRightInd w:val="0"/>
        <w:snapToGrid w:val="0"/>
        <w:spacing w:line="460" w:lineRule="exact"/>
        <w:ind w:right="240" w:firstLine="480"/>
        <w:jc w:val="left"/>
        <w:rPr>
          <w:b/>
          <w:sz w:val="24"/>
        </w:rPr>
      </w:pPr>
    </w:p>
    <w:p w:rsidR="00B70C49" w:rsidRDefault="00B70C49">
      <w:pPr>
        <w:adjustRightInd w:val="0"/>
        <w:snapToGrid w:val="0"/>
        <w:spacing w:line="460" w:lineRule="exact"/>
        <w:ind w:right="240" w:firstLine="480"/>
        <w:jc w:val="left"/>
        <w:rPr>
          <w:b/>
          <w:sz w:val="24"/>
        </w:rPr>
      </w:pPr>
    </w:p>
    <w:p w:rsidR="00B70C49" w:rsidRDefault="00B70C49">
      <w:pPr>
        <w:adjustRightInd w:val="0"/>
        <w:snapToGrid w:val="0"/>
        <w:spacing w:line="460" w:lineRule="exact"/>
        <w:ind w:right="240" w:firstLine="480"/>
        <w:jc w:val="left"/>
        <w:rPr>
          <w:b/>
          <w:sz w:val="24"/>
        </w:rPr>
      </w:pPr>
    </w:p>
    <w:p w:rsidR="00B70C49" w:rsidRDefault="00B70C49">
      <w:pPr>
        <w:adjustRightInd w:val="0"/>
        <w:snapToGrid w:val="0"/>
        <w:spacing w:line="460" w:lineRule="exact"/>
        <w:ind w:right="240" w:firstLine="480"/>
        <w:jc w:val="left"/>
        <w:rPr>
          <w:b/>
          <w:sz w:val="24"/>
        </w:rPr>
      </w:pPr>
    </w:p>
    <w:p w:rsidR="00B70C49" w:rsidRDefault="00B70C49">
      <w:pPr>
        <w:adjustRightInd w:val="0"/>
        <w:snapToGrid w:val="0"/>
        <w:spacing w:line="460" w:lineRule="exact"/>
        <w:ind w:right="240" w:firstLine="480"/>
        <w:jc w:val="left"/>
        <w:rPr>
          <w:b/>
          <w:sz w:val="24"/>
        </w:rPr>
      </w:pPr>
    </w:p>
    <w:p w:rsidR="00B70C49" w:rsidRDefault="00B70C49">
      <w:pPr>
        <w:adjustRightInd w:val="0"/>
        <w:snapToGrid w:val="0"/>
        <w:spacing w:line="460" w:lineRule="exact"/>
        <w:ind w:right="240" w:firstLine="480"/>
        <w:jc w:val="left"/>
        <w:rPr>
          <w:b/>
          <w:sz w:val="24"/>
        </w:rPr>
      </w:pPr>
    </w:p>
    <w:p w:rsidR="00B70C49" w:rsidRDefault="00B70C49">
      <w:pPr>
        <w:adjustRightInd w:val="0"/>
        <w:snapToGrid w:val="0"/>
        <w:spacing w:line="460" w:lineRule="exact"/>
        <w:ind w:right="240" w:firstLine="480"/>
        <w:jc w:val="left"/>
        <w:rPr>
          <w:b/>
          <w:sz w:val="24"/>
        </w:rPr>
      </w:pPr>
    </w:p>
    <w:p w:rsidR="00B70C49" w:rsidRDefault="00B70C49">
      <w:pPr>
        <w:adjustRightInd w:val="0"/>
        <w:snapToGrid w:val="0"/>
        <w:spacing w:line="460" w:lineRule="exact"/>
        <w:ind w:right="240" w:firstLine="480"/>
        <w:jc w:val="left"/>
        <w:rPr>
          <w:b/>
          <w:sz w:val="24"/>
        </w:rPr>
      </w:pPr>
    </w:p>
    <w:p w:rsidR="00B70C49" w:rsidRDefault="00B70C49">
      <w:pPr>
        <w:adjustRightInd w:val="0"/>
        <w:snapToGrid w:val="0"/>
        <w:spacing w:line="460" w:lineRule="exact"/>
        <w:ind w:right="240" w:firstLine="480"/>
        <w:jc w:val="left"/>
        <w:rPr>
          <w:b/>
          <w:sz w:val="24"/>
        </w:rPr>
      </w:pPr>
    </w:p>
    <w:p w:rsidR="00B70C49" w:rsidRDefault="00B70C49">
      <w:pPr>
        <w:adjustRightInd w:val="0"/>
        <w:snapToGrid w:val="0"/>
        <w:spacing w:line="460" w:lineRule="exact"/>
        <w:ind w:right="240" w:firstLine="480"/>
        <w:jc w:val="left"/>
        <w:rPr>
          <w:b/>
          <w:sz w:val="24"/>
        </w:rPr>
      </w:pPr>
    </w:p>
    <w:p w:rsidR="002649F2" w:rsidRDefault="002649F2">
      <w:pPr>
        <w:adjustRightInd w:val="0"/>
        <w:snapToGrid w:val="0"/>
        <w:spacing w:line="460" w:lineRule="exact"/>
        <w:ind w:right="240" w:firstLine="480"/>
        <w:jc w:val="left"/>
        <w:rPr>
          <w:b/>
          <w:sz w:val="24"/>
        </w:rPr>
      </w:pPr>
    </w:p>
    <w:p w:rsidR="00B70C49" w:rsidRDefault="00B70C49">
      <w:pPr>
        <w:adjustRightInd w:val="0"/>
        <w:snapToGrid w:val="0"/>
        <w:spacing w:line="460" w:lineRule="exact"/>
        <w:ind w:right="240" w:firstLine="480"/>
        <w:jc w:val="left"/>
        <w:rPr>
          <w:b/>
          <w:sz w:val="24"/>
        </w:rPr>
      </w:pPr>
      <w:r w:rsidRPr="00B70C49">
        <w:rPr>
          <w:rFonts w:hint="eastAsia"/>
          <w:b/>
          <w:sz w:val="24"/>
        </w:rPr>
        <w:t>附：业绩比较基准调整原因及合理性说明</w:t>
      </w:r>
    </w:p>
    <w:p w:rsidR="00B70C49" w:rsidRDefault="00B70C49">
      <w:pPr>
        <w:adjustRightInd w:val="0"/>
        <w:snapToGrid w:val="0"/>
        <w:spacing w:line="460" w:lineRule="exact"/>
        <w:ind w:right="240" w:firstLine="480"/>
        <w:jc w:val="left"/>
        <w:rPr>
          <w:b/>
          <w:sz w:val="24"/>
        </w:rPr>
      </w:pPr>
    </w:p>
    <w:p w:rsidR="002649F2" w:rsidRDefault="002649F2">
      <w:pPr>
        <w:adjustRightInd w:val="0"/>
        <w:snapToGrid w:val="0"/>
        <w:spacing w:line="460" w:lineRule="exact"/>
        <w:ind w:right="240" w:firstLine="480"/>
        <w:jc w:val="left"/>
        <w:rPr>
          <w:b/>
          <w:sz w:val="24"/>
        </w:rPr>
      </w:pPr>
    </w:p>
    <w:p w:rsidR="002649F2" w:rsidRDefault="002649F2">
      <w:pPr>
        <w:adjustRightInd w:val="0"/>
        <w:snapToGrid w:val="0"/>
        <w:spacing w:line="460" w:lineRule="exact"/>
        <w:ind w:right="240" w:firstLine="480"/>
        <w:jc w:val="left"/>
        <w:rPr>
          <w:b/>
          <w:sz w:val="24"/>
        </w:rPr>
      </w:pPr>
    </w:p>
    <w:p w:rsidR="002649F2" w:rsidRDefault="002649F2" w:rsidP="00861668">
      <w:pPr>
        <w:adjustRightInd w:val="0"/>
        <w:snapToGrid w:val="0"/>
        <w:spacing w:line="460" w:lineRule="exact"/>
        <w:ind w:right="240"/>
        <w:jc w:val="left"/>
        <w:rPr>
          <w:b/>
          <w:sz w:val="24"/>
        </w:rPr>
      </w:pP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2"/>
        <w:gridCol w:w="1626"/>
        <w:gridCol w:w="5974"/>
      </w:tblGrid>
      <w:tr w:rsidR="00485FBA" w:rsidRPr="00E31CC1" w:rsidTr="00861668">
        <w:trPr>
          <w:trHeight w:val="285"/>
        </w:trPr>
        <w:tc>
          <w:tcPr>
            <w:tcW w:w="936" w:type="dxa"/>
            <w:shd w:val="clear" w:color="auto" w:fill="auto"/>
            <w:noWrap/>
            <w:vAlign w:val="center"/>
            <w:hideMark/>
          </w:tcPr>
          <w:p w:rsidR="00BF4DDC" w:rsidRPr="00861668" w:rsidRDefault="00BF4DDC" w:rsidP="00861668">
            <w:pPr>
              <w:widowControl/>
              <w:spacing w:line="360" w:lineRule="auto"/>
              <w:rPr>
                <w:rFonts w:asciiTheme="minorEastAsia" w:eastAsiaTheme="minorEastAsia" w:hAnsiTheme="minorEastAsia" w:cs="宋体"/>
                <w:b/>
                <w:bCs/>
                <w:color w:val="000000"/>
                <w:kern w:val="0"/>
                <w:sz w:val="24"/>
              </w:rPr>
            </w:pPr>
            <w:r w:rsidRPr="00861668">
              <w:rPr>
                <w:rFonts w:asciiTheme="minorEastAsia" w:eastAsiaTheme="minorEastAsia" w:hAnsiTheme="minorEastAsia" w:cs="宋体" w:hint="eastAsia"/>
                <w:b/>
                <w:bCs/>
                <w:color w:val="000000"/>
                <w:kern w:val="0"/>
                <w:sz w:val="24"/>
              </w:rPr>
              <w:t>序号</w:t>
            </w:r>
          </w:p>
        </w:tc>
        <w:tc>
          <w:tcPr>
            <w:tcW w:w="1186" w:type="dxa"/>
            <w:shd w:val="clear" w:color="auto" w:fill="auto"/>
            <w:noWrap/>
            <w:vAlign w:val="center"/>
            <w:hideMark/>
          </w:tcPr>
          <w:p w:rsidR="00BF4DDC" w:rsidRPr="00861668" w:rsidRDefault="00BF4DDC" w:rsidP="00861668">
            <w:pPr>
              <w:widowControl/>
              <w:spacing w:line="360" w:lineRule="auto"/>
              <w:rPr>
                <w:rFonts w:asciiTheme="minorEastAsia" w:eastAsiaTheme="minorEastAsia" w:hAnsiTheme="minorEastAsia" w:cs="宋体"/>
                <w:b/>
                <w:bCs/>
                <w:color w:val="000000"/>
                <w:kern w:val="0"/>
                <w:sz w:val="24"/>
              </w:rPr>
            </w:pPr>
            <w:r w:rsidRPr="00861668">
              <w:rPr>
                <w:rFonts w:asciiTheme="minorEastAsia" w:eastAsiaTheme="minorEastAsia" w:hAnsiTheme="minorEastAsia" w:cs="宋体" w:hint="eastAsia"/>
                <w:b/>
                <w:bCs/>
                <w:color w:val="000000"/>
                <w:kern w:val="0"/>
                <w:sz w:val="24"/>
              </w:rPr>
              <w:t>基金全称</w:t>
            </w:r>
          </w:p>
        </w:tc>
        <w:tc>
          <w:tcPr>
            <w:tcW w:w="6095" w:type="dxa"/>
            <w:shd w:val="clear" w:color="auto" w:fill="auto"/>
            <w:noWrap/>
            <w:vAlign w:val="center"/>
            <w:hideMark/>
          </w:tcPr>
          <w:p w:rsidR="00BF4DDC" w:rsidRPr="00861668" w:rsidRDefault="00326735" w:rsidP="00861668">
            <w:pPr>
              <w:widowControl/>
              <w:spacing w:line="360" w:lineRule="auto"/>
              <w:ind w:firstLineChars="200" w:firstLine="482"/>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hint="eastAsia"/>
                <w:b/>
                <w:bCs/>
                <w:color w:val="000000"/>
                <w:kern w:val="0"/>
                <w:sz w:val="24"/>
              </w:rPr>
              <w:t>调整业绩比较基准</w:t>
            </w:r>
            <w:r w:rsidRPr="00326735">
              <w:rPr>
                <w:rFonts w:asciiTheme="minorEastAsia" w:eastAsiaTheme="minorEastAsia" w:hAnsiTheme="minorEastAsia" w:cs="宋体" w:hint="eastAsia"/>
                <w:b/>
                <w:bCs/>
                <w:color w:val="000000"/>
                <w:kern w:val="0"/>
                <w:sz w:val="24"/>
              </w:rPr>
              <w:t>的原因、差异及影响</w:t>
            </w:r>
          </w:p>
        </w:tc>
      </w:tr>
      <w:tr w:rsidR="00485FBA" w:rsidRPr="00E31CC1" w:rsidTr="00861668">
        <w:trPr>
          <w:trHeight w:val="6171"/>
        </w:trPr>
        <w:tc>
          <w:tcPr>
            <w:tcW w:w="936" w:type="dxa"/>
            <w:shd w:val="clear" w:color="auto" w:fill="auto"/>
            <w:vAlign w:val="center"/>
            <w:hideMark/>
          </w:tcPr>
          <w:p w:rsidR="00BF4DDC" w:rsidRPr="00861668" w:rsidRDefault="00BF4DDC" w:rsidP="00861668">
            <w:pPr>
              <w:widowControl/>
              <w:spacing w:line="360" w:lineRule="auto"/>
              <w:ind w:firstLineChars="200" w:firstLine="480"/>
              <w:rPr>
                <w:rFonts w:asciiTheme="minorEastAsia" w:eastAsiaTheme="minorEastAsia" w:hAnsiTheme="minorEastAsia" w:cs="宋体"/>
                <w:color w:val="000000"/>
                <w:kern w:val="0"/>
                <w:sz w:val="24"/>
              </w:rPr>
            </w:pPr>
            <w:r w:rsidRPr="00861668">
              <w:rPr>
                <w:rFonts w:asciiTheme="minorEastAsia" w:eastAsiaTheme="minorEastAsia" w:hAnsiTheme="minorEastAsia" w:cs="宋体"/>
                <w:color w:val="000000"/>
                <w:kern w:val="0"/>
                <w:sz w:val="24"/>
              </w:rPr>
              <w:t>1</w:t>
            </w:r>
          </w:p>
        </w:tc>
        <w:tc>
          <w:tcPr>
            <w:tcW w:w="1186" w:type="dxa"/>
            <w:shd w:val="clear" w:color="auto" w:fill="auto"/>
            <w:vAlign w:val="center"/>
            <w:hideMark/>
          </w:tcPr>
          <w:p w:rsidR="00BF4DDC" w:rsidRPr="00861668" w:rsidRDefault="00BF4DDC" w:rsidP="00861668">
            <w:pPr>
              <w:widowControl/>
              <w:spacing w:line="360" w:lineRule="auto"/>
              <w:rPr>
                <w:rFonts w:asciiTheme="minorEastAsia" w:eastAsiaTheme="minorEastAsia" w:hAnsiTheme="minorEastAsia" w:cs="宋体"/>
                <w:color w:val="000000"/>
                <w:kern w:val="0"/>
                <w:sz w:val="24"/>
              </w:rPr>
            </w:pPr>
            <w:r w:rsidRPr="00861668">
              <w:rPr>
                <w:rFonts w:asciiTheme="minorEastAsia" w:eastAsiaTheme="minorEastAsia" w:hAnsiTheme="minorEastAsia" w:cs="宋体" w:hint="eastAsia"/>
                <w:color w:val="000000"/>
                <w:kern w:val="0"/>
                <w:sz w:val="24"/>
              </w:rPr>
              <w:t>天弘云端生活优选灵活配置混合型证券投资基金</w:t>
            </w:r>
          </w:p>
        </w:tc>
        <w:tc>
          <w:tcPr>
            <w:tcW w:w="6095" w:type="dxa"/>
            <w:shd w:val="clear" w:color="auto" w:fill="auto"/>
            <w:vAlign w:val="center"/>
            <w:hideMark/>
          </w:tcPr>
          <w:p w:rsidR="00E31CC1"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原</w:t>
            </w:r>
            <w:r w:rsidR="009803CD" w:rsidRPr="009803CD">
              <w:rPr>
                <w:rFonts w:asciiTheme="minorEastAsia" w:eastAsiaTheme="minorEastAsia" w:hAnsiTheme="minorEastAsia" w:cs="宋体" w:hint="eastAsia"/>
                <w:kern w:val="0"/>
                <w:sz w:val="24"/>
              </w:rPr>
              <w:t>业绩比较</w:t>
            </w:r>
            <w:r w:rsidRPr="00861668">
              <w:rPr>
                <w:rFonts w:asciiTheme="minorEastAsia" w:eastAsiaTheme="minorEastAsia" w:hAnsiTheme="minorEastAsia" w:cs="宋体" w:hint="eastAsia"/>
                <w:kern w:val="0"/>
                <w:sz w:val="24"/>
              </w:rPr>
              <w:t>基准：</w:t>
            </w:r>
            <w:r w:rsidRPr="00861668">
              <w:rPr>
                <w:rFonts w:asciiTheme="minorEastAsia" w:eastAsiaTheme="minorEastAsia" w:hAnsiTheme="minorEastAsia" w:cs="宋体"/>
                <w:kern w:val="0"/>
                <w:sz w:val="24"/>
              </w:rPr>
              <w:t>60%×中证主要消费指数收益率+40%×中证综合</w:t>
            </w:r>
            <w:r w:rsidRPr="00861668">
              <w:rPr>
                <w:rFonts w:asciiTheme="minorEastAsia" w:eastAsiaTheme="minorEastAsia" w:hAnsiTheme="minorEastAsia" w:cs="宋体" w:hint="eastAsia"/>
                <w:kern w:val="0"/>
                <w:sz w:val="24"/>
              </w:rPr>
              <w:t>债指数收益率</w:t>
            </w:r>
          </w:p>
          <w:p w:rsidR="00E31CC1"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调整后的</w:t>
            </w:r>
            <w:r w:rsidR="009803CD" w:rsidRPr="009803CD">
              <w:rPr>
                <w:rFonts w:asciiTheme="minorEastAsia" w:eastAsiaTheme="minorEastAsia" w:hAnsiTheme="minorEastAsia" w:cs="宋体" w:hint="eastAsia"/>
                <w:kern w:val="0"/>
                <w:sz w:val="24"/>
              </w:rPr>
              <w:t>业绩比较</w:t>
            </w:r>
            <w:r w:rsidRPr="00861668">
              <w:rPr>
                <w:rFonts w:asciiTheme="minorEastAsia" w:eastAsiaTheme="minorEastAsia" w:hAnsiTheme="minorEastAsia" w:cs="宋体" w:hint="eastAsia"/>
                <w:kern w:val="0"/>
                <w:sz w:val="24"/>
              </w:rPr>
              <w:t>基准：中证内地消费主题指数收益率</w:t>
            </w:r>
            <w:r w:rsidRPr="00861668">
              <w:rPr>
                <w:rFonts w:asciiTheme="minorEastAsia" w:eastAsiaTheme="minorEastAsia" w:hAnsiTheme="minorEastAsia" w:cs="宋体"/>
                <w:kern w:val="0"/>
                <w:sz w:val="24"/>
              </w:rPr>
              <w:t>*85%+中证综合</w:t>
            </w:r>
            <w:r w:rsidRPr="00861668">
              <w:rPr>
                <w:rFonts w:asciiTheme="minorEastAsia" w:eastAsiaTheme="minorEastAsia" w:hAnsiTheme="minorEastAsia" w:cs="宋体" w:hint="eastAsia"/>
                <w:kern w:val="0"/>
                <w:sz w:val="24"/>
              </w:rPr>
              <w:t>债指数收益率</w:t>
            </w:r>
            <w:r w:rsidRPr="00861668">
              <w:rPr>
                <w:rFonts w:asciiTheme="minorEastAsia" w:eastAsiaTheme="minorEastAsia" w:hAnsiTheme="minorEastAsia" w:cs="宋体"/>
                <w:kern w:val="0"/>
                <w:sz w:val="24"/>
              </w:rPr>
              <w:t>*15%</w:t>
            </w:r>
          </w:p>
          <w:p w:rsidR="00E31CC1" w:rsidRDefault="00753E17" w:rsidP="00861668">
            <w:pPr>
              <w:widowControl/>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差异：</w:t>
            </w:r>
            <w:r w:rsidR="00BF4DDC" w:rsidRPr="00861668">
              <w:rPr>
                <w:rFonts w:asciiTheme="minorEastAsia" w:eastAsiaTheme="minorEastAsia" w:hAnsiTheme="minorEastAsia" w:cs="宋体" w:hint="eastAsia"/>
                <w:kern w:val="0"/>
                <w:sz w:val="24"/>
              </w:rPr>
              <w:t>股票资产基准要素权重从</w:t>
            </w:r>
            <w:r w:rsidR="00BF4DDC" w:rsidRPr="00861668">
              <w:rPr>
                <w:rFonts w:asciiTheme="minorEastAsia" w:eastAsiaTheme="minorEastAsia" w:hAnsiTheme="minorEastAsia" w:cs="宋体"/>
                <w:kern w:val="0"/>
                <w:sz w:val="24"/>
              </w:rPr>
              <w:t>60%调整为85%，债券资产基准要素权重从40%调整为15%，股票资产基准要素从中证主要消费指数调整为中</w:t>
            </w:r>
            <w:r w:rsidR="00BF4DDC" w:rsidRPr="00861668">
              <w:rPr>
                <w:rFonts w:asciiTheme="minorEastAsia" w:eastAsiaTheme="minorEastAsia" w:hAnsiTheme="minorEastAsia" w:cs="宋体" w:hint="eastAsia"/>
                <w:kern w:val="0"/>
                <w:sz w:val="24"/>
              </w:rPr>
              <w:t>证内地消费主题指数。</w:t>
            </w:r>
          </w:p>
          <w:p w:rsidR="00E31CC1"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原因：</w:t>
            </w:r>
          </w:p>
          <w:p w:rsidR="00714178"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kern w:val="0"/>
                <w:sz w:val="24"/>
              </w:rPr>
              <w:t>1、根据本基金近三年股票和债券的</w:t>
            </w:r>
            <w:r w:rsidRPr="00861668">
              <w:rPr>
                <w:rFonts w:asciiTheme="minorEastAsia" w:eastAsiaTheme="minorEastAsia" w:hAnsiTheme="minorEastAsia" w:cs="宋体" w:hint="eastAsia"/>
                <w:kern w:val="0"/>
                <w:sz w:val="24"/>
              </w:rPr>
              <w:t>仓位情况，调整后的要素、权重更符合基金所投资的股票、债券过往实际投资运作情况和未来的投资策略。</w:t>
            </w:r>
          </w:p>
          <w:p w:rsidR="00E31CC1"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kern w:val="0"/>
                <w:sz w:val="24"/>
              </w:rPr>
              <w:t>2、原股票资产基准要素中证主要消费指数的成</w:t>
            </w:r>
            <w:r w:rsidR="00BA5C1B">
              <w:rPr>
                <w:rFonts w:asciiTheme="minorEastAsia" w:eastAsiaTheme="minorEastAsia" w:hAnsiTheme="minorEastAsia" w:cs="宋体" w:hint="eastAsia"/>
                <w:kern w:val="0"/>
                <w:sz w:val="24"/>
              </w:rPr>
              <w:t>份股集中在必选消费方向，包括食品饮料、农林牧渔、美容护理等。调整</w:t>
            </w:r>
            <w:r w:rsidRPr="00861668">
              <w:rPr>
                <w:rFonts w:asciiTheme="minorEastAsia" w:eastAsiaTheme="minorEastAsia" w:hAnsiTheme="minorEastAsia" w:cs="宋体" w:hint="eastAsia"/>
                <w:kern w:val="0"/>
                <w:sz w:val="24"/>
              </w:rPr>
              <w:t>后的股票资产基准要素中证内地消费主题指数的成份股在必选消费和可选消费方向的分布比较均衡，行业更广泛，包括食品饮料、汽车、家用电器、农林牧渔、商贸零售、纺织服饰等，与主题界定更契合。</w:t>
            </w:r>
          </w:p>
          <w:p w:rsidR="00BF4DDC" w:rsidRPr="00861668"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影响：本次业绩比较基准调整的目的是提高基金业绩表现与业绩比较基准的可比性，使基准能够更好地反映基金的风险收益特征。该调整不会对产品投资运作、持有人利益产生实质性不利影响。</w:t>
            </w:r>
          </w:p>
        </w:tc>
      </w:tr>
      <w:tr w:rsidR="00485FBA" w:rsidRPr="00E31CC1" w:rsidTr="00861668">
        <w:trPr>
          <w:trHeight w:val="8190"/>
        </w:trPr>
        <w:tc>
          <w:tcPr>
            <w:tcW w:w="936" w:type="dxa"/>
            <w:shd w:val="clear" w:color="auto" w:fill="auto"/>
            <w:vAlign w:val="center"/>
            <w:hideMark/>
          </w:tcPr>
          <w:p w:rsidR="00BF4DDC" w:rsidRPr="00861668" w:rsidRDefault="00BF4DDC" w:rsidP="00861668">
            <w:pPr>
              <w:widowControl/>
              <w:spacing w:line="360" w:lineRule="auto"/>
              <w:ind w:firstLineChars="200" w:firstLine="480"/>
              <w:rPr>
                <w:rFonts w:asciiTheme="minorEastAsia" w:eastAsiaTheme="minorEastAsia" w:hAnsiTheme="minorEastAsia" w:cs="宋体"/>
                <w:color w:val="000000"/>
                <w:kern w:val="0"/>
                <w:sz w:val="24"/>
              </w:rPr>
            </w:pPr>
            <w:r w:rsidRPr="00861668">
              <w:rPr>
                <w:rFonts w:asciiTheme="minorEastAsia" w:eastAsiaTheme="minorEastAsia" w:hAnsiTheme="minorEastAsia" w:cs="宋体"/>
                <w:color w:val="000000"/>
                <w:kern w:val="0"/>
                <w:sz w:val="24"/>
              </w:rPr>
              <w:t>2</w:t>
            </w:r>
          </w:p>
        </w:tc>
        <w:tc>
          <w:tcPr>
            <w:tcW w:w="1186" w:type="dxa"/>
            <w:shd w:val="clear" w:color="auto" w:fill="auto"/>
            <w:vAlign w:val="center"/>
            <w:hideMark/>
          </w:tcPr>
          <w:p w:rsidR="00BF4DDC" w:rsidRPr="00861668" w:rsidRDefault="00BF4DDC" w:rsidP="00861668">
            <w:pPr>
              <w:widowControl/>
              <w:spacing w:line="360" w:lineRule="auto"/>
              <w:rPr>
                <w:rFonts w:asciiTheme="minorEastAsia" w:eastAsiaTheme="minorEastAsia" w:hAnsiTheme="minorEastAsia" w:cs="宋体"/>
                <w:color w:val="000000"/>
                <w:kern w:val="0"/>
                <w:sz w:val="24"/>
              </w:rPr>
            </w:pPr>
            <w:r w:rsidRPr="00861668">
              <w:rPr>
                <w:rFonts w:asciiTheme="minorEastAsia" w:eastAsiaTheme="minorEastAsia" w:hAnsiTheme="minorEastAsia" w:cs="宋体" w:hint="eastAsia"/>
                <w:color w:val="000000"/>
                <w:kern w:val="0"/>
                <w:sz w:val="24"/>
              </w:rPr>
              <w:t>天弘精选混合型证券投资基金</w:t>
            </w:r>
          </w:p>
        </w:tc>
        <w:tc>
          <w:tcPr>
            <w:tcW w:w="6095" w:type="dxa"/>
            <w:shd w:val="clear" w:color="auto" w:fill="auto"/>
            <w:vAlign w:val="center"/>
            <w:hideMark/>
          </w:tcPr>
          <w:p w:rsidR="00714178"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原</w:t>
            </w:r>
            <w:r w:rsidR="00714178" w:rsidRPr="00714178">
              <w:rPr>
                <w:rFonts w:asciiTheme="minorEastAsia" w:eastAsiaTheme="minorEastAsia" w:hAnsiTheme="minorEastAsia" w:cs="宋体" w:hint="eastAsia"/>
                <w:kern w:val="0"/>
                <w:sz w:val="24"/>
              </w:rPr>
              <w:t>业绩比较</w:t>
            </w:r>
            <w:r w:rsidRPr="00861668">
              <w:rPr>
                <w:rFonts w:asciiTheme="minorEastAsia" w:eastAsiaTheme="minorEastAsia" w:hAnsiTheme="minorEastAsia" w:cs="宋体" w:hint="eastAsia"/>
                <w:kern w:val="0"/>
                <w:sz w:val="24"/>
              </w:rPr>
              <w:t>基准：上证</w:t>
            </w:r>
            <w:r w:rsidRPr="00861668">
              <w:rPr>
                <w:rFonts w:asciiTheme="minorEastAsia" w:eastAsiaTheme="minorEastAsia" w:hAnsiTheme="minorEastAsia" w:cs="宋体"/>
                <w:kern w:val="0"/>
                <w:sz w:val="24"/>
              </w:rPr>
              <w:t>180指数收益率×55%＋上证国债指数收益率×45%</w:t>
            </w:r>
          </w:p>
          <w:p w:rsidR="00714178"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调整后的</w:t>
            </w:r>
            <w:bookmarkStart w:id="6" w:name="OLE_LINK3"/>
            <w:bookmarkStart w:id="7" w:name="OLE_LINK8"/>
            <w:r w:rsidR="00714178" w:rsidRPr="00714178">
              <w:rPr>
                <w:rFonts w:asciiTheme="minorEastAsia" w:eastAsiaTheme="minorEastAsia" w:hAnsiTheme="minorEastAsia" w:cs="宋体" w:hint="eastAsia"/>
                <w:kern w:val="0"/>
                <w:sz w:val="24"/>
              </w:rPr>
              <w:t>业绩比较</w:t>
            </w:r>
            <w:bookmarkEnd w:id="6"/>
            <w:bookmarkEnd w:id="7"/>
            <w:r w:rsidRPr="00861668">
              <w:rPr>
                <w:rFonts w:asciiTheme="minorEastAsia" w:eastAsiaTheme="minorEastAsia" w:hAnsiTheme="minorEastAsia" w:cs="宋体" w:hint="eastAsia"/>
                <w:kern w:val="0"/>
                <w:sz w:val="24"/>
              </w:rPr>
              <w:t>基准：沪深</w:t>
            </w:r>
            <w:r w:rsidRPr="00861668">
              <w:rPr>
                <w:rFonts w:asciiTheme="minorEastAsia" w:eastAsiaTheme="minorEastAsia" w:hAnsiTheme="minorEastAsia" w:cs="宋体"/>
                <w:kern w:val="0"/>
                <w:sz w:val="24"/>
              </w:rPr>
              <w:t>300指数收益率*75%+上证国债指数收益率*25%</w:t>
            </w:r>
          </w:p>
          <w:p w:rsidR="007150DC" w:rsidRDefault="00753E17" w:rsidP="00861668">
            <w:pPr>
              <w:widowControl/>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差异：</w:t>
            </w:r>
            <w:r w:rsidR="00BF4DDC" w:rsidRPr="00861668">
              <w:rPr>
                <w:rFonts w:asciiTheme="minorEastAsia" w:eastAsiaTheme="minorEastAsia" w:hAnsiTheme="minorEastAsia" w:cs="宋体" w:hint="eastAsia"/>
                <w:kern w:val="0"/>
                <w:sz w:val="24"/>
              </w:rPr>
              <w:t>股票资产基准要素权重从</w:t>
            </w:r>
            <w:r w:rsidR="00BF4DDC" w:rsidRPr="00861668">
              <w:rPr>
                <w:rFonts w:asciiTheme="minorEastAsia" w:eastAsiaTheme="minorEastAsia" w:hAnsiTheme="minorEastAsia" w:cs="宋体"/>
                <w:kern w:val="0"/>
                <w:sz w:val="24"/>
              </w:rPr>
              <w:t>55%调整为75%，债券资产基准要素权重从45%调整为25%，股票资产基准要素从上证180指数调整为沪深300指数。</w:t>
            </w:r>
          </w:p>
          <w:p w:rsidR="007150DC"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原因：</w:t>
            </w:r>
          </w:p>
          <w:p w:rsidR="007150DC"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kern w:val="0"/>
                <w:sz w:val="24"/>
              </w:rPr>
              <w:t>1、优化资产配置比例以更契合产品定位</w:t>
            </w:r>
          </w:p>
          <w:p w:rsidR="00485FBA"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根据本基金近三年股票和债券的仓位情况，调整后的要素、权重更符合基金所投资的股票、债券过往实际投资运作情况和未来的投资策略。</w:t>
            </w:r>
          </w:p>
          <w:p w:rsidR="007150DC"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kern w:val="0"/>
                <w:sz w:val="24"/>
              </w:rPr>
              <w:t>2、提升基准的市场代表性与覆盖面</w:t>
            </w:r>
          </w:p>
          <w:p w:rsidR="007150DC"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上证</w:t>
            </w:r>
            <w:r w:rsidRPr="00861668">
              <w:rPr>
                <w:rFonts w:asciiTheme="minorEastAsia" w:eastAsiaTheme="minorEastAsia" w:hAnsiTheme="minorEastAsia" w:cs="宋体"/>
                <w:kern w:val="0"/>
                <w:sz w:val="24"/>
              </w:rPr>
              <w:t>180指数仅涵盖在上海证券交易所上市的部分A股，其样本空间存在一定的地域局限性。相比之下，沪深300指数由上海和深圳证券市场中市值大、流动性好的300只龙头股票组成，能够更全面、更综合地反映中国A股市场整体表现。将业绩比较基准变更为沪深300指数，能更好地匹配本基金投资于全市场优质上市公司的投资范围，与本基金的价值投资理念和选股策略高度契合。</w:t>
            </w:r>
          </w:p>
          <w:p w:rsidR="00BF4DDC" w:rsidRPr="00861668" w:rsidRDefault="00BF4DDC" w:rsidP="00861668">
            <w:pPr>
              <w:widowControl/>
              <w:spacing w:line="360" w:lineRule="auto"/>
              <w:ind w:firstLineChars="200" w:firstLine="480"/>
              <w:rPr>
                <w:rFonts w:asciiTheme="minorEastAsia" w:eastAsiaTheme="minorEastAsia" w:hAnsiTheme="minorEastAsia" w:cs="宋体"/>
                <w:color w:val="000000"/>
                <w:kern w:val="0"/>
                <w:sz w:val="24"/>
              </w:rPr>
            </w:pPr>
            <w:r w:rsidRPr="00861668">
              <w:rPr>
                <w:rFonts w:asciiTheme="minorEastAsia" w:eastAsiaTheme="minorEastAsia" w:hAnsiTheme="minorEastAsia" w:cs="宋体" w:hint="eastAsia"/>
                <w:kern w:val="0"/>
                <w:sz w:val="24"/>
              </w:rPr>
              <w:t>影响：本次业绩比较基准调整的目的是提高基金业绩表现与业绩比较基准的可比性，使基准能够更好地反映基金的风险收益特征。该调整不会对产品投资运作、持有人利益产生实质性不利影响。</w:t>
            </w:r>
          </w:p>
        </w:tc>
      </w:tr>
      <w:tr w:rsidR="00485FBA" w:rsidRPr="00E31CC1" w:rsidTr="00861668">
        <w:trPr>
          <w:trHeight w:val="7155"/>
        </w:trPr>
        <w:tc>
          <w:tcPr>
            <w:tcW w:w="936" w:type="dxa"/>
            <w:shd w:val="clear" w:color="auto" w:fill="auto"/>
            <w:vAlign w:val="center"/>
            <w:hideMark/>
          </w:tcPr>
          <w:p w:rsidR="00BF4DDC" w:rsidRPr="00861668" w:rsidRDefault="00BF4DDC" w:rsidP="00861668">
            <w:pPr>
              <w:widowControl/>
              <w:spacing w:line="360" w:lineRule="auto"/>
              <w:ind w:firstLineChars="200" w:firstLine="480"/>
              <w:rPr>
                <w:rFonts w:asciiTheme="minorEastAsia" w:eastAsiaTheme="minorEastAsia" w:hAnsiTheme="minorEastAsia" w:cs="宋体"/>
                <w:color w:val="000000"/>
                <w:kern w:val="0"/>
                <w:sz w:val="24"/>
              </w:rPr>
            </w:pPr>
            <w:r w:rsidRPr="00861668">
              <w:rPr>
                <w:rFonts w:asciiTheme="minorEastAsia" w:eastAsiaTheme="minorEastAsia" w:hAnsiTheme="minorEastAsia" w:cs="宋体"/>
                <w:color w:val="000000"/>
                <w:kern w:val="0"/>
                <w:sz w:val="24"/>
              </w:rPr>
              <w:t>3</w:t>
            </w:r>
          </w:p>
        </w:tc>
        <w:tc>
          <w:tcPr>
            <w:tcW w:w="1186" w:type="dxa"/>
            <w:shd w:val="clear" w:color="auto" w:fill="auto"/>
            <w:vAlign w:val="center"/>
            <w:hideMark/>
          </w:tcPr>
          <w:p w:rsidR="00BF4DDC" w:rsidRPr="00861668" w:rsidRDefault="00BF4DDC" w:rsidP="00861668">
            <w:pPr>
              <w:widowControl/>
              <w:spacing w:line="360" w:lineRule="auto"/>
              <w:rPr>
                <w:rFonts w:asciiTheme="minorEastAsia" w:eastAsiaTheme="minorEastAsia" w:hAnsiTheme="minorEastAsia" w:cs="宋体"/>
                <w:color w:val="000000"/>
                <w:kern w:val="0"/>
                <w:sz w:val="24"/>
              </w:rPr>
            </w:pPr>
            <w:r w:rsidRPr="00861668">
              <w:rPr>
                <w:rFonts w:asciiTheme="minorEastAsia" w:eastAsiaTheme="minorEastAsia" w:hAnsiTheme="minorEastAsia" w:cs="宋体" w:hint="eastAsia"/>
                <w:color w:val="000000"/>
                <w:kern w:val="0"/>
                <w:sz w:val="24"/>
              </w:rPr>
              <w:t>天弘永定价值成长混合型证券投资基金</w:t>
            </w:r>
          </w:p>
        </w:tc>
        <w:tc>
          <w:tcPr>
            <w:tcW w:w="6095" w:type="dxa"/>
            <w:shd w:val="clear" w:color="auto" w:fill="auto"/>
            <w:vAlign w:val="center"/>
            <w:hideMark/>
          </w:tcPr>
          <w:p w:rsidR="0044685C"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原</w:t>
            </w:r>
            <w:r w:rsidR="00EB1596" w:rsidRPr="00EB1596">
              <w:rPr>
                <w:rFonts w:asciiTheme="minorEastAsia" w:eastAsiaTheme="minorEastAsia" w:hAnsiTheme="minorEastAsia" w:cs="宋体" w:hint="eastAsia"/>
                <w:kern w:val="0"/>
                <w:sz w:val="24"/>
              </w:rPr>
              <w:t>业绩比较</w:t>
            </w:r>
            <w:r w:rsidRPr="00861668">
              <w:rPr>
                <w:rFonts w:asciiTheme="minorEastAsia" w:eastAsiaTheme="minorEastAsia" w:hAnsiTheme="minorEastAsia" w:cs="宋体" w:hint="eastAsia"/>
                <w:kern w:val="0"/>
                <w:sz w:val="24"/>
              </w:rPr>
              <w:t>基准：沪深</w:t>
            </w:r>
            <w:r w:rsidRPr="00861668">
              <w:rPr>
                <w:rFonts w:asciiTheme="minorEastAsia" w:eastAsiaTheme="minorEastAsia" w:hAnsiTheme="minorEastAsia" w:cs="宋体"/>
                <w:kern w:val="0"/>
                <w:sz w:val="24"/>
              </w:rPr>
              <w:t>300指数收益率×80%＋上证国债指数收益率×20%</w:t>
            </w:r>
          </w:p>
          <w:p w:rsidR="00E27CF0"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调整后的</w:t>
            </w:r>
            <w:r w:rsidR="00EB1596" w:rsidRPr="00EB1596">
              <w:rPr>
                <w:rFonts w:asciiTheme="minorEastAsia" w:eastAsiaTheme="minorEastAsia" w:hAnsiTheme="minorEastAsia" w:cs="宋体" w:hint="eastAsia"/>
                <w:kern w:val="0"/>
                <w:sz w:val="24"/>
              </w:rPr>
              <w:t>业绩比较</w:t>
            </w:r>
            <w:r w:rsidRPr="00861668">
              <w:rPr>
                <w:rFonts w:asciiTheme="minorEastAsia" w:eastAsiaTheme="minorEastAsia" w:hAnsiTheme="minorEastAsia" w:cs="宋体" w:hint="eastAsia"/>
                <w:kern w:val="0"/>
                <w:sz w:val="24"/>
              </w:rPr>
              <w:t>基准：中证</w:t>
            </w:r>
            <w:r w:rsidRPr="00861668">
              <w:rPr>
                <w:rFonts w:asciiTheme="minorEastAsia" w:eastAsiaTheme="minorEastAsia" w:hAnsiTheme="minorEastAsia" w:cs="宋体"/>
                <w:kern w:val="0"/>
                <w:sz w:val="24"/>
              </w:rPr>
              <w:t>800指数收益率*80%+上证国债指数收益率*20%</w:t>
            </w:r>
          </w:p>
          <w:p w:rsidR="0044685C" w:rsidRDefault="00753E17" w:rsidP="00861668">
            <w:pPr>
              <w:widowControl/>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差异：</w:t>
            </w:r>
            <w:r w:rsidR="00BF4DDC" w:rsidRPr="00861668">
              <w:rPr>
                <w:rFonts w:asciiTheme="minorEastAsia" w:eastAsiaTheme="minorEastAsia" w:hAnsiTheme="minorEastAsia" w:cs="宋体" w:hint="eastAsia"/>
                <w:kern w:val="0"/>
                <w:sz w:val="24"/>
              </w:rPr>
              <w:t>股票资产基准要素从沪深</w:t>
            </w:r>
            <w:r w:rsidR="00BF4DDC" w:rsidRPr="00861668">
              <w:rPr>
                <w:rFonts w:asciiTheme="minorEastAsia" w:eastAsiaTheme="minorEastAsia" w:hAnsiTheme="minorEastAsia" w:cs="宋体"/>
                <w:kern w:val="0"/>
                <w:sz w:val="24"/>
              </w:rPr>
              <w:t>300指数调整为中证800指数。</w:t>
            </w:r>
          </w:p>
          <w:p w:rsidR="0044685C"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原因：中证</w:t>
            </w:r>
            <w:r w:rsidRPr="00861668">
              <w:rPr>
                <w:rFonts w:asciiTheme="minorEastAsia" w:eastAsiaTheme="minorEastAsia" w:hAnsiTheme="minorEastAsia" w:cs="宋体"/>
                <w:kern w:val="0"/>
                <w:sz w:val="24"/>
              </w:rPr>
              <w:t>800指数相对于沪深300指数有以下优势：</w:t>
            </w:r>
          </w:p>
          <w:p w:rsidR="0044685C"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kern w:val="0"/>
                <w:sz w:val="24"/>
              </w:rPr>
              <w:t>1、更全面的市场代表性</w:t>
            </w:r>
          </w:p>
          <w:p w:rsidR="0044685C"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中证</w:t>
            </w:r>
            <w:r w:rsidRPr="00861668">
              <w:rPr>
                <w:rFonts w:asciiTheme="minorEastAsia" w:eastAsiaTheme="minorEastAsia" w:hAnsiTheme="minorEastAsia" w:cs="宋体"/>
                <w:kern w:val="0"/>
                <w:sz w:val="24"/>
              </w:rPr>
              <w:t>800指数由沪深300指数和中证500指数成份股共同组成，覆盖A股约70%的总市值，而沪深300仅覆盖55%左右。</w:t>
            </w:r>
          </w:p>
          <w:p w:rsidR="0044685C"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kern w:val="0"/>
                <w:sz w:val="24"/>
              </w:rPr>
              <w:t>2、行业分布更均衡</w:t>
            </w:r>
          </w:p>
          <w:p w:rsidR="0044685C"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中证</w:t>
            </w:r>
            <w:r w:rsidRPr="00861668">
              <w:rPr>
                <w:rFonts w:asciiTheme="minorEastAsia" w:eastAsiaTheme="minorEastAsia" w:hAnsiTheme="minorEastAsia" w:cs="宋体"/>
                <w:kern w:val="0"/>
                <w:sz w:val="24"/>
              </w:rPr>
              <w:t>800指数行业分布更加均衡分散，相比沪深300指数，金融业占比有所降低，有效降低了行业集中风险。</w:t>
            </w:r>
          </w:p>
          <w:p w:rsidR="0044685C"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kern w:val="0"/>
                <w:sz w:val="24"/>
              </w:rPr>
              <w:t>3、兼顾价值与成长风格</w:t>
            </w:r>
          </w:p>
          <w:p w:rsidR="0044685C"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中证</w:t>
            </w:r>
            <w:r w:rsidRPr="00861668">
              <w:rPr>
                <w:rFonts w:asciiTheme="minorEastAsia" w:eastAsiaTheme="minorEastAsia" w:hAnsiTheme="minorEastAsia" w:cs="宋体"/>
                <w:kern w:val="0"/>
                <w:sz w:val="24"/>
              </w:rPr>
              <w:t>800指数既包含低估值蓝筹公司，也包含高成长性公司，实现了</w:t>
            </w:r>
            <w:r w:rsidR="003E4B1F">
              <w:rPr>
                <w:rFonts w:asciiTheme="minorEastAsia" w:eastAsiaTheme="minorEastAsia" w:hAnsiTheme="minorEastAsia" w:cs="宋体" w:hint="eastAsia"/>
                <w:kern w:val="0"/>
                <w:sz w:val="24"/>
              </w:rPr>
              <w:t>“</w:t>
            </w:r>
            <w:r w:rsidRPr="00861668">
              <w:rPr>
                <w:rFonts w:asciiTheme="minorEastAsia" w:eastAsiaTheme="minorEastAsia" w:hAnsiTheme="minorEastAsia" w:cs="宋体" w:hint="eastAsia"/>
                <w:kern w:val="0"/>
                <w:sz w:val="24"/>
              </w:rPr>
              <w:t>大盘</w:t>
            </w:r>
            <w:r w:rsidRPr="00861668">
              <w:rPr>
                <w:rFonts w:asciiTheme="minorEastAsia" w:eastAsiaTheme="minorEastAsia" w:hAnsiTheme="minorEastAsia" w:cs="宋体"/>
                <w:kern w:val="0"/>
                <w:sz w:val="24"/>
              </w:rPr>
              <w:t>+中盘</w:t>
            </w:r>
            <w:r w:rsidR="003E4B1F">
              <w:rPr>
                <w:rFonts w:asciiTheme="minorEastAsia" w:eastAsiaTheme="minorEastAsia" w:hAnsiTheme="minorEastAsia" w:cs="宋体" w:hint="eastAsia"/>
                <w:kern w:val="0"/>
                <w:sz w:val="24"/>
              </w:rPr>
              <w:t>”</w:t>
            </w:r>
            <w:r w:rsidRPr="00861668">
              <w:rPr>
                <w:rFonts w:asciiTheme="minorEastAsia" w:eastAsiaTheme="minorEastAsia" w:hAnsiTheme="minorEastAsia" w:cs="宋体" w:hint="eastAsia"/>
                <w:kern w:val="0"/>
                <w:sz w:val="24"/>
              </w:rPr>
              <w:t>和</w:t>
            </w:r>
            <w:r w:rsidR="003E4B1F">
              <w:rPr>
                <w:rFonts w:asciiTheme="minorEastAsia" w:eastAsiaTheme="minorEastAsia" w:hAnsiTheme="minorEastAsia" w:cs="宋体" w:hint="eastAsia"/>
                <w:kern w:val="0"/>
                <w:sz w:val="24"/>
              </w:rPr>
              <w:t>“</w:t>
            </w:r>
            <w:r w:rsidRPr="00861668">
              <w:rPr>
                <w:rFonts w:asciiTheme="minorEastAsia" w:eastAsiaTheme="minorEastAsia" w:hAnsiTheme="minorEastAsia" w:cs="宋体" w:hint="eastAsia"/>
                <w:kern w:val="0"/>
                <w:sz w:val="24"/>
              </w:rPr>
              <w:t>价值</w:t>
            </w:r>
            <w:r w:rsidRPr="00861668">
              <w:rPr>
                <w:rFonts w:asciiTheme="minorEastAsia" w:eastAsiaTheme="minorEastAsia" w:hAnsiTheme="minorEastAsia" w:cs="宋体"/>
                <w:kern w:val="0"/>
                <w:sz w:val="24"/>
              </w:rPr>
              <w:t>+成长</w:t>
            </w:r>
            <w:r w:rsidR="003E4B1F">
              <w:rPr>
                <w:rFonts w:asciiTheme="minorEastAsia" w:eastAsiaTheme="minorEastAsia" w:hAnsiTheme="minorEastAsia" w:cs="宋体" w:hint="eastAsia"/>
                <w:kern w:val="0"/>
                <w:sz w:val="24"/>
              </w:rPr>
              <w:t>”</w:t>
            </w:r>
            <w:r w:rsidRPr="00861668">
              <w:rPr>
                <w:rFonts w:asciiTheme="minorEastAsia" w:eastAsiaTheme="minorEastAsia" w:hAnsiTheme="minorEastAsia" w:cs="宋体" w:hint="eastAsia"/>
                <w:kern w:val="0"/>
                <w:sz w:val="24"/>
              </w:rPr>
              <w:t>并重的风格特征，更符合本基金投资策略。</w:t>
            </w:r>
          </w:p>
          <w:p w:rsidR="00BF4DDC" w:rsidRPr="00861668"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影响：本次业绩比较基准调整的目的是提高基金业绩表现与业绩比较基准的可比性，使基准能够更好地反映基金的风险收益特征。该调整不会对产品投资运作、持有人利益产生实质性不利影响。</w:t>
            </w:r>
          </w:p>
        </w:tc>
      </w:tr>
      <w:tr w:rsidR="00485FBA" w:rsidRPr="00E31CC1" w:rsidTr="00861668">
        <w:trPr>
          <w:trHeight w:val="6570"/>
        </w:trPr>
        <w:tc>
          <w:tcPr>
            <w:tcW w:w="936" w:type="dxa"/>
            <w:shd w:val="clear" w:color="auto" w:fill="auto"/>
            <w:vAlign w:val="center"/>
            <w:hideMark/>
          </w:tcPr>
          <w:p w:rsidR="00BF4DDC" w:rsidRPr="00861668" w:rsidRDefault="00BF4DDC" w:rsidP="00861668">
            <w:pPr>
              <w:widowControl/>
              <w:spacing w:line="360" w:lineRule="auto"/>
              <w:ind w:firstLineChars="200" w:firstLine="480"/>
              <w:rPr>
                <w:rFonts w:asciiTheme="minorEastAsia" w:eastAsiaTheme="minorEastAsia" w:hAnsiTheme="minorEastAsia" w:cs="宋体"/>
                <w:color w:val="000000"/>
                <w:kern w:val="0"/>
                <w:sz w:val="24"/>
              </w:rPr>
            </w:pPr>
            <w:r w:rsidRPr="00861668">
              <w:rPr>
                <w:rFonts w:asciiTheme="minorEastAsia" w:eastAsiaTheme="minorEastAsia" w:hAnsiTheme="minorEastAsia" w:cs="宋体"/>
                <w:color w:val="000000"/>
                <w:kern w:val="0"/>
                <w:sz w:val="24"/>
              </w:rPr>
              <w:t>4</w:t>
            </w:r>
          </w:p>
        </w:tc>
        <w:tc>
          <w:tcPr>
            <w:tcW w:w="1186" w:type="dxa"/>
            <w:shd w:val="clear" w:color="auto" w:fill="auto"/>
            <w:vAlign w:val="center"/>
            <w:hideMark/>
          </w:tcPr>
          <w:p w:rsidR="00BF4DDC" w:rsidRPr="00861668" w:rsidRDefault="00BF4DDC" w:rsidP="00861668">
            <w:pPr>
              <w:widowControl/>
              <w:spacing w:line="360" w:lineRule="auto"/>
              <w:rPr>
                <w:rFonts w:asciiTheme="minorEastAsia" w:eastAsiaTheme="minorEastAsia" w:hAnsiTheme="minorEastAsia" w:cs="宋体"/>
                <w:color w:val="000000"/>
                <w:kern w:val="0"/>
                <w:sz w:val="24"/>
              </w:rPr>
            </w:pPr>
            <w:r w:rsidRPr="00861668">
              <w:rPr>
                <w:rFonts w:asciiTheme="minorEastAsia" w:eastAsiaTheme="minorEastAsia" w:hAnsiTheme="minorEastAsia" w:cs="宋体" w:hint="eastAsia"/>
                <w:color w:val="000000"/>
                <w:kern w:val="0"/>
                <w:sz w:val="24"/>
              </w:rPr>
              <w:t>天弘匠心臻选混合型发起式证券投资基金</w:t>
            </w:r>
          </w:p>
        </w:tc>
        <w:tc>
          <w:tcPr>
            <w:tcW w:w="6095" w:type="dxa"/>
            <w:shd w:val="clear" w:color="auto" w:fill="auto"/>
            <w:vAlign w:val="center"/>
            <w:hideMark/>
          </w:tcPr>
          <w:p w:rsidR="007071D4"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原</w:t>
            </w:r>
            <w:r w:rsidR="007071D4" w:rsidRPr="007071D4">
              <w:rPr>
                <w:rFonts w:asciiTheme="minorEastAsia" w:eastAsiaTheme="minorEastAsia" w:hAnsiTheme="minorEastAsia" w:cs="宋体" w:hint="eastAsia"/>
                <w:kern w:val="0"/>
                <w:sz w:val="24"/>
              </w:rPr>
              <w:t>业绩比较</w:t>
            </w:r>
            <w:r w:rsidRPr="00861668">
              <w:rPr>
                <w:rFonts w:asciiTheme="minorEastAsia" w:eastAsiaTheme="minorEastAsia" w:hAnsiTheme="minorEastAsia" w:cs="宋体" w:hint="eastAsia"/>
                <w:kern w:val="0"/>
                <w:sz w:val="24"/>
              </w:rPr>
              <w:t>基准：中证</w:t>
            </w:r>
            <w:r w:rsidRPr="00861668">
              <w:rPr>
                <w:rFonts w:asciiTheme="minorEastAsia" w:eastAsiaTheme="minorEastAsia" w:hAnsiTheme="minorEastAsia" w:cs="宋体"/>
                <w:kern w:val="0"/>
                <w:sz w:val="24"/>
              </w:rPr>
              <w:t>800指数收益率*75%+恒生指数收益率（经汇率调整）*5%+中</w:t>
            </w:r>
            <w:r w:rsidRPr="00861668">
              <w:rPr>
                <w:rFonts w:asciiTheme="minorEastAsia" w:eastAsiaTheme="minorEastAsia" w:hAnsiTheme="minorEastAsia" w:cs="宋体" w:hint="eastAsia"/>
                <w:kern w:val="0"/>
                <w:sz w:val="24"/>
              </w:rPr>
              <w:t>债综合债指数收益率</w:t>
            </w:r>
            <w:r w:rsidRPr="00861668">
              <w:rPr>
                <w:rFonts w:asciiTheme="minorEastAsia" w:eastAsiaTheme="minorEastAsia" w:hAnsiTheme="minorEastAsia" w:cs="宋体"/>
                <w:kern w:val="0"/>
                <w:sz w:val="24"/>
              </w:rPr>
              <w:t>*20%</w:t>
            </w:r>
          </w:p>
          <w:p w:rsidR="007071D4"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调整后的</w:t>
            </w:r>
            <w:r w:rsidR="007071D4" w:rsidRPr="007071D4">
              <w:rPr>
                <w:rFonts w:asciiTheme="minorEastAsia" w:eastAsiaTheme="minorEastAsia" w:hAnsiTheme="minorEastAsia" w:cs="宋体" w:hint="eastAsia"/>
                <w:kern w:val="0"/>
                <w:sz w:val="24"/>
              </w:rPr>
              <w:t>业绩比较</w:t>
            </w:r>
            <w:r w:rsidRPr="00861668">
              <w:rPr>
                <w:rFonts w:asciiTheme="minorEastAsia" w:eastAsiaTheme="minorEastAsia" w:hAnsiTheme="minorEastAsia" w:cs="宋体" w:hint="eastAsia"/>
                <w:kern w:val="0"/>
                <w:sz w:val="24"/>
              </w:rPr>
              <w:t>基准：中证</w:t>
            </w:r>
            <w:r w:rsidRPr="00861668">
              <w:rPr>
                <w:rFonts w:asciiTheme="minorEastAsia" w:eastAsiaTheme="minorEastAsia" w:hAnsiTheme="minorEastAsia" w:cs="宋体"/>
                <w:kern w:val="0"/>
                <w:sz w:val="24"/>
              </w:rPr>
              <w:t>800指数收益率*60%+中证港股</w:t>
            </w:r>
            <w:r w:rsidRPr="00861668">
              <w:rPr>
                <w:rFonts w:asciiTheme="minorEastAsia" w:eastAsiaTheme="minorEastAsia" w:hAnsiTheme="minorEastAsia" w:cs="宋体" w:hint="eastAsia"/>
                <w:kern w:val="0"/>
                <w:sz w:val="24"/>
              </w:rPr>
              <w:t>通综合指数（港元）收益率</w:t>
            </w:r>
            <w:r w:rsidRPr="00861668">
              <w:rPr>
                <w:rFonts w:asciiTheme="minorEastAsia" w:eastAsiaTheme="minorEastAsia" w:hAnsiTheme="minorEastAsia" w:cs="宋体"/>
                <w:kern w:val="0"/>
                <w:sz w:val="24"/>
              </w:rPr>
              <w:t>*20%+中债-综合全价（总值）指数收益率*20%</w:t>
            </w:r>
          </w:p>
          <w:p w:rsidR="007071D4" w:rsidRDefault="00753E17" w:rsidP="00861668">
            <w:pPr>
              <w:widowControl/>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差异：</w:t>
            </w:r>
            <w:r w:rsidR="00BF4DDC" w:rsidRPr="00861668">
              <w:rPr>
                <w:rFonts w:asciiTheme="minorEastAsia" w:eastAsiaTheme="minorEastAsia" w:hAnsiTheme="minorEastAsia" w:cs="宋体" w:hint="eastAsia"/>
                <w:kern w:val="0"/>
                <w:sz w:val="24"/>
              </w:rPr>
              <w:t>股票资产基准要素的权重不变，</w:t>
            </w:r>
            <w:r w:rsidR="00BF4DDC" w:rsidRPr="00861668">
              <w:rPr>
                <w:rFonts w:asciiTheme="minorEastAsia" w:eastAsiaTheme="minorEastAsia" w:hAnsiTheme="minorEastAsia" w:cs="宋体"/>
                <w:kern w:val="0"/>
                <w:sz w:val="24"/>
              </w:rPr>
              <w:t>A</w:t>
            </w:r>
            <w:r w:rsidR="00BF4DDC" w:rsidRPr="00861668">
              <w:rPr>
                <w:rFonts w:asciiTheme="minorEastAsia" w:eastAsiaTheme="minorEastAsia" w:hAnsiTheme="minorEastAsia" w:cs="宋体" w:hint="eastAsia"/>
                <w:kern w:val="0"/>
                <w:sz w:val="24"/>
              </w:rPr>
              <w:t>股资产基准要素权重从</w:t>
            </w:r>
            <w:r w:rsidR="00BF4DDC" w:rsidRPr="00861668">
              <w:rPr>
                <w:rFonts w:asciiTheme="minorEastAsia" w:eastAsiaTheme="minorEastAsia" w:hAnsiTheme="minorEastAsia" w:cs="宋体"/>
                <w:kern w:val="0"/>
                <w:sz w:val="24"/>
              </w:rPr>
              <w:t>75%调整为60%，港股资产基准要素权重从5%调整为20%，港股资产基准要素从恒生指数调整为中证港股</w:t>
            </w:r>
            <w:r w:rsidR="00BF4DDC" w:rsidRPr="00861668">
              <w:rPr>
                <w:rFonts w:asciiTheme="minorEastAsia" w:eastAsiaTheme="minorEastAsia" w:hAnsiTheme="minorEastAsia" w:cs="宋体" w:hint="eastAsia"/>
                <w:kern w:val="0"/>
                <w:sz w:val="24"/>
              </w:rPr>
              <w:t>通综合指数，债券资产基准要素从中债综合债指数调整为中债</w:t>
            </w:r>
            <w:r w:rsidR="00BF4DDC" w:rsidRPr="00861668">
              <w:rPr>
                <w:rFonts w:asciiTheme="minorEastAsia" w:eastAsiaTheme="minorEastAsia" w:hAnsiTheme="minorEastAsia" w:cs="宋体"/>
                <w:kern w:val="0"/>
                <w:sz w:val="24"/>
              </w:rPr>
              <w:t>-综合全价（总值）指数。</w:t>
            </w:r>
          </w:p>
          <w:p w:rsidR="007071D4" w:rsidRDefault="00DA35C0" w:rsidP="00861668">
            <w:pPr>
              <w:widowControl/>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原因：根据本基金成立以来</w:t>
            </w:r>
            <w:bookmarkStart w:id="8" w:name="_GoBack"/>
            <w:bookmarkEnd w:id="8"/>
            <w:r w:rsidR="00BF4DDC" w:rsidRPr="00861668">
              <w:rPr>
                <w:rFonts w:asciiTheme="minorEastAsia" w:eastAsiaTheme="minorEastAsia" w:hAnsiTheme="minorEastAsia" w:cs="宋体" w:hint="eastAsia"/>
                <w:kern w:val="0"/>
                <w:sz w:val="24"/>
              </w:rPr>
              <w:t>股票仓位情况，股票资产基准要素的权重保持不变，其中降低中证</w:t>
            </w:r>
            <w:r w:rsidR="00BF4DDC" w:rsidRPr="00861668">
              <w:rPr>
                <w:rFonts w:asciiTheme="minorEastAsia" w:eastAsiaTheme="minorEastAsia" w:hAnsiTheme="minorEastAsia" w:cs="宋体"/>
                <w:kern w:val="0"/>
                <w:sz w:val="24"/>
              </w:rPr>
              <w:t>800指数权重，同时提升港股指数权重。随着内地与香港股票市场交易互联互通机制的深化，内地投资者能够通过</w:t>
            </w:r>
            <w:r w:rsidR="00BF4DDC" w:rsidRPr="00861668">
              <w:rPr>
                <w:rFonts w:asciiTheme="minorEastAsia" w:eastAsiaTheme="minorEastAsia" w:hAnsiTheme="minorEastAsia" w:cs="宋体" w:hint="eastAsia"/>
                <w:kern w:val="0"/>
                <w:sz w:val="24"/>
              </w:rPr>
              <w:t>港股通更便捷地布局香港市场，港股通成交量也开始迅速增长，从而实现多元化资产配置，而且港股集中了大量</w:t>
            </w:r>
            <w:r w:rsidR="00BF4DDC" w:rsidRPr="00861668">
              <w:rPr>
                <w:rFonts w:ascii="MS Gothic" w:eastAsia="MS Gothic" w:hAnsi="MS Gothic" w:cs="MS Gothic"/>
                <w:kern w:val="0"/>
                <w:sz w:val="24"/>
              </w:rPr>
              <w:t>‌</w:t>
            </w:r>
            <w:r w:rsidR="00BF4DDC" w:rsidRPr="00861668">
              <w:rPr>
                <w:rFonts w:asciiTheme="minorEastAsia" w:eastAsiaTheme="minorEastAsia" w:hAnsiTheme="minorEastAsia" w:cs="宋体" w:hint="eastAsia"/>
                <w:kern w:val="0"/>
                <w:sz w:val="24"/>
              </w:rPr>
              <w:t>新经济企业核心资产，涵盖互联网、人工智能、生物科技、新消费等，汇聚了一批具有全球竞争力的优质企业，为投资者提供了丰富的投资选择，能很好地反映中国经济发展的特点。将原来的港股基准由恒生指数收益率调整为中证港股通综合指数，该指数是由</w:t>
            </w:r>
            <w:r w:rsidR="00BF4DDC" w:rsidRPr="00861668">
              <w:rPr>
                <w:rFonts w:ascii="MS Gothic" w:eastAsia="MS Gothic" w:hAnsi="MS Gothic" w:cs="MS Gothic"/>
                <w:kern w:val="0"/>
                <w:sz w:val="24"/>
              </w:rPr>
              <w:t>‌</w:t>
            </w:r>
            <w:r w:rsidR="00BF4DDC" w:rsidRPr="00861668">
              <w:rPr>
                <w:rFonts w:asciiTheme="minorEastAsia" w:eastAsiaTheme="minorEastAsia" w:hAnsiTheme="minorEastAsia" w:cs="宋体" w:hint="eastAsia"/>
                <w:kern w:val="0"/>
                <w:sz w:val="24"/>
              </w:rPr>
              <w:t>中证指数公司编制的系列指数</w:t>
            </w:r>
            <w:r w:rsidR="00BF4DDC" w:rsidRPr="00861668">
              <w:rPr>
                <w:rFonts w:ascii="MS Gothic" w:eastAsia="MS Gothic" w:hAnsi="MS Gothic" w:cs="MS Gothic"/>
                <w:kern w:val="0"/>
                <w:sz w:val="24"/>
              </w:rPr>
              <w:t>‌</w:t>
            </w:r>
            <w:r w:rsidR="00BF4DDC" w:rsidRPr="00861668">
              <w:rPr>
                <w:rFonts w:asciiTheme="minorEastAsia" w:eastAsiaTheme="minorEastAsia" w:hAnsiTheme="minorEastAsia" w:cs="宋体" w:hint="eastAsia"/>
                <w:kern w:val="0"/>
                <w:sz w:val="24"/>
              </w:rPr>
              <w:t>，</w:t>
            </w:r>
            <w:r w:rsidR="00BF4DDC" w:rsidRPr="00861668">
              <w:rPr>
                <w:rFonts w:ascii="MS Gothic" w:eastAsia="MS Gothic" w:hAnsi="MS Gothic" w:cs="MS Gothic"/>
                <w:kern w:val="0"/>
                <w:sz w:val="24"/>
              </w:rPr>
              <w:t>‌</w:t>
            </w:r>
            <w:r w:rsidR="00BF4DDC" w:rsidRPr="00861668">
              <w:rPr>
                <w:rFonts w:asciiTheme="minorEastAsia" w:eastAsiaTheme="minorEastAsia" w:hAnsiTheme="minorEastAsia" w:cs="宋体" w:hint="eastAsia"/>
                <w:kern w:val="0"/>
                <w:sz w:val="24"/>
              </w:rPr>
              <w:t>仅选取符合港股通资格的上市公司证券作为样本，反映通过港股通机制可投资港股的整体表现，与基金的实际投资范围更为匹配。</w:t>
            </w:r>
          </w:p>
          <w:p w:rsidR="00BF4DDC" w:rsidRPr="00861668"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影响：本次业绩比较基准调整的目的是提高基金业绩表现与业绩比较基准的可比性，使基准能够更好地反映基金的风险收益特征。该调整不会对产品投资运作、持有人利益产生实质性不利影响。</w:t>
            </w:r>
          </w:p>
        </w:tc>
      </w:tr>
      <w:tr w:rsidR="00485FBA" w:rsidRPr="00E31CC1" w:rsidTr="00861668">
        <w:trPr>
          <w:trHeight w:val="4290"/>
        </w:trPr>
        <w:tc>
          <w:tcPr>
            <w:tcW w:w="936" w:type="dxa"/>
            <w:shd w:val="clear" w:color="auto" w:fill="auto"/>
            <w:vAlign w:val="center"/>
            <w:hideMark/>
          </w:tcPr>
          <w:p w:rsidR="00BF4DDC" w:rsidRPr="00861668" w:rsidRDefault="00BF4DDC" w:rsidP="00861668">
            <w:pPr>
              <w:widowControl/>
              <w:spacing w:line="360" w:lineRule="auto"/>
              <w:ind w:firstLineChars="200" w:firstLine="480"/>
              <w:rPr>
                <w:rFonts w:asciiTheme="minorEastAsia" w:eastAsiaTheme="minorEastAsia" w:hAnsiTheme="minorEastAsia" w:cs="宋体"/>
                <w:color w:val="000000"/>
                <w:kern w:val="0"/>
                <w:sz w:val="24"/>
              </w:rPr>
            </w:pPr>
            <w:r w:rsidRPr="00861668">
              <w:rPr>
                <w:rFonts w:asciiTheme="minorEastAsia" w:eastAsiaTheme="minorEastAsia" w:hAnsiTheme="minorEastAsia" w:cs="宋体"/>
                <w:color w:val="000000"/>
                <w:kern w:val="0"/>
                <w:sz w:val="24"/>
              </w:rPr>
              <w:t>5</w:t>
            </w:r>
          </w:p>
        </w:tc>
        <w:tc>
          <w:tcPr>
            <w:tcW w:w="1186" w:type="dxa"/>
            <w:shd w:val="clear" w:color="auto" w:fill="auto"/>
            <w:vAlign w:val="center"/>
            <w:hideMark/>
          </w:tcPr>
          <w:p w:rsidR="00BF4DDC" w:rsidRPr="00861668" w:rsidRDefault="00BF4DDC" w:rsidP="00861668">
            <w:pPr>
              <w:widowControl/>
              <w:spacing w:line="360" w:lineRule="auto"/>
              <w:rPr>
                <w:rFonts w:asciiTheme="minorEastAsia" w:eastAsiaTheme="minorEastAsia" w:hAnsiTheme="minorEastAsia" w:cs="宋体"/>
                <w:color w:val="000000"/>
                <w:kern w:val="0"/>
                <w:sz w:val="24"/>
              </w:rPr>
            </w:pPr>
            <w:r w:rsidRPr="00861668">
              <w:rPr>
                <w:rFonts w:asciiTheme="minorEastAsia" w:eastAsiaTheme="minorEastAsia" w:hAnsiTheme="minorEastAsia" w:cs="宋体" w:hint="eastAsia"/>
                <w:color w:val="000000"/>
                <w:kern w:val="0"/>
                <w:sz w:val="24"/>
              </w:rPr>
              <w:t>天弘阿尔法优选混合型证券投资基金</w:t>
            </w:r>
          </w:p>
        </w:tc>
        <w:tc>
          <w:tcPr>
            <w:tcW w:w="6095" w:type="dxa"/>
            <w:shd w:val="clear" w:color="auto" w:fill="auto"/>
            <w:vAlign w:val="center"/>
            <w:hideMark/>
          </w:tcPr>
          <w:p w:rsidR="004C5E88"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原</w:t>
            </w:r>
            <w:r w:rsidR="004C5E88" w:rsidRPr="004C5E88">
              <w:rPr>
                <w:rFonts w:asciiTheme="minorEastAsia" w:eastAsiaTheme="minorEastAsia" w:hAnsiTheme="minorEastAsia" w:cs="宋体" w:hint="eastAsia"/>
                <w:kern w:val="0"/>
                <w:sz w:val="24"/>
              </w:rPr>
              <w:t>业绩比较</w:t>
            </w:r>
            <w:r w:rsidRPr="00861668">
              <w:rPr>
                <w:rFonts w:asciiTheme="minorEastAsia" w:eastAsiaTheme="minorEastAsia" w:hAnsiTheme="minorEastAsia" w:cs="宋体" w:hint="eastAsia"/>
                <w:kern w:val="0"/>
                <w:sz w:val="24"/>
              </w:rPr>
              <w:t>基准：中证</w:t>
            </w:r>
            <w:r w:rsidRPr="00861668">
              <w:rPr>
                <w:rFonts w:asciiTheme="minorEastAsia" w:eastAsiaTheme="minorEastAsia" w:hAnsiTheme="minorEastAsia" w:cs="宋体"/>
                <w:kern w:val="0"/>
                <w:sz w:val="24"/>
              </w:rPr>
              <w:t>800指数收益率*75%+中证港股</w:t>
            </w:r>
            <w:r w:rsidRPr="00861668">
              <w:rPr>
                <w:rFonts w:asciiTheme="minorEastAsia" w:eastAsiaTheme="minorEastAsia" w:hAnsiTheme="minorEastAsia" w:cs="宋体" w:hint="eastAsia"/>
                <w:kern w:val="0"/>
                <w:sz w:val="24"/>
              </w:rPr>
              <w:t>通综合指数（人民币）收益率</w:t>
            </w:r>
            <w:r w:rsidRPr="00861668">
              <w:rPr>
                <w:rFonts w:asciiTheme="minorEastAsia" w:eastAsiaTheme="minorEastAsia" w:hAnsiTheme="minorEastAsia" w:cs="宋体"/>
                <w:kern w:val="0"/>
                <w:sz w:val="24"/>
              </w:rPr>
              <w:t>*5%+中</w:t>
            </w:r>
            <w:r w:rsidRPr="00861668">
              <w:rPr>
                <w:rFonts w:asciiTheme="minorEastAsia" w:eastAsiaTheme="minorEastAsia" w:hAnsiTheme="minorEastAsia" w:cs="宋体" w:hint="eastAsia"/>
                <w:kern w:val="0"/>
                <w:sz w:val="24"/>
              </w:rPr>
              <w:t>债综合财富（总值）指数收益率</w:t>
            </w:r>
            <w:r w:rsidRPr="00861668">
              <w:rPr>
                <w:rFonts w:asciiTheme="minorEastAsia" w:eastAsiaTheme="minorEastAsia" w:hAnsiTheme="minorEastAsia" w:cs="宋体"/>
                <w:kern w:val="0"/>
                <w:sz w:val="24"/>
              </w:rPr>
              <w:t>*20%</w:t>
            </w:r>
          </w:p>
          <w:p w:rsidR="004C5E88"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调整后的</w:t>
            </w:r>
            <w:r w:rsidR="004C5E88" w:rsidRPr="004C5E88">
              <w:rPr>
                <w:rFonts w:asciiTheme="minorEastAsia" w:eastAsiaTheme="minorEastAsia" w:hAnsiTheme="minorEastAsia" w:cs="宋体" w:hint="eastAsia"/>
                <w:kern w:val="0"/>
                <w:sz w:val="24"/>
              </w:rPr>
              <w:t>业绩比较</w:t>
            </w:r>
            <w:r w:rsidRPr="00861668">
              <w:rPr>
                <w:rFonts w:asciiTheme="minorEastAsia" w:eastAsiaTheme="minorEastAsia" w:hAnsiTheme="minorEastAsia" w:cs="宋体" w:hint="eastAsia"/>
                <w:kern w:val="0"/>
                <w:sz w:val="24"/>
              </w:rPr>
              <w:t>基准：中证</w:t>
            </w:r>
            <w:r w:rsidRPr="00861668">
              <w:rPr>
                <w:rFonts w:asciiTheme="minorEastAsia" w:eastAsiaTheme="minorEastAsia" w:hAnsiTheme="minorEastAsia" w:cs="宋体"/>
                <w:kern w:val="0"/>
                <w:sz w:val="24"/>
              </w:rPr>
              <w:t>800指数收益率*60%+中证港股</w:t>
            </w:r>
            <w:r w:rsidRPr="00861668">
              <w:rPr>
                <w:rFonts w:asciiTheme="minorEastAsia" w:eastAsiaTheme="minorEastAsia" w:hAnsiTheme="minorEastAsia" w:cs="宋体" w:hint="eastAsia"/>
                <w:kern w:val="0"/>
                <w:sz w:val="24"/>
              </w:rPr>
              <w:t>通综合指数（人民币）收益率</w:t>
            </w:r>
            <w:r w:rsidRPr="00861668">
              <w:rPr>
                <w:rFonts w:asciiTheme="minorEastAsia" w:eastAsiaTheme="minorEastAsia" w:hAnsiTheme="minorEastAsia" w:cs="宋体"/>
                <w:kern w:val="0"/>
                <w:sz w:val="24"/>
              </w:rPr>
              <w:t>*20%+中债-综合财富（总值）指数收益率*20%</w:t>
            </w:r>
          </w:p>
          <w:p w:rsidR="004C5E88" w:rsidRDefault="00753E17" w:rsidP="00861668">
            <w:pPr>
              <w:widowControl/>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差异：</w:t>
            </w:r>
            <w:r w:rsidR="00BF4DDC" w:rsidRPr="00861668">
              <w:rPr>
                <w:rFonts w:asciiTheme="minorEastAsia" w:eastAsiaTheme="minorEastAsia" w:hAnsiTheme="minorEastAsia" w:cs="宋体" w:hint="eastAsia"/>
                <w:kern w:val="0"/>
                <w:sz w:val="24"/>
              </w:rPr>
              <w:t>股票资产基准要素的权重不变，</w:t>
            </w:r>
            <w:r w:rsidR="00BF4DDC" w:rsidRPr="00861668">
              <w:rPr>
                <w:rFonts w:asciiTheme="minorEastAsia" w:eastAsiaTheme="minorEastAsia" w:hAnsiTheme="minorEastAsia" w:cs="宋体"/>
                <w:kern w:val="0"/>
                <w:sz w:val="24"/>
              </w:rPr>
              <w:t>A</w:t>
            </w:r>
            <w:r w:rsidR="00BF4DDC" w:rsidRPr="00861668">
              <w:rPr>
                <w:rFonts w:asciiTheme="minorEastAsia" w:eastAsiaTheme="minorEastAsia" w:hAnsiTheme="minorEastAsia" w:cs="宋体" w:hint="eastAsia"/>
                <w:kern w:val="0"/>
                <w:sz w:val="24"/>
              </w:rPr>
              <w:t>股资产基准要素权重从</w:t>
            </w:r>
            <w:r w:rsidR="00BF4DDC" w:rsidRPr="00861668">
              <w:rPr>
                <w:rFonts w:asciiTheme="minorEastAsia" w:eastAsiaTheme="minorEastAsia" w:hAnsiTheme="minorEastAsia" w:cs="宋体"/>
                <w:kern w:val="0"/>
                <w:sz w:val="24"/>
              </w:rPr>
              <w:t>75%调整为60%，港股资产基准要素权重从5%调整为20%。</w:t>
            </w:r>
          </w:p>
          <w:p w:rsidR="004C5E88"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原因：根据本基金近两年股票仓位情况，股票资产基准要素权重保持不变。其中降低中证</w:t>
            </w:r>
            <w:r w:rsidRPr="00861668">
              <w:rPr>
                <w:rFonts w:asciiTheme="minorEastAsia" w:eastAsiaTheme="minorEastAsia" w:hAnsiTheme="minorEastAsia" w:cs="宋体"/>
                <w:kern w:val="0"/>
                <w:sz w:val="24"/>
              </w:rPr>
              <w:t>800指数权重，同时提升港股指数权重。随着内地与香港股票市场交易互联互通机制的深化，内地投资者能够通过</w:t>
            </w:r>
            <w:r w:rsidRPr="00861668">
              <w:rPr>
                <w:rFonts w:asciiTheme="minorEastAsia" w:eastAsiaTheme="minorEastAsia" w:hAnsiTheme="minorEastAsia" w:cs="宋体" w:hint="eastAsia"/>
                <w:kern w:val="0"/>
                <w:sz w:val="24"/>
              </w:rPr>
              <w:t>港股通更便捷地布局香港市场，港股通成交量也开始迅速增长，从而实现多元化资产配置，而且港股集中了大量</w:t>
            </w:r>
            <w:r w:rsidRPr="00861668">
              <w:rPr>
                <w:rFonts w:ascii="MS Gothic" w:eastAsia="MS Gothic" w:hAnsi="MS Gothic" w:cs="MS Gothic"/>
                <w:kern w:val="0"/>
                <w:sz w:val="24"/>
              </w:rPr>
              <w:t>‌</w:t>
            </w:r>
            <w:r w:rsidRPr="00861668">
              <w:rPr>
                <w:rFonts w:asciiTheme="minorEastAsia" w:eastAsiaTheme="minorEastAsia" w:hAnsiTheme="minorEastAsia" w:cs="宋体" w:hint="eastAsia"/>
                <w:kern w:val="0"/>
                <w:sz w:val="24"/>
              </w:rPr>
              <w:t>新经济企业核心资产，涵盖互联网、人工智能、生物科技、新消费等，汇聚了一批具有全球竞争力的优质企业，为投资者提供了丰富的投资选择，能很好地反映中国经济发展的特点。调整后的权重更符合基金的投资策略。</w:t>
            </w:r>
          </w:p>
          <w:p w:rsidR="00BF4DDC" w:rsidRPr="00861668"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影响：本次业绩比较基准调整的目的是提高基金业绩表现与业绩比较基准的可比性，使基准能够更好地反映基金的风险收益特征。该调整不会对产品投资运作、持有人利益产生实质性不利影响。</w:t>
            </w:r>
          </w:p>
        </w:tc>
      </w:tr>
      <w:tr w:rsidR="00485FBA" w:rsidRPr="00E31CC1" w:rsidTr="00861668">
        <w:trPr>
          <w:trHeight w:val="4290"/>
        </w:trPr>
        <w:tc>
          <w:tcPr>
            <w:tcW w:w="936" w:type="dxa"/>
            <w:shd w:val="clear" w:color="auto" w:fill="auto"/>
            <w:vAlign w:val="center"/>
            <w:hideMark/>
          </w:tcPr>
          <w:p w:rsidR="00BF4DDC" w:rsidRPr="00861668" w:rsidRDefault="00BF4DDC" w:rsidP="00861668">
            <w:pPr>
              <w:widowControl/>
              <w:spacing w:line="360" w:lineRule="auto"/>
              <w:ind w:firstLineChars="200" w:firstLine="480"/>
              <w:rPr>
                <w:rFonts w:asciiTheme="minorEastAsia" w:eastAsiaTheme="minorEastAsia" w:hAnsiTheme="minorEastAsia" w:cs="宋体"/>
                <w:color w:val="000000"/>
                <w:kern w:val="0"/>
                <w:sz w:val="24"/>
              </w:rPr>
            </w:pPr>
            <w:r w:rsidRPr="00861668">
              <w:rPr>
                <w:rFonts w:asciiTheme="minorEastAsia" w:eastAsiaTheme="minorEastAsia" w:hAnsiTheme="minorEastAsia" w:cs="宋体"/>
                <w:color w:val="000000"/>
                <w:kern w:val="0"/>
                <w:sz w:val="24"/>
              </w:rPr>
              <w:t>6</w:t>
            </w:r>
          </w:p>
        </w:tc>
        <w:tc>
          <w:tcPr>
            <w:tcW w:w="1186" w:type="dxa"/>
            <w:shd w:val="clear" w:color="auto" w:fill="auto"/>
            <w:vAlign w:val="center"/>
            <w:hideMark/>
          </w:tcPr>
          <w:p w:rsidR="00BF4DDC" w:rsidRPr="00861668" w:rsidRDefault="00BF4DDC" w:rsidP="00861668">
            <w:pPr>
              <w:widowControl/>
              <w:spacing w:line="360" w:lineRule="auto"/>
              <w:rPr>
                <w:rFonts w:asciiTheme="minorEastAsia" w:eastAsiaTheme="minorEastAsia" w:hAnsiTheme="minorEastAsia" w:cs="宋体"/>
                <w:color w:val="000000"/>
                <w:kern w:val="0"/>
                <w:sz w:val="24"/>
              </w:rPr>
            </w:pPr>
            <w:r w:rsidRPr="00861668">
              <w:rPr>
                <w:rFonts w:asciiTheme="minorEastAsia" w:eastAsiaTheme="minorEastAsia" w:hAnsiTheme="minorEastAsia" w:cs="宋体" w:hint="eastAsia"/>
                <w:color w:val="000000"/>
                <w:kern w:val="0"/>
                <w:sz w:val="24"/>
              </w:rPr>
              <w:t>天弘永利债券型证券投资基金</w:t>
            </w:r>
          </w:p>
        </w:tc>
        <w:tc>
          <w:tcPr>
            <w:tcW w:w="6095" w:type="dxa"/>
            <w:shd w:val="clear" w:color="auto" w:fill="auto"/>
            <w:vAlign w:val="center"/>
            <w:hideMark/>
          </w:tcPr>
          <w:p w:rsidR="0024088F"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原</w:t>
            </w:r>
            <w:r w:rsidR="0024088F" w:rsidRPr="0024088F">
              <w:rPr>
                <w:rFonts w:asciiTheme="minorEastAsia" w:eastAsiaTheme="minorEastAsia" w:hAnsiTheme="minorEastAsia" w:cs="宋体" w:hint="eastAsia"/>
                <w:kern w:val="0"/>
                <w:sz w:val="24"/>
              </w:rPr>
              <w:t>业绩比较</w:t>
            </w:r>
            <w:r w:rsidRPr="00861668">
              <w:rPr>
                <w:rFonts w:asciiTheme="minorEastAsia" w:eastAsiaTheme="minorEastAsia" w:hAnsiTheme="minorEastAsia" w:cs="宋体" w:hint="eastAsia"/>
                <w:kern w:val="0"/>
                <w:sz w:val="24"/>
              </w:rPr>
              <w:t>基准：中债新综合指数</w:t>
            </w:r>
          </w:p>
          <w:p w:rsidR="0024088F"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调整后的</w:t>
            </w:r>
            <w:r w:rsidR="004D7257" w:rsidRPr="004D7257">
              <w:rPr>
                <w:rFonts w:asciiTheme="minorEastAsia" w:eastAsiaTheme="minorEastAsia" w:hAnsiTheme="minorEastAsia" w:cs="宋体" w:hint="eastAsia"/>
                <w:kern w:val="0"/>
                <w:sz w:val="24"/>
              </w:rPr>
              <w:t>业绩比较</w:t>
            </w:r>
            <w:r w:rsidRPr="00861668">
              <w:rPr>
                <w:rFonts w:asciiTheme="minorEastAsia" w:eastAsiaTheme="minorEastAsia" w:hAnsiTheme="minorEastAsia" w:cs="宋体" w:hint="eastAsia"/>
                <w:kern w:val="0"/>
                <w:sz w:val="24"/>
              </w:rPr>
              <w:t>基准：中债</w:t>
            </w:r>
            <w:r w:rsidRPr="00861668">
              <w:rPr>
                <w:rFonts w:asciiTheme="minorEastAsia" w:eastAsiaTheme="minorEastAsia" w:hAnsiTheme="minorEastAsia" w:cs="宋体"/>
                <w:kern w:val="0"/>
                <w:sz w:val="24"/>
              </w:rPr>
              <w:t>-新综合财富（总值）指数收益率*85%+沪深300指数收益率*15%</w:t>
            </w:r>
          </w:p>
          <w:p w:rsidR="0024088F" w:rsidRDefault="00753E17" w:rsidP="00861668">
            <w:pPr>
              <w:widowControl/>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差异：</w:t>
            </w:r>
            <w:r w:rsidR="00BF4DDC" w:rsidRPr="00861668">
              <w:rPr>
                <w:rFonts w:asciiTheme="minorEastAsia" w:eastAsiaTheme="minorEastAsia" w:hAnsiTheme="minorEastAsia" w:cs="宋体" w:hint="eastAsia"/>
                <w:kern w:val="0"/>
                <w:sz w:val="24"/>
              </w:rPr>
              <w:t>债券资产基准要素不变，新增设置</w:t>
            </w:r>
            <w:r w:rsidR="00BF4DDC" w:rsidRPr="00861668">
              <w:rPr>
                <w:rFonts w:asciiTheme="minorEastAsia" w:eastAsiaTheme="minorEastAsia" w:hAnsiTheme="minorEastAsia" w:cs="宋体"/>
                <w:kern w:val="0"/>
                <w:sz w:val="24"/>
              </w:rPr>
              <w:t>15%的股票资产基准要素权重，债券资产基准要素权重从100%下调至85%。</w:t>
            </w:r>
          </w:p>
          <w:p w:rsidR="0024088F"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原因：根据本基金近两年股票和债券仓位情况，由于原基准不含股票资产要素，调整后的要素、权重更符合基金所投资的股票、债券过往实际投资运作情况和未来的投资策略。</w:t>
            </w:r>
          </w:p>
          <w:p w:rsidR="00BF4DDC" w:rsidRPr="00861668"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影响：本次业绩比较基准调整的目的是提高基金业绩表现与业绩比较基准的可比性，使基准能够更好地反映基金的风险收益特征。该调整不会对产品投资运作、持有人利益产生实质性不利影响。</w:t>
            </w:r>
          </w:p>
        </w:tc>
      </w:tr>
      <w:tr w:rsidR="00485FBA" w:rsidRPr="00E31CC1" w:rsidTr="00861668">
        <w:trPr>
          <w:trHeight w:val="3300"/>
        </w:trPr>
        <w:tc>
          <w:tcPr>
            <w:tcW w:w="936" w:type="dxa"/>
            <w:shd w:val="clear" w:color="auto" w:fill="auto"/>
            <w:vAlign w:val="center"/>
            <w:hideMark/>
          </w:tcPr>
          <w:p w:rsidR="00BF4DDC" w:rsidRPr="00861668" w:rsidRDefault="00BF4DDC" w:rsidP="00861668">
            <w:pPr>
              <w:widowControl/>
              <w:spacing w:line="360" w:lineRule="auto"/>
              <w:ind w:firstLineChars="200" w:firstLine="480"/>
              <w:rPr>
                <w:rFonts w:asciiTheme="minorEastAsia" w:eastAsiaTheme="minorEastAsia" w:hAnsiTheme="minorEastAsia" w:cs="宋体"/>
                <w:color w:val="000000"/>
                <w:kern w:val="0"/>
                <w:sz w:val="24"/>
              </w:rPr>
            </w:pPr>
            <w:r w:rsidRPr="00861668">
              <w:rPr>
                <w:rFonts w:asciiTheme="minorEastAsia" w:eastAsiaTheme="minorEastAsia" w:hAnsiTheme="minorEastAsia" w:cs="宋体"/>
                <w:color w:val="000000"/>
                <w:kern w:val="0"/>
                <w:sz w:val="24"/>
              </w:rPr>
              <w:t>7</w:t>
            </w:r>
          </w:p>
        </w:tc>
        <w:tc>
          <w:tcPr>
            <w:tcW w:w="1186" w:type="dxa"/>
            <w:shd w:val="clear" w:color="auto" w:fill="auto"/>
            <w:vAlign w:val="center"/>
            <w:hideMark/>
          </w:tcPr>
          <w:p w:rsidR="00BF4DDC" w:rsidRPr="00861668" w:rsidRDefault="00BF4DDC" w:rsidP="00861668">
            <w:pPr>
              <w:widowControl/>
              <w:spacing w:line="360" w:lineRule="auto"/>
              <w:rPr>
                <w:rFonts w:asciiTheme="minorEastAsia" w:eastAsiaTheme="minorEastAsia" w:hAnsiTheme="minorEastAsia" w:cs="宋体"/>
                <w:color w:val="000000"/>
                <w:kern w:val="0"/>
                <w:sz w:val="24"/>
              </w:rPr>
            </w:pPr>
            <w:r w:rsidRPr="00861668">
              <w:rPr>
                <w:rFonts w:asciiTheme="minorEastAsia" w:eastAsiaTheme="minorEastAsia" w:hAnsiTheme="minorEastAsia" w:cs="宋体" w:hint="eastAsia"/>
                <w:color w:val="000000"/>
                <w:kern w:val="0"/>
                <w:sz w:val="24"/>
              </w:rPr>
              <w:t>天弘安康颐养混合型证券投资基金</w:t>
            </w:r>
          </w:p>
        </w:tc>
        <w:tc>
          <w:tcPr>
            <w:tcW w:w="6095" w:type="dxa"/>
            <w:shd w:val="clear" w:color="auto" w:fill="auto"/>
            <w:vAlign w:val="center"/>
            <w:hideMark/>
          </w:tcPr>
          <w:p w:rsidR="002E3FAC"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原</w:t>
            </w:r>
            <w:r w:rsidR="002E3FAC" w:rsidRPr="002E3FAC">
              <w:rPr>
                <w:rFonts w:asciiTheme="minorEastAsia" w:eastAsiaTheme="minorEastAsia" w:hAnsiTheme="minorEastAsia" w:cs="宋体" w:hint="eastAsia"/>
                <w:kern w:val="0"/>
                <w:sz w:val="24"/>
              </w:rPr>
              <w:t>业绩比较</w:t>
            </w:r>
            <w:r w:rsidRPr="00861668">
              <w:rPr>
                <w:rFonts w:asciiTheme="minorEastAsia" w:eastAsiaTheme="minorEastAsia" w:hAnsiTheme="minorEastAsia" w:cs="宋体" w:hint="eastAsia"/>
                <w:kern w:val="0"/>
                <w:sz w:val="24"/>
              </w:rPr>
              <w:t>基准：三年期银行定期存款利率（税后）</w:t>
            </w:r>
            <w:r w:rsidRPr="00861668">
              <w:rPr>
                <w:rFonts w:asciiTheme="minorEastAsia" w:eastAsiaTheme="minorEastAsia" w:hAnsiTheme="minorEastAsia" w:cs="宋体"/>
                <w:kern w:val="0"/>
                <w:sz w:val="24"/>
              </w:rPr>
              <w:t>+0.75%，即中国人民银行公布并执行的三年</w:t>
            </w:r>
            <w:r w:rsidRPr="00861668">
              <w:rPr>
                <w:rFonts w:asciiTheme="minorEastAsia" w:eastAsiaTheme="minorEastAsia" w:hAnsiTheme="minorEastAsia" w:cs="宋体" w:hint="eastAsia"/>
                <w:kern w:val="0"/>
                <w:sz w:val="24"/>
              </w:rPr>
              <w:t>期金融机构人民币存款基准利率（税后）</w:t>
            </w:r>
            <w:r w:rsidRPr="00861668">
              <w:rPr>
                <w:rFonts w:asciiTheme="minorEastAsia" w:eastAsiaTheme="minorEastAsia" w:hAnsiTheme="minorEastAsia" w:cs="宋体"/>
                <w:kern w:val="0"/>
                <w:sz w:val="24"/>
              </w:rPr>
              <w:t>+0.75%</w:t>
            </w:r>
          </w:p>
          <w:p w:rsidR="002E3FAC"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调整后的</w:t>
            </w:r>
            <w:r w:rsidR="002E3FAC" w:rsidRPr="002E3FAC">
              <w:rPr>
                <w:rFonts w:asciiTheme="minorEastAsia" w:eastAsiaTheme="minorEastAsia" w:hAnsiTheme="minorEastAsia" w:cs="宋体" w:hint="eastAsia"/>
                <w:kern w:val="0"/>
                <w:sz w:val="24"/>
              </w:rPr>
              <w:t>业绩比较</w:t>
            </w:r>
            <w:r w:rsidRPr="00861668">
              <w:rPr>
                <w:rFonts w:asciiTheme="minorEastAsia" w:eastAsiaTheme="minorEastAsia" w:hAnsiTheme="minorEastAsia" w:cs="宋体" w:hint="eastAsia"/>
                <w:kern w:val="0"/>
                <w:sz w:val="24"/>
              </w:rPr>
              <w:t>基准：中债</w:t>
            </w:r>
            <w:r w:rsidRPr="00861668">
              <w:rPr>
                <w:rFonts w:asciiTheme="minorEastAsia" w:eastAsiaTheme="minorEastAsia" w:hAnsiTheme="minorEastAsia" w:cs="宋体"/>
                <w:kern w:val="0"/>
                <w:sz w:val="24"/>
              </w:rPr>
              <w:t>-新综合全价（总值）指数收益率*85%+沪深300指数收益率*15%</w:t>
            </w:r>
          </w:p>
          <w:p w:rsidR="002E3FAC" w:rsidRDefault="00753E17" w:rsidP="00861668">
            <w:pPr>
              <w:widowControl/>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差异：</w:t>
            </w:r>
            <w:r w:rsidR="00BF4DDC" w:rsidRPr="00861668">
              <w:rPr>
                <w:rFonts w:asciiTheme="minorEastAsia" w:eastAsiaTheme="minorEastAsia" w:hAnsiTheme="minorEastAsia" w:cs="宋体" w:hint="eastAsia"/>
                <w:kern w:val="0"/>
                <w:sz w:val="24"/>
              </w:rPr>
              <w:t>基准从定期存款利率</w:t>
            </w:r>
            <w:r w:rsidR="003E5278">
              <w:rPr>
                <w:rFonts w:asciiTheme="minorEastAsia" w:eastAsiaTheme="minorEastAsia" w:hAnsiTheme="minorEastAsia" w:cs="宋体" w:hint="eastAsia"/>
                <w:kern w:val="0"/>
                <w:sz w:val="24"/>
              </w:rPr>
              <w:t>调整</w:t>
            </w:r>
            <w:r w:rsidR="00BF4DDC" w:rsidRPr="00861668">
              <w:rPr>
                <w:rFonts w:asciiTheme="minorEastAsia" w:eastAsiaTheme="minorEastAsia" w:hAnsiTheme="minorEastAsia" w:cs="宋体" w:hint="eastAsia"/>
                <w:kern w:val="0"/>
                <w:sz w:val="24"/>
              </w:rPr>
              <w:t>为股债基准要素组合，设置</w:t>
            </w:r>
            <w:r w:rsidR="00BF4DDC" w:rsidRPr="00861668">
              <w:rPr>
                <w:rFonts w:asciiTheme="minorEastAsia" w:eastAsiaTheme="minorEastAsia" w:hAnsiTheme="minorEastAsia" w:cs="宋体"/>
                <w:kern w:val="0"/>
                <w:sz w:val="24"/>
              </w:rPr>
              <w:t>15%的股票资产基准要素权重和85%的债券资产基准要素权重。</w:t>
            </w:r>
          </w:p>
          <w:p w:rsidR="002E3FAC"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原因：根据本基金近两年股票和债券的仓位情况，调整后的要素、权重更符合基金所投资的股票、债券过往实际投资运作情况和未来的投资策略。</w:t>
            </w:r>
          </w:p>
          <w:p w:rsidR="00BF4DDC" w:rsidRPr="00861668"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影响：本次业绩比较基准调整的目的是提高基金业绩表现与业绩比较基准的可比性，使基准能够更好地反映基金的风险收益特征。该调整不会对产品投资运作、持有人利益产生实质性不利影响。</w:t>
            </w:r>
          </w:p>
        </w:tc>
      </w:tr>
      <w:tr w:rsidR="00485FBA" w:rsidRPr="00E31CC1" w:rsidTr="00861668">
        <w:trPr>
          <w:trHeight w:val="3549"/>
        </w:trPr>
        <w:tc>
          <w:tcPr>
            <w:tcW w:w="936" w:type="dxa"/>
            <w:shd w:val="clear" w:color="auto" w:fill="auto"/>
            <w:vAlign w:val="center"/>
            <w:hideMark/>
          </w:tcPr>
          <w:p w:rsidR="00BF4DDC" w:rsidRPr="00861668" w:rsidRDefault="00BF4DDC" w:rsidP="00861668">
            <w:pPr>
              <w:widowControl/>
              <w:spacing w:line="360" w:lineRule="auto"/>
              <w:ind w:firstLineChars="200" w:firstLine="480"/>
              <w:rPr>
                <w:rFonts w:asciiTheme="minorEastAsia" w:eastAsiaTheme="minorEastAsia" w:hAnsiTheme="minorEastAsia" w:cs="宋体"/>
                <w:color w:val="000000"/>
                <w:kern w:val="0"/>
                <w:sz w:val="24"/>
              </w:rPr>
            </w:pPr>
            <w:r w:rsidRPr="00861668">
              <w:rPr>
                <w:rFonts w:asciiTheme="minorEastAsia" w:eastAsiaTheme="minorEastAsia" w:hAnsiTheme="minorEastAsia" w:cs="宋体"/>
                <w:color w:val="000000"/>
                <w:kern w:val="0"/>
                <w:sz w:val="24"/>
              </w:rPr>
              <w:t>8</w:t>
            </w:r>
          </w:p>
        </w:tc>
        <w:tc>
          <w:tcPr>
            <w:tcW w:w="1186" w:type="dxa"/>
            <w:shd w:val="clear" w:color="auto" w:fill="auto"/>
            <w:vAlign w:val="center"/>
            <w:hideMark/>
          </w:tcPr>
          <w:p w:rsidR="00BF4DDC" w:rsidRPr="00861668" w:rsidRDefault="00BF4DDC" w:rsidP="00861668">
            <w:pPr>
              <w:widowControl/>
              <w:spacing w:line="360" w:lineRule="auto"/>
              <w:rPr>
                <w:rFonts w:asciiTheme="minorEastAsia" w:eastAsiaTheme="minorEastAsia" w:hAnsiTheme="minorEastAsia" w:cs="宋体"/>
                <w:color w:val="000000"/>
                <w:kern w:val="0"/>
                <w:sz w:val="24"/>
              </w:rPr>
            </w:pPr>
            <w:r w:rsidRPr="00861668">
              <w:rPr>
                <w:rFonts w:asciiTheme="minorEastAsia" w:eastAsiaTheme="minorEastAsia" w:hAnsiTheme="minorEastAsia" w:cs="宋体" w:hint="eastAsia"/>
                <w:color w:val="000000"/>
                <w:kern w:val="0"/>
                <w:sz w:val="24"/>
              </w:rPr>
              <w:t>天弘安和平衡混合型证券投资基金</w:t>
            </w:r>
          </w:p>
        </w:tc>
        <w:tc>
          <w:tcPr>
            <w:tcW w:w="6095" w:type="dxa"/>
            <w:shd w:val="clear" w:color="auto" w:fill="auto"/>
            <w:vAlign w:val="center"/>
            <w:hideMark/>
          </w:tcPr>
          <w:p w:rsidR="00D21051"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原</w:t>
            </w:r>
            <w:r w:rsidR="00D21051" w:rsidRPr="00D21051">
              <w:rPr>
                <w:rFonts w:asciiTheme="minorEastAsia" w:eastAsiaTheme="minorEastAsia" w:hAnsiTheme="minorEastAsia" w:cs="宋体" w:hint="eastAsia"/>
                <w:kern w:val="0"/>
                <w:sz w:val="24"/>
              </w:rPr>
              <w:t>业绩比较</w:t>
            </w:r>
            <w:r w:rsidRPr="00861668">
              <w:rPr>
                <w:rFonts w:asciiTheme="minorEastAsia" w:eastAsiaTheme="minorEastAsia" w:hAnsiTheme="minorEastAsia" w:cs="宋体" w:hint="eastAsia"/>
                <w:kern w:val="0"/>
                <w:sz w:val="24"/>
              </w:rPr>
              <w:t>基准：中债新综合指数（财富）收益率×</w:t>
            </w:r>
            <w:r w:rsidRPr="00861668">
              <w:rPr>
                <w:rFonts w:asciiTheme="minorEastAsia" w:eastAsiaTheme="minorEastAsia" w:hAnsiTheme="minorEastAsia" w:cs="宋体"/>
                <w:kern w:val="0"/>
                <w:sz w:val="24"/>
              </w:rPr>
              <w:t>55%+中证800指数收益率×40%+中证港股</w:t>
            </w:r>
            <w:r w:rsidRPr="00861668">
              <w:rPr>
                <w:rFonts w:asciiTheme="minorEastAsia" w:eastAsiaTheme="minorEastAsia" w:hAnsiTheme="minorEastAsia" w:cs="宋体" w:hint="eastAsia"/>
                <w:kern w:val="0"/>
                <w:sz w:val="24"/>
              </w:rPr>
              <w:t>通综合指数收益率×</w:t>
            </w:r>
            <w:r w:rsidRPr="00861668">
              <w:rPr>
                <w:rFonts w:asciiTheme="minorEastAsia" w:eastAsiaTheme="minorEastAsia" w:hAnsiTheme="minorEastAsia" w:cs="宋体"/>
                <w:kern w:val="0"/>
                <w:sz w:val="24"/>
              </w:rPr>
              <w:t>5%</w:t>
            </w:r>
          </w:p>
          <w:p w:rsidR="00D21051"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调整后的</w:t>
            </w:r>
            <w:r w:rsidR="00D21051" w:rsidRPr="00D21051">
              <w:rPr>
                <w:rFonts w:asciiTheme="minorEastAsia" w:eastAsiaTheme="minorEastAsia" w:hAnsiTheme="minorEastAsia" w:cs="宋体" w:hint="eastAsia"/>
                <w:kern w:val="0"/>
                <w:sz w:val="24"/>
              </w:rPr>
              <w:t>业绩比较</w:t>
            </w:r>
            <w:r w:rsidRPr="00861668">
              <w:rPr>
                <w:rFonts w:asciiTheme="minorEastAsia" w:eastAsiaTheme="minorEastAsia" w:hAnsiTheme="minorEastAsia" w:cs="宋体" w:hint="eastAsia"/>
                <w:kern w:val="0"/>
                <w:sz w:val="24"/>
              </w:rPr>
              <w:t>基准：中债</w:t>
            </w:r>
            <w:r w:rsidRPr="00861668">
              <w:rPr>
                <w:rFonts w:asciiTheme="minorEastAsia" w:eastAsiaTheme="minorEastAsia" w:hAnsiTheme="minorEastAsia" w:cs="宋体"/>
                <w:kern w:val="0"/>
                <w:sz w:val="24"/>
              </w:rPr>
              <w:t>-新综合财富（总值）指数收益率*80%+中证800指数收益率*15%+中证港股</w:t>
            </w:r>
            <w:r w:rsidRPr="00861668">
              <w:rPr>
                <w:rFonts w:asciiTheme="minorEastAsia" w:eastAsiaTheme="minorEastAsia" w:hAnsiTheme="minorEastAsia" w:cs="宋体" w:hint="eastAsia"/>
                <w:kern w:val="0"/>
                <w:sz w:val="24"/>
              </w:rPr>
              <w:t>通综合指数（人民币）收益率</w:t>
            </w:r>
            <w:r w:rsidRPr="00861668">
              <w:rPr>
                <w:rFonts w:asciiTheme="minorEastAsia" w:eastAsiaTheme="minorEastAsia" w:hAnsiTheme="minorEastAsia" w:cs="宋体"/>
                <w:kern w:val="0"/>
                <w:sz w:val="24"/>
              </w:rPr>
              <w:t>*5%</w:t>
            </w:r>
          </w:p>
          <w:p w:rsidR="00D21051" w:rsidRDefault="00753E17" w:rsidP="00861668">
            <w:pPr>
              <w:widowControl/>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差异：</w:t>
            </w:r>
            <w:r w:rsidR="00BF4DDC" w:rsidRPr="00861668">
              <w:rPr>
                <w:rFonts w:asciiTheme="minorEastAsia" w:eastAsiaTheme="minorEastAsia" w:hAnsiTheme="minorEastAsia" w:cs="宋体" w:hint="eastAsia"/>
                <w:kern w:val="0"/>
                <w:sz w:val="24"/>
              </w:rPr>
              <w:t>股票、债券资产基准要素不变，股票资产基准要素权重从</w:t>
            </w:r>
            <w:r w:rsidR="00BF4DDC" w:rsidRPr="00861668">
              <w:rPr>
                <w:rFonts w:asciiTheme="minorEastAsia" w:eastAsiaTheme="minorEastAsia" w:hAnsiTheme="minorEastAsia" w:cs="宋体"/>
                <w:kern w:val="0"/>
                <w:sz w:val="24"/>
              </w:rPr>
              <w:t>45%下调至20%（其中5%港股资产基准要素权重不变），债券资产基准要素权重从55%上调至80%。</w:t>
            </w:r>
          </w:p>
          <w:p w:rsidR="00D21051" w:rsidRDefault="004C2AA2" w:rsidP="00861668">
            <w:pPr>
              <w:widowControl/>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原因：根据本基金成立以来</w:t>
            </w:r>
            <w:r w:rsidR="00BF4DDC" w:rsidRPr="00861668">
              <w:rPr>
                <w:rFonts w:asciiTheme="minorEastAsia" w:eastAsiaTheme="minorEastAsia" w:hAnsiTheme="minorEastAsia" w:cs="宋体" w:hint="eastAsia"/>
                <w:kern w:val="0"/>
                <w:sz w:val="24"/>
              </w:rPr>
              <w:t>股票和债券的仓位情况，调整后的权重更符合基金所投资的股票、债券过往实际投资运作情况和未来的投资策略。</w:t>
            </w:r>
          </w:p>
          <w:p w:rsidR="00BF4DDC" w:rsidRPr="00861668"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影响：本次业绩比较基准调整的目的是提高基金业绩表现与业绩比较基准的可比性，使基准能够更好地反映基金的风险收益特征。该调整不会对产品投资运作、持有人利益产生实质性不利影响。</w:t>
            </w:r>
          </w:p>
        </w:tc>
      </w:tr>
      <w:tr w:rsidR="00485FBA" w:rsidRPr="00E31CC1" w:rsidTr="00861668">
        <w:trPr>
          <w:trHeight w:val="2117"/>
        </w:trPr>
        <w:tc>
          <w:tcPr>
            <w:tcW w:w="936" w:type="dxa"/>
            <w:shd w:val="clear" w:color="auto" w:fill="auto"/>
            <w:vAlign w:val="center"/>
            <w:hideMark/>
          </w:tcPr>
          <w:p w:rsidR="00BF4DDC" w:rsidRPr="00861668" w:rsidRDefault="00352E14" w:rsidP="00861668">
            <w:pPr>
              <w:widowControl/>
              <w:spacing w:line="360" w:lineRule="auto"/>
              <w:ind w:firstLineChars="200" w:firstLine="480"/>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9</w:t>
            </w:r>
          </w:p>
        </w:tc>
        <w:tc>
          <w:tcPr>
            <w:tcW w:w="1186" w:type="dxa"/>
            <w:shd w:val="clear" w:color="auto" w:fill="auto"/>
            <w:vAlign w:val="center"/>
            <w:hideMark/>
          </w:tcPr>
          <w:p w:rsidR="00BF4DDC" w:rsidRPr="00861668" w:rsidRDefault="00BF4DDC" w:rsidP="00861668">
            <w:pPr>
              <w:widowControl/>
              <w:spacing w:line="360" w:lineRule="auto"/>
              <w:rPr>
                <w:rFonts w:asciiTheme="minorEastAsia" w:eastAsiaTheme="minorEastAsia" w:hAnsiTheme="minorEastAsia" w:cs="宋体"/>
                <w:color w:val="000000"/>
                <w:kern w:val="0"/>
                <w:sz w:val="24"/>
              </w:rPr>
            </w:pPr>
            <w:r w:rsidRPr="00861668">
              <w:rPr>
                <w:rFonts w:asciiTheme="minorEastAsia" w:eastAsiaTheme="minorEastAsia" w:hAnsiTheme="minorEastAsia" w:cs="宋体" w:hint="eastAsia"/>
                <w:color w:val="000000"/>
                <w:kern w:val="0"/>
                <w:sz w:val="24"/>
              </w:rPr>
              <w:t>天弘安康颐丰一年持有期混合型证券投资基金</w:t>
            </w:r>
          </w:p>
        </w:tc>
        <w:tc>
          <w:tcPr>
            <w:tcW w:w="6095" w:type="dxa"/>
            <w:shd w:val="clear" w:color="auto" w:fill="auto"/>
            <w:vAlign w:val="center"/>
            <w:hideMark/>
          </w:tcPr>
          <w:p w:rsidR="0090311C"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原</w:t>
            </w:r>
            <w:r w:rsidR="00C8651B" w:rsidRPr="00C8651B">
              <w:rPr>
                <w:rFonts w:asciiTheme="minorEastAsia" w:eastAsiaTheme="minorEastAsia" w:hAnsiTheme="minorEastAsia" w:cs="宋体" w:hint="eastAsia"/>
                <w:kern w:val="0"/>
                <w:sz w:val="24"/>
              </w:rPr>
              <w:t>业绩比较</w:t>
            </w:r>
            <w:r w:rsidRPr="00861668">
              <w:rPr>
                <w:rFonts w:asciiTheme="minorEastAsia" w:eastAsiaTheme="minorEastAsia" w:hAnsiTheme="minorEastAsia" w:cs="宋体" w:hint="eastAsia"/>
                <w:kern w:val="0"/>
                <w:sz w:val="24"/>
              </w:rPr>
              <w:t>基准：中债新综合指数（财富）收益率×</w:t>
            </w:r>
            <w:r w:rsidRPr="00861668">
              <w:rPr>
                <w:rFonts w:asciiTheme="minorEastAsia" w:eastAsiaTheme="minorEastAsia" w:hAnsiTheme="minorEastAsia" w:cs="宋体"/>
                <w:kern w:val="0"/>
                <w:sz w:val="24"/>
              </w:rPr>
              <w:t>85%+沪深300指数收益率×13%+中证港股</w:t>
            </w:r>
            <w:r w:rsidRPr="00861668">
              <w:rPr>
                <w:rFonts w:asciiTheme="minorEastAsia" w:eastAsiaTheme="minorEastAsia" w:hAnsiTheme="minorEastAsia" w:cs="宋体" w:hint="eastAsia"/>
                <w:kern w:val="0"/>
                <w:sz w:val="24"/>
              </w:rPr>
              <w:t>通综合指数收益率×</w:t>
            </w:r>
            <w:r w:rsidRPr="00861668">
              <w:rPr>
                <w:rFonts w:asciiTheme="minorEastAsia" w:eastAsiaTheme="minorEastAsia" w:hAnsiTheme="minorEastAsia" w:cs="宋体"/>
                <w:kern w:val="0"/>
                <w:sz w:val="24"/>
              </w:rPr>
              <w:t>2%</w:t>
            </w:r>
          </w:p>
          <w:p w:rsidR="0090311C"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调整后的</w:t>
            </w:r>
            <w:r w:rsidR="00C8651B" w:rsidRPr="00C8651B">
              <w:rPr>
                <w:rFonts w:asciiTheme="minorEastAsia" w:eastAsiaTheme="minorEastAsia" w:hAnsiTheme="minorEastAsia" w:cs="宋体" w:hint="eastAsia"/>
                <w:kern w:val="0"/>
                <w:sz w:val="24"/>
              </w:rPr>
              <w:t>业绩比较</w:t>
            </w:r>
            <w:r w:rsidRPr="00861668">
              <w:rPr>
                <w:rFonts w:asciiTheme="minorEastAsia" w:eastAsiaTheme="minorEastAsia" w:hAnsiTheme="minorEastAsia" w:cs="宋体" w:hint="eastAsia"/>
                <w:kern w:val="0"/>
                <w:sz w:val="24"/>
              </w:rPr>
              <w:t>基准：中债</w:t>
            </w:r>
            <w:r w:rsidRPr="00861668">
              <w:rPr>
                <w:rFonts w:asciiTheme="minorEastAsia" w:eastAsiaTheme="minorEastAsia" w:hAnsiTheme="minorEastAsia" w:cs="宋体"/>
                <w:kern w:val="0"/>
                <w:sz w:val="24"/>
              </w:rPr>
              <w:t>-新综合财富（总值）指数收益率*80%+沪深300指数收益率*15%+中证港股</w:t>
            </w:r>
            <w:r w:rsidRPr="00861668">
              <w:rPr>
                <w:rFonts w:asciiTheme="minorEastAsia" w:eastAsiaTheme="minorEastAsia" w:hAnsiTheme="minorEastAsia" w:cs="宋体" w:hint="eastAsia"/>
                <w:kern w:val="0"/>
                <w:sz w:val="24"/>
              </w:rPr>
              <w:t>通综合指数（人民币）收益率</w:t>
            </w:r>
            <w:r w:rsidRPr="00861668">
              <w:rPr>
                <w:rFonts w:asciiTheme="minorEastAsia" w:eastAsiaTheme="minorEastAsia" w:hAnsiTheme="minorEastAsia" w:cs="宋体"/>
                <w:kern w:val="0"/>
                <w:sz w:val="24"/>
              </w:rPr>
              <w:t>*5%</w:t>
            </w:r>
          </w:p>
          <w:p w:rsidR="0090311C" w:rsidRDefault="00753E17" w:rsidP="00861668">
            <w:pPr>
              <w:widowControl/>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差异：</w:t>
            </w:r>
            <w:r w:rsidR="00BF4DDC" w:rsidRPr="00861668">
              <w:rPr>
                <w:rFonts w:asciiTheme="minorEastAsia" w:eastAsiaTheme="minorEastAsia" w:hAnsiTheme="minorEastAsia" w:cs="宋体" w:hint="eastAsia"/>
                <w:kern w:val="0"/>
                <w:sz w:val="24"/>
              </w:rPr>
              <w:t>股票、债券资产基准要素不变，股票资产基准要素权重从</w:t>
            </w:r>
            <w:r w:rsidR="00BF4DDC" w:rsidRPr="00861668">
              <w:rPr>
                <w:rFonts w:asciiTheme="minorEastAsia" w:eastAsiaTheme="minorEastAsia" w:hAnsiTheme="minorEastAsia" w:cs="宋体"/>
                <w:kern w:val="0"/>
                <w:sz w:val="24"/>
              </w:rPr>
              <w:t>15%上调至20%（其中港股资产基准要素权重从2%上调至5%），债券资产基准要素权重从85%下调至80%。</w:t>
            </w:r>
          </w:p>
          <w:p w:rsidR="0090311C"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原因：根据本基金近两年股票和债券的仓位情况，调整后的权重更符合基金所投资的股票、债券过往实际投资运作情况和未来的投资策略。</w:t>
            </w:r>
          </w:p>
          <w:p w:rsidR="00BF4DDC" w:rsidRPr="00861668"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影响：本次业绩比较基准调整的目的是提高基金业绩表现与业绩比较基准的可比性，使基准能够更好地反映基金的风险收益特征。该调整不会对产品投资运作、持有人利益产生实质性不利影响。</w:t>
            </w:r>
          </w:p>
        </w:tc>
      </w:tr>
      <w:tr w:rsidR="00485FBA" w:rsidRPr="00E31CC1" w:rsidTr="00861668">
        <w:trPr>
          <w:trHeight w:val="3561"/>
        </w:trPr>
        <w:tc>
          <w:tcPr>
            <w:tcW w:w="936" w:type="dxa"/>
            <w:shd w:val="clear" w:color="auto" w:fill="auto"/>
            <w:vAlign w:val="center"/>
            <w:hideMark/>
          </w:tcPr>
          <w:p w:rsidR="00BF4DDC" w:rsidRPr="00861668" w:rsidRDefault="00352E14" w:rsidP="00861668">
            <w:pPr>
              <w:widowControl/>
              <w:spacing w:line="360" w:lineRule="auto"/>
              <w:ind w:firstLineChars="200" w:firstLine="480"/>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10</w:t>
            </w:r>
          </w:p>
        </w:tc>
        <w:tc>
          <w:tcPr>
            <w:tcW w:w="1186" w:type="dxa"/>
            <w:shd w:val="clear" w:color="auto" w:fill="auto"/>
            <w:vAlign w:val="center"/>
            <w:hideMark/>
          </w:tcPr>
          <w:p w:rsidR="00BF4DDC" w:rsidRPr="00861668" w:rsidRDefault="00BF4DDC" w:rsidP="00861668">
            <w:pPr>
              <w:widowControl/>
              <w:spacing w:line="360" w:lineRule="auto"/>
              <w:rPr>
                <w:rFonts w:asciiTheme="minorEastAsia" w:eastAsiaTheme="minorEastAsia" w:hAnsiTheme="minorEastAsia" w:cs="宋体"/>
                <w:color w:val="000000"/>
                <w:kern w:val="0"/>
                <w:sz w:val="24"/>
              </w:rPr>
            </w:pPr>
            <w:r w:rsidRPr="00861668">
              <w:rPr>
                <w:rFonts w:asciiTheme="minorEastAsia" w:eastAsiaTheme="minorEastAsia" w:hAnsiTheme="minorEastAsia" w:cs="宋体" w:hint="eastAsia"/>
                <w:color w:val="000000"/>
                <w:kern w:val="0"/>
                <w:sz w:val="24"/>
              </w:rPr>
              <w:t>天弘安康颐利混合型证券投资基金</w:t>
            </w:r>
          </w:p>
        </w:tc>
        <w:tc>
          <w:tcPr>
            <w:tcW w:w="6095" w:type="dxa"/>
            <w:shd w:val="clear" w:color="auto" w:fill="auto"/>
            <w:vAlign w:val="center"/>
            <w:hideMark/>
          </w:tcPr>
          <w:p w:rsidR="000B0C97"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原</w:t>
            </w:r>
            <w:r w:rsidR="000B0C97" w:rsidRPr="000B0C97">
              <w:rPr>
                <w:rFonts w:asciiTheme="minorEastAsia" w:eastAsiaTheme="minorEastAsia" w:hAnsiTheme="minorEastAsia" w:cs="宋体" w:hint="eastAsia"/>
                <w:kern w:val="0"/>
                <w:sz w:val="24"/>
              </w:rPr>
              <w:t>业绩比较</w:t>
            </w:r>
            <w:r w:rsidRPr="00861668">
              <w:rPr>
                <w:rFonts w:asciiTheme="minorEastAsia" w:eastAsiaTheme="minorEastAsia" w:hAnsiTheme="minorEastAsia" w:cs="宋体" w:hint="eastAsia"/>
                <w:kern w:val="0"/>
                <w:sz w:val="24"/>
              </w:rPr>
              <w:t>基准：中证全债指数收益率×</w:t>
            </w:r>
            <w:r w:rsidRPr="00861668">
              <w:rPr>
                <w:rFonts w:asciiTheme="minorEastAsia" w:eastAsiaTheme="minorEastAsia" w:hAnsiTheme="minorEastAsia" w:cs="宋体"/>
                <w:kern w:val="0"/>
                <w:sz w:val="24"/>
              </w:rPr>
              <w:t>85%+沪深300指数收益率×13%+恒生指数收益率(使用估值汇率调整)×2%</w:t>
            </w:r>
          </w:p>
          <w:p w:rsidR="00B358B7"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调整后的</w:t>
            </w:r>
            <w:r w:rsidR="000B0C97" w:rsidRPr="000B0C97">
              <w:rPr>
                <w:rFonts w:asciiTheme="minorEastAsia" w:eastAsiaTheme="minorEastAsia" w:hAnsiTheme="minorEastAsia" w:cs="宋体" w:hint="eastAsia"/>
                <w:kern w:val="0"/>
                <w:sz w:val="24"/>
              </w:rPr>
              <w:t>业绩比较</w:t>
            </w:r>
            <w:r w:rsidRPr="00861668">
              <w:rPr>
                <w:rFonts w:asciiTheme="minorEastAsia" w:eastAsiaTheme="minorEastAsia" w:hAnsiTheme="minorEastAsia" w:cs="宋体" w:hint="eastAsia"/>
                <w:kern w:val="0"/>
                <w:sz w:val="24"/>
              </w:rPr>
              <w:t>基准：中证全债指数收益率</w:t>
            </w:r>
            <w:r w:rsidRPr="00861668">
              <w:rPr>
                <w:rFonts w:asciiTheme="minorEastAsia" w:eastAsiaTheme="minorEastAsia" w:hAnsiTheme="minorEastAsia" w:cs="宋体"/>
                <w:kern w:val="0"/>
                <w:sz w:val="24"/>
              </w:rPr>
              <w:t>*90%+沪深300指数收益率*10%</w:t>
            </w:r>
          </w:p>
          <w:p w:rsidR="00B358B7" w:rsidRDefault="00753E17" w:rsidP="00861668">
            <w:pPr>
              <w:widowControl/>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差异：</w:t>
            </w:r>
            <w:r w:rsidR="00BF4DDC" w:rsidRPr="00861668">
              <w:rPr>
                <w:rFonts w:asciiTheme="minorEastAsia" w:eastAsiaTheme="minorEastAsia" w:hAnsiTheme="minorEastAsia" w:cs="宋体" w:hint="eastAsia"/>
                <w:kern w:val="0"/>
                <w:sz w:val="24"/>
              </w:rPr>
              <w:t>股票、债券资产基准要素不变，股票资产基准要素权重从</w:t>
            </w:r>
            <w:r w:rsidR="00BF4DDC" w:rsidRPr="00861668">
              <w:rPr>
                <w:rFonts w:asciiTheme="minorEastAsia" w:eastAsiaTheme="minorEastAsia" w:hAnsiTheme="minorEastAsia" w:cs="宋体"/>
                <w:kern w:val="0"/>
                <w:sz w:val="24"/>
              </w:rPr>
              <w:t>15%下调至10%（同时删除港股资产基准要素），债券资产基准要素权重从85%上调至90%。</w:t>
            </w:r>
          </w:p>
          <w:p w:rsidR="00B358B7"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原因：根据本基金近两年股票和债券的仓位情况，调整后的权重更符合基金所投资的股票、债券过往实际投资运作情况和未来的投资策略。</w:t>
            </w:r>
          </w:p>
          <w:p w:rsidR="00BF4DDC" w:rsidRPr="00861668"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影响：本次业绩比较基准调整的目的是提高基金业绩表现与业绩比较基准的可比性，使基准能够更好地反映基金的风险收益特征。该调整不会对产品投资运作、持有人利益产生实质性不利影响。</w:t>
            </w:r>
          </w:p>
        </w:tc>
      </w:tr>
      <w:tr w:rsidR="00485FBA" w:rsidRPr="00E31CC1" w:rsidTr="00861668">
        <w:trPr>
          <w:trHeight w:val="3825"/>
        </w:trPr>
        <w:tc>
          <w:tcPr>
            <w:tcW w:w="936" w:type="dxa"/>
            <w:shd w:val="clear" w:color="auto" w:fill="auto"/>
            <w:vAlign w:val="center"/>
            <w:hideMark/>
          </w:tcPr>
          <w:p w:rsidR="00BF4DDC" w:rsidRPr="00861668" w:rsidRDefault="00BF4DDC" w:rsidP="00861668">
            <w:pPr>
              <w:widowControl/>
              <w:spacing w:line="360" w:lineRule="auto"/>
              <w:ind w:firstLineChars="200" w:firstLine="480"/>
              <w:rPr>
                <w:rFonts w:asciiTheme="minorEastAsia" w:eastAsiaTheme="minorEastAsia" w:hAnsiTheme="minorEastAsia" w:cs="宋体"/>
                <w:color w:val="000000"/>
                <w:kern w:val="0"/>
                <w:sz w:val="24"/>
              </w:rPr>
            </w:pPr>
            <w:r w:rsidRPr="00861668">
              <w:rPr>
                <w:rFonts w:asciiTheme="minorEastAsia" w:eastAsiaTheme="minorEastAsia" w:hAnsiTheme="minorEastAsia" w:cs="宋体"/>
                <w:color w:val="000000"/>
                <w:kern w:val="0"/>
                <w:sz w:val="24"/>
              </w:rPr>
              <w:t>11</w:t>
            </w:r>
          </w:p>
        </w:tc>
        <w:tc>
          <w:tcPr>
            <w:tcW w:w="1186" w:type="dxa"/>
            <w:shd w:val="clear" w:color="auto" w:fill="auto"/>
            <w:vAlign w:val="center"/>
            <w:hideMark/>
          </w:tcPr>
          <w:p w:rsidR="00BF4DDC" w:rsidRPr="00861668" w:rsidRDefault="00BF4DDC" w:rsidP="00861668">
            <w:pPr>
              <w:widowControl/>
              <w:spacing w:line="360" w:lineRule="auto"/>
              <w:rPr>
                <w:rFonts w:asciiTheme="minorEastAsia" w:eastAsiaTheme="minorEastAsia" w:hAnsiTheme="minorEastAsia" w:cs="宋体"/>
                <w:color w:val="000000"/>
                <w:kern w:val="0"/>
                <w:sz w:val="24"/>
              </w:rPr>
            </w:pPr>
            <w:r w:rsidRPr="00861668">
              <w:rPr>
                <w:rFonts w:asciiTheme="minorEastAsia" w:eastAsiaTheme="minorEastAsia" w:hAnsiTheme="minorEastAsia" w:cs="宋体" w:hint="eastAsia"/>
                <w:color w:val="000000"/>
                <w:kern w:val="0"/>
                <w:sz w:val="24"/>
              </w:rPr>
              <w:t>天弘月月宝</w:t>
            </w:r>
            <w:r w:rsidRPr="00861668">
              <w:rPr>
                <w:rFonts w:asciiTheme="minorEastAsia" w:eastAsiaTheme="minorEastAsia" w:hAnsiTheme="minorEastAsia" w:cs="宋体"/>
                <w:color w:val="000000"/>
                <w:kern w:val="0"/>
                <w:sz w:val="24"/>
              </w:rPr>
              <w:t>30天持有期债券型证券投资基金</w:t>
            </w:r>
          </w:p>
        </w:tc>
        <w:tc>
          <w:tcPr>
            <w:tcW w:w="6095" w:type="dxa"/>
            <w:shd w:val="clear" w:color="auto" w:fill="auto"/>
            <w:vAlign w:val="center"/>
            <w:hideMark/>
          </w:tcPr>
          <w:p w:rsidR="00BA255B"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原</w:t>
            </w:r>
            <w:r w:rsidR="00BA255B" w:rsidRPr="00BA255B">
              <w:rPr>
                <w:rFonts w:asciiTheme="minorEastAsia" w:eastAsiaTheme="minorEastAsia" w:hAnsiTheme="minorEastAsia" w:cs="宋体" w:hint="eastAsia"/>
                <w:kern w:val="0"/>
                <w:sz w:val="24"/>
              </w:rPr>
              <w:t>业绩比较</w:t>
            </w:r>
            <w:r w:rsidRPr="00861668">
              <w:rPr>
                <w:rFonts w:asciiTheme="minorEastAsia" w:eastAsiaTheme="minorEastAsia" w:hAnsiTheme="minorEastAsia" w:cs="宋体" w:hint="eastAsia"/>
                <w:kern w:val="0"/>
                <w:sz w:val="24"/>
              </w:rPr>
              <w:t>基准：中债综合全价指数收益率×</w:t>
            </w:r>
            <w:r w:rsidRPr="00861668">
              <w:rPr>
                <w:rFonts w:asciiTheme="minorEastAsia" w:eastAsiaTheme="minorEastAsia" w:hAnsiTheme="minorEastAsia" w:cs="宋体"/>
                <w:kern w:val="0"/>
                <w:sz w:val="24"/>
              </w:rPr>
              <w:t>80%+中国人民银行公告的金融机构人民币七天通知存款基准利率(税后）×20%</w:t>
            </w:r>
          </w:p>
          <w:p w:rsidR="00BA255B"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调整后的</w:t>
            </w:r>
            <w:r w:rsidR="00BA255B" w:rsidRPr="00BA255B">
              <w:rPr>
                <w:rFonts w:asciiTheme="minorEastAsia" w:eastAsiaTheme="minorEastAsia" w:hAnsiTheme="minorEastAsia" w:cs="宋体" w:hint="eastAsia"/>
                <w:kern w:val="0"/>
                <w:sz w:val="24"/>
              </w:rPr>
              <w:t>业绩比较</w:t>
            </w:r>
            <w:r w:rsidRPr="00861668">
              <w:rPr>
                <w:rFonts w:asciiTheme="minorEastAsia" w:eastAsiaTheme="minorEastAsia" w:hAnsiTheme="minorEastAsia" w:cs="宋体" w:hint="eastAsia"/>
                <w:kern w:val="0"/>
                <w:sz w:val="24"/>
              </w:rPr>
              <w:t>基准：中债</w:t>
            </w:r>
            <w:r w:rsidRPr="00861668">
              <w:rPr>
                <w:rFonts w:asciiTheme="minorEastAsia" w:eastAsiaTheme="minorEastAsia" w:hAnsiTheme="minorEastAsia" w:cs="宋体"/>
                <w:kern w:val="0"/>
                <w:sz w:val="24"/>
              </w:rPr>
              <w:t>-综合全价（1年以下）指数收益率*95%+活期存款基准利率*5%</w:t>
            </w:r>
          </w:p>
          <w:p w:rsidR="00BA255B" w:rsidRDefault="00753E17" w:rsidP="00861668">
            <w:pPr>
              <w:widowControl/>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差异：</w:t>
            </w:r>
            <w:r w:rsidR="00BF4DDC" w:rsidRPr="00861668">
              <w:rPr>
                <w:rFonts w:asciiTheme="minorEastAsia" w:eastAsiaTheme="minorEastAsia" w:hAnsiTheme="minorEastAsia" w:cs="宋体" w:hint="eastAsia"/>
                <w:kern w:val="0"/>
                <w:sz w:val="24"/>
              </w:rPr>
              <w:t>债券资产基准要素从中债综合全价指数调整为中债</w:t>
            </w:r>
            <w:r w:rsidR="00BF4DDC" w:rsidRPr="00861668">
              <w:rPr>
                <w:rFonts w:asciiTheme="minorEastAsia" w:eastAsiaTheme="minorEastAsia" w:hAnsiTheme="minorEastAsia" w:cs="宋体"/>
                <w:kern w:val="0"/>
                <w:sz w:val="24"/>
              </w:rPr>
              <w:t>-综合全价（1年以下）指数，债券资产基准要素权重从80%上调至95%；存款利率从中国人民银行公告的金融机构人民币七天通知存款基准利率（税后）调整为活期存款基准利率，存款比例从20%下调至5%。</w:t>
            </w:r>
          </w:p>
          <w:p w:rsidR="001840B0" w:rsidRDefault="00C724AC" w:rsidP="00861668">
            <w:pPr>
              <w:widowControl/>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原因：根据本基金</w:t>
            </w:r>
            <w:r w:rsidR="008A7453">
              <w:rPr>
                <w:rFonts w:asciiTheme="minorEastAsia" w:eastAsiaTheme="minorEastAsia" w:hAnsiTheme="minorEastAsia" w:cs="宋体" w:hint="eastAsia"/>
                <w:kern w:val="0"/>
                <w:sz w:val="24"/>
              </w:rPr>
              <w:t>成立以来</w:t>
            </w:r>
            <w:r>
              <w:rPr>
                <w:rFonts w:asciiTheme="minorEastAsia" w:eastAsiaTheme="minorEastAsia" w:hAnsiTheme="minorEastAsia" w:cs="宋体" w:hint="eastAsia"/>
                <w:kern w:val="0"/>
                <w:sz w:val="24"/>
              </w:rPr>
              <w:t>债券的仓位和久期情况，</w:t>
            </w:r>
            <w:r w:rsidR="00BF4DDC" w:rsidRPr="00861668">
              <w:rPr>
                <w:rFonts w:asciiTheme="minorEastAsia" w:eastAsiaTheme="minorEastAsia" w:hAnsiTheme="minorEastAsia" w:cs="宋体" w:hint="eastAsia"/>
                <w:kern w:val="0"/>
                <w:sz w:val="24"/>
              </w:rPr>
              <w:t>调整</w:t>
            </w:r>
            <w:r>
              <w:rPr>
                <w:rFonts w:asciiTheme="minorEastAsia" w:eastAsiaTheme="minorEastAsia" w:hAnsiTheme="minorEastAsia" w:cs="宋体" w:hint="eastAsia"/>
                <w:kern w:val="0"/>
                <w:sz w:val="24"/>
              </w:rPr>
              <w:t>后</w:t>
            </w:r>
            <w:r w:rsidR="00BF4DDC" w:rsidRPr="00861668">
              <w:rPr>
                <w:rFonts w:asciiTheme="minorEastAsia" w:eastAsiaTheme="minorEastAsia" w:hAnsiTheme="minorEastAsia" w:cs="宋体" w:hint="eastAsia"/>
                <w:kern w:val="0"/>
                <w:sz w:val="24"/>
              </w:rPr>
              <w:t>基准中的债券指数聚焦</w:t>
            </w:r>
            <w:r w:rsidR="00BF4DDC" w:rsidRPr="00861668">
              <w:rPr>
                <w:rFonts w:asciiTheme="minorEastAsia" w:eastAsiaTheme="minorEastAsia" w:hAnsiTheme="minorEastAsia" w:cs="宋体"/>
                <w:kern w:val="0"/>
                <w:sz w:val="24"/>
              </w:rPr>
              <w:t>1年以内债券，较原债券指数更能准确反映基金实际投资组合的收益来源。同时，调整</w:t>
            </w:r>
            <w:r>
              <w:rPr>
                <w:rFonts w:asciiTheme="minorEastAsia" w:eastAsiaTheme="minorEastAsia" w:hAnsiTheme="minorEastAsia" w:cs="宋体" w:hint="eastAsia"/>
                <w:kern w:val="0"/>
                <w:sz w:val="24"/>
              </w:rPr>
              <w:t>后</w:t>
            </w:r>
            <w:r w:rsidR="00BF4DDC" w:rsidRPr="00861668">
              <w:rPr>
                <w:rFonts w:asciiTheme="minorEastAsia" w:eastAsiaTheme="minorEastAsia" w:hAnsiTheme="minorEastAsia" w:cs="宋体" w:hint="eastAsia"/>
                <w:kern w:val="0"/>
                <w:sz w:val="24"/>
              </w:rPr>
              <w:t>基准的风险收益特征和本基金的实际业绩更加符合，更加贴合基金实际投资操作。</w:t>
            </w:r>
          </w:p>
          <w:p w:rsidR="00BF4DDC" w:rsidRPr="00861668"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影响：本次业绩比较基准调整的目的是提高基金业绩表现与业绩比较基准的可比性，使基准能够更好地反映基金的风险收益特征。该调整不会对产品投资运作、持有人利益产生实质性不利影响。</w:t>
            </w:r>
          </w:p>
        </w:tc>
      </w:tr>
      <w:tr w:rsidR="00485FBA" w:rsidRPr="00E31CC1" w:rsidTr="00861668">
        <w:trPr>
          <w:trHeight w:val="3315"/>
        </w:trPr>
        <w:tc>
          <w:tcPr>
            <w:tcW w:w="936" w:type="dxa"/>
            <w:shd w:val="clear" w:color="auto" w:fill="auto"/>
            <w:vAlign w:val="center"/>
            <w:hideMark/>
          </w:tcPr>
          <w:p w:rsidR="00BF4DDC" w:rsidRPr="00861668" w:rsidRDefault="00BF4DDC" w:rsidP="00861668">
            <w:pPr>
              <w:widowControl/>
              <w:spacing w:line="360" w:lineRule="auto"/>
              <w:ind w:firstLineChars="200" w:firstLine="480"/>
              <w:rPr>
                <w:rFonts w:asciiTheme="minorEastAsia" w:eastAsiaTheme="minorEastAsia" w:hAnsiTheme="minorEastAsia" w:cs="宋体"/>
                <w:color w:val="000000"/>
                <w:kern w:val="0"/>
                <w:sz w:val="24"/>
              </w:rPr>
            </w:pPr>
            <w:r w:rsidRPr="00861668">
              <w:rPr>
                <w:rFonts w:asciiTheme="minorEastAsia" w:eastAsiaTheme="minorEastAsia" w:hAnsiTheme="minorEastAsia" w:cs="宋体"/>
                <w:color w:val="000000"/>
                <w:kern w:val="0"/>
                <w:sz w:val="24"/>
              </w:rPr>
              <w:t>12</w:t>
            </w:r>
          </w:p>
        </w:tc>
        <w:tc>
          <w:tcPr>
            <w:tcW w:w="1186" w:type="dxa"/>
            <w:shd w:val="clear" w:color="auto" w:fill="auto"/>
            <w:vAlign w:val="center"/>
            <w:hideMark/>
          </w:tcPr>
          <w:p w:rsidR="00BF4DDC" w:rsidRPr="00861668" w:rsidRDefault="00BF4DDC" w:rsidP="00861668">
            <w:pPr>
              <w:widowControl/>
              <w:spacing w:line="360" w:lineRule="auto"/>
              <w:rPr>
                <w:rFonts w:asciiTheme="minorEastAsia" w:eastAsiaTheme="minorEastAsia" w:hAnsiTheme="minorEastAsia" w:cs="宋体"/>
                <w:color w:val="000000"/>
                <w:kern w:val="0"/>
                <w:sz w:val="24"/>
              </w:rPr>
            </w:pPr>
            <w:r w:rsidRPr="00861668">
              <w:rPr>
                <w:rFonts w:asciiTheme="minorEastAsia" w:eastAsiaTheme="minorEastAsia" w:hAnsiTheme="minorEastAsia" w:cs="宋体" w:hint="eastAsia"/>
                <w:color w:val="000000"/>
                <w:kern w:val="0"/>
                <w:sz w:val="24"/>
              </w:rPr>
              <w:t>天弘臻享一年定期开放债券型发起式证券投资基金</w:t>
            </w:r>
          </w:p>
        </w:tc>
        <w:tc>
          <w:tcPr>
            <w:tcW w:w="6095" w:type="dxa"/>
            <w:shd w:val="clear" w:color="auto" w:fill="auto"/>
            <w:vAlign w:val="center"/>
            <w:hideMark/>
          </w:tcPr>
          <w:p w:rsidR="00416EDC"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原</w:t>
            </w:r>
            <w:r w:rsidR="00416EDC" w:rsidRPr="00416EDC">
              <w:rPr>
                <w:rFonts w:asciiTheme="minorEastAsia" w:eastAsiaTheme="minorEastAsia" w:hAnsiTheme="minorEastAsia" w:cs="宋体" w:hint="eastAsia"/>
                <w:kern w:val="0"/>
                <w:sz w:val="24"/>
              </w:rPr>
              <w:t>业绩比较</w:t>
            </w:r>
            <w:r w:rsidRPr="00861668">
              <w:rPr>
                <w:rFonts w:asciiTheme="minorEastAsia" w:eastAsiaTheme="minorEastAsia" w:hAnsiTheme="minorEastAsia" w:cs="宋体" w:hint="eastAsia"/>
                <w:kern w:val="0"/>
                <w:sz w:val="24"/>
              </w:rPr>
              <w:t>基准：中债综合全价（总值）指数收益率</w:t>
            </w:r>
          </w:p>
          <w:p w:rsidR="00416EDC"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调整后的</w:t>
            </w:r>
            <w:r w:rsidR="00416EDC" w:rsidRPr="00416EDC">
              <w:rPr>
                <w:rFonts w:asciiTheme="minorEastAsia" w:eastAsiaTheme="minorEastAsia" w:hAnsiTheme="minorEastAsia" w:cs="宋体" w:hint="eastAsia"/>
                <w:kern w:val="0"/>
                <w:sz w:val="24"/>
              </w:rPr>
              <w:t>业绩比较</w:t>
            </w:r>
            <w:r w:rsidRPr="00861668">
              <w:rPr>
                <w:rFonts w:asciiTheme="minorEastAsia" w:eastAsiaTheme="minorEastAsia" w:hAnsiTheme="minorEastAsia" w:cs="宋体" w:hint="eastAsia"/>
                <w:kern w:val="0"/>
                <w:sz w:val="24"/>
              </w:rPr>
              <w:t>基准：中债</w:t>
            </w:r>
            <w:r w:rsidRPr="00861668">
              <w:rPr>
                <w:rFonts w:asciiTheme="minorEastAsia" w:eastAsiaTheme="minorEastAsia" w:hAnsiTheme="minorEastAsia" w:cs="宋体"/>
                <w:kern w:val="0"/>
                <w:sz w:val="24"/>
              </w:rPr>
              <w:t>-信用</w:t>
            </w:r>
            <w:r w:rsidRPr="00861668">
              <w:rPr>
                <w:rFonts w:asciiTheme="minorEastAsia" w:eastAsiaTheme="minorEastAsia" w:hAnsiTheme="minorEastAsia" w:cs="宋体" w:hint="eastAsia"/>
                <w:kern w:val="0"/>
                <w:sz w:val="24"/>
              </w:rPr>
              <w:t>债总全价（总值）指数收益率</w:t>
            </w:r>
          </w:p>
          <w:p w:rsidR="00416EDC" w:rsidRDefault="00753E17" w:rsidP="00861668">
            <w:pPr>
              <w:widowControl/>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差异：</w:t>
            </w:r>
            <w:r w:rsidR="00BF4DDC" w:rsidRPr="00861668">
              <w:rPr>
                <w:rFonts w:asciiTheme="minorEastAsia" w:eastAsiaTheme="minorEastAsia" w:hAnsiTheme="minorEastAsia" w:cs="宋体" w:hint="eastAsia"/>
                <w:kern w:val="0"/>
                <w:sz w:val="24"/>
              </w:rPr>
              <w:t>债券资产基准要素从中债综合全价（总值）指数调整为中债</w:t>
            </w:r>
            <w:r w:rsidR="00BF4DDC" w:rsidRPr="00861668">
              <w:rPr>
                <w:rFonts w:asciiTheme="minorEastAsia" w:eastAsiaTheme="minorEastAsia" w:hAnsiTheme="minorEastAsia" w:cs="宋体"/>
                <w:kern w:val="0"/>
                <w:sz w:val="24"/>
              </w:rPr>
              <w:t>-信用</w:t>
            </w:r>
            <w:r w:rsidR="00BF4DDC" w:rsidRPr="00861668">
              <w:rPr>
                <w:rFonts w:asciiTheme="minorEastAsia" w:eastAsiaTheme="minorEastAsia" w:hAnsiTheme="minorEastAsia" w:cs="宋体" w:hint="eastAsia"/>
                <w:kern w:val="0"/>
                <w:sz w:val="24"/>
              </w:rPr>
              <w:t>债总全价（总值）指数，债券资产基准要素的权重无变化。</w:t>
            </w:r>
          </w:p>
          <w:p w:rsidR="00CF00AC"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原因：根据本基金近两年持仓债券的久期和券</w:t>
            </w:r>
            <w:r w:rsidR="0057521D">
              <w:rPr>
                <w:rFonts w:asciiTheme="minorEastAsia" w:eastAsiaTheme="minorEastAsia" w:hAnsiTheme="minorEastAsia" w:cs="宋体" w:hint="eastAsia"/>
                <w:kern w:val="0"/>
                <w:sz w:val="24"/>
              </w:rPr>
              <w:t>种情况，</w:t>
            </w:r>
            <w:r w:rsidRPr="00861668">
              <w:rPr>
                <w:rFonts w:asciiTheme="minorEastAsia" w:eastAsiaTheme="minorEastAsia" w:hAnsiTheme="minorEastAsia" w:cs="宋体" w:hint="eastAsia"/>
                <w:kern w:val="0"/>
                <w:sz w:val="24"/>
              </w:rPr>
              <w:t>调整</w:t>
            </w:r>
            <w:r w:rsidR="0057521D">
              <w:rPr>
                <w:rFonts w:asciiTheme="minorEastAsia" w:eastAsiaTheme="minorEastAsia" w:hAnsiTheme="minorEastAsia" w:cs="宋体" w:hint="eastAsia"/>
                <w:kern w:val="0"/>
                <w:sz w:val="24"/>
              </w:rPr>
              <w:t>后</w:t>
            </w:r>
            <w:r w:rsidRPr="00861668">
              <w:rPr>
                <w:rFonts w:asciiTheme="minorEastAsia" w:eastAsiaTheme="minorEastAsia" w:hAnsiTheme="minorEastAsia" w:cs="宋体" w:hint="eastAsia"/>
                <w:kern w:val="0"/>
                <w:sz w:val="24"/>
              </w:rPr>
              <w:t>基准为中债</w:t>
            </w:r>
            <w:r w:rsidRPr="00861668">
              <w:rPr>
                <w:rFonts w:asciiTheme="minorEastAsia" w:eastAsiaTheme="minorEastAsia" w:hAnsiTheme="minorEastAsia" w:cs="宋体"/>
                <w:kern w:val="0"/>
                <w:sz w:val="24"/>
              </w:rPr>
              <w:t>-信用</w:t>
            </w:r>
            <w:r w:rsidRPr="00861668">
              <w:rPr>
                <w:rFonts w:asciiTheme="minorEastAsia" w:eastAsiaTheme="minorEastAsia" w:hAnsiTheme="minorEastAsia" w:cs="宋体" w:hint="eastAsia"/>
                <w:kern w:val="0"/>
                <w:sz w:val="24"/>
              </w:rPr>
              <w:t>债总全价（总值）指数，该指数成份券全部为信用债，与基金投资策略契合度更高。从投资策略来看，本基金始终贯</w:t>
            </w:r>
            <w:r w:rsidR="0057521D">
              <w:rPr>
                <w:rFonts w:asciiTheme="minorEastAsia" w:eastAsiaTheme="minorEastAsia" w:hAnsiTheme="minorEastAsia" w:cs="宋体" w:hint="eastAsia"/>
                <w:kern w:val="0"/>
                <w:sz w:val="24"/>
              </w:rPr>
              <w:t>彻以信用债为主要配置、利率债为辅的投资思路，基金组合久期中枢与</w:t>
            </w:r>
            <w:r w:rsidRPr="00861668">
              <w:rPr>
                <w:rFonts w:asciiTheme="minorEastAsia" w:eastAsiaTheme="minorEastAsia" w:hAnsiTheme="minorEastAsia" w:cs="宋体" w:hint="eastAsia"/>
                <w:kern w:val="0"/>
                <w:sz w:val="24"/>
              </w:rPr>
              <w:t>调整</w:t>
            </w:r>
            <w:r w:rsidR="0057521D">
              <w:rPr>
                <w:rFonts w:asciiTheme="minorEastAsia" w:eastAsiaTheme="minorEastAsia" w:hAnsiTheme="minorEastAsia" w:cs="宋体" w:hint="eastAsia"/>
                <w:kern w:val="0"/>
                <w:sz w:val="24"/>
              </w:rPr>
              <w:t>后</w:t>
            </w:r>
            <w:r w:rsidR="00E46B6F">
              <w:rPr>
                <w:rFonts w:asciiTheme="minorEastAsia" w:eastAsiaTheme="minorEastAsia" w:hAnsiTheme="minorEastAsia" w:cs="宋体" w:hint="eastAsia"/>
                <w:kern w:val="0"/>
                <w:sz w:val="24"/>
              </w:rPr>
              <w:t>基准的久期水平更为接近，资产配置结构也与</w:t>
            </w:r>
            <w:r w:rsidRPr="00861668">
              <w:rPr>
                <w:rFonts w:asciiTheme="minorEastAsia" w:eastAsiaTheme="minorEastAsia" w:hAnsiTheme="minorEastAsia" w:cs="宋体" w:hint="eastAsia"/>
                <w:kern w:val="0"/>
                <w:sz w:val="24"/>
              </w:rPr>
              <w:t>调整</w:t>
            </w:r>
            <w:r w:rsidR="00E46B6F">
              <w:rPr>
                <w:rFonts w:asciiTheme="minorEastAsia" w:eastAsiaTheme="minorEastAsia" w:hAnsiTheme="minorEastAsia" w:cs="宋体" w:hint="eastAsia"/>
                <w:kern w:val="0"/>
                <w:sz w:val="24"/>
              </w:rPr>
              <w:t>后</w:t>
            </w:r>
            <w:r w:rsidRPr="00861668">
              <w:rPr>
                <w:rFonts w:asciiTheme="minorEastAsia" w:eastAsiaTheme="minorEastAsia" w:hAnsiTheme="minorEastAsia" w:cs="宋体" w:hint="eastAsia"/>
                <w:kern w:val="0"/>
                <w:sz w:val="24"/>
              </w:rPr>
              <w:t>基准的成份券特征更为匹配。</w:t>
            </w:r>
          </w:p>
          <w:p w:rsidR="00BF4DDC" w:rsidRPr="00861668"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影响：本次业绩比较基准调整的目的是提高基金业绩表现与业绩比较基准的可比性，使基准能够更好地反映基金的风险收益特征。该调整不会对产品投资运作、持有人利益产生实质性不利影响。</w:t>
            </w:r>
          </w:p>
        </w:tc>
      </w:tr>
      <w:tr w:rsidR="00485FBA" w:rsidRPr="00E31CC1" w:rsidTr="00861668">
        <w:trPr>
          <w:trHeight w:val="2919"/>
        </w:trPr>
        <w:tc>
          <w:tcPr>
            <w:tcW w:w="936" w:type="dxa"/>
            <w:shd w:val="clear" w:color="auto" w:fill="auto"/>
            <w:vAlign w:val="center"/>
            <w:hideMark/>
          </w:tcPr>
          <w:p w:rsidR="00BF4DDC" w:rsidRPr="00861668" w:rsidRDefault="00BF4DDC" w:rsidP="00861668">
            <w:pPr>
              <w:widowControl/>
              <w:spacing w:line="360" w:lineRule="auto"/>
              <w:ind w:firstLineChars="200" w:firstLine="480"/>
              <w:rPr>
                <w:rFonts w:asciiTheme="minorEastAsia" w:eastAsiaTheme="minorEastAsia" w:hAnsiTheme="minorEastAsia" w:cs="宋体"/>
                <w:color w:val="000000"/>
                <w:kern w:val="0"/>
                <w:sz w:val="24"/>
              </w:rPr>
            </w:pPr>
            <w:r w:rsidRPr="00861668">
              <w:rPr>
                <w:rFonts w:asciiTheme="minorEastAsia" w:eastAsiaTheme="minorEastAsia" w:hAnsiTheme="minorEastAsia" w:cs="宋体"/>
                <w:color w:val="000000"/>
                <w:kern w:val="0"/>
                <w:sz w:val="24"/>
              </w:rPr>
              <w:t>13</w:t>
            </w:r>
          </w:p>
        </w:tc>
        <w:tc>
          <w:tcPr>
            <w:tcW w:w="1186" w:type="dxa"/>
            <w:shd w:val="clear" w:color="auto" w:fill="auto"/>
            <w:vAlign w:val="center"/>
            <w:hideMark/>
          </w:tcPr>
          <w:p w:rsidR="00BF4DDC" w:rsidRPr="00861668" w:rsidRDefault="00BF4DDC" w:rsidP="00861668">
            <w:pPr>
              <w:widowControl/>
              <w:spacing w:line="360" w:lineRule="auto"/>
              <w:rPr>
                <w:rFonts w:asciiTheme="minorEastAsia" w:eastAsiaTheme="minorEastAsia" w:hAnsiTheme="minorEastAsia" w:cs="宋体"/>
                <w:color w:val="000000"/>
                <w:kern w:val="0"/>
                <w:sz w:val="24"/>
              </w:rPr>
            </w:pPr>
            <w:r w:rsidRPr="00861668">
              <w:rPr>
                <w:rFonts w:asciiTheme="minorEastAsia" w:eastAsiaTheme="minorEastAsia" w:hAnsiTheme="minorEastAsia" w:cs="宋体" w:hint="eastAsia"/>
                <w:color w:val="000000"/>
                <w:kern w:val="0"/>
                <w:sz w:val="24"/>
              </w:rPr>
              <w:t>天弘优选债券型证券投资基金</w:t>
            </w:r>
          </w:p>
        </w:tc>
        <w:tc>
          <w:tcPr>
            <w:tcW w:w="6095" w:type="dxa"/>
            <w:shd w:val="clear" w:color="auto" w:fill="auto"/>
            <w:vAlign w:val="center"/>
            <w:hideMark/>
          </w:tcPr>
          <w:p w:rsidR="00B43B31"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原</w:t>
            </w:r>
            <w:r w:rsidR="00684CE6" w:rsidRPr="00684CE6">
              <w:rPr>
                <w:rFonts w:asciiTheme="minorEastAsia" w:eastAsiaTheme="minorEastAsia" w:hAnsiTheme="minorEastAsia" w:cs="宋体" w:hint="eastAsia"/>
                <w:kern w:val="0"/>
                <w:sz w:val="24"/>
              </w:rPr>
              <w:t>业绩比较</w:t>
            </w:r>
            <w:r w:rsidRPr="00861668">
              <w:rPr>
                <w:rFonts w:asciiTheme="minorEastAsia" w:eastAsiaTheme="minorEastAsia" w:hAnsiTheme="minorEastAsia" w:cs="宋体" w:hint="eastAsia"/>
                <w:kern w:val="0"/>
                <w:sz w:val="24"/>
              </w:rPr>
              <w:t>基准：中债</w:t>
            </w:r>
            <w:r w:rsidRPr="00861668">
              <w:rPr>
                <w:rFonts w:asciiTheme="minorEastAsia" w:eastAsiaTheme="minorEastAsia" w:hAnsiTheme="minorEastAsia" w:cs="宋体"/>
                <w:kern w:val="0"/>
                <w:sz w:val="24"/>
              </w:rPr>
              <w:t>-金融债券总全价(总值)指数收益率×80%+银行人民币活期存款利率（税后）×20%</w:t>
            </w:r>
          </w:p>
          <w:p w:rsidR="00B43B31"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调整后的</w:t>
            </w:r>
            <w:r w:rsidR="00684CE6" w:rsidRPr="00684CE6">
              <w:rPr>
                <w:rFonts w:asciiTheme="minorEastAsia" w:eastAsiaTheme="minorEastAsia" w:hAnsiTheme="minorEastAsia" w:cs="宋体" w:hint="eastAsia"/>
                <w:kern w:val="0"/>
                <w:sz w:val="24"/>
              </w:rPr>
              <w:t>业绩比较</w:t>
            </w:r>
            <w:r w:rsidRPr="00861668">
              <w:rPr>
                <w:rFonts w:asciiTheme="minorEastAsia" w:eastAsiaTheme="minorEastAsia" w:hAnsiTheme="minorEastAsia" w:cs="宋体" w:hint="eastAsia"/>
                <w:kern w:val="0"/>
                <w:sz w:val="24"/>
              </w:rPr>
              <w:t>基准：中债</w:t>
            </w:r>
            <w:r w:rsidRPr="00861668">
              <w:rPr>
                <w:rFonts w:asciiTheme="minorEastAsia" w:eastAsiaTheme="minorEastAsia" w:hAnsiTheme="minorEastAsia" w:cs="宋体"/>
                <w:kern w:val="0"/>
                <w:sz w:val="24"/>
              </w:rPr>
              <w:t>-金融债券总全价（总值）指数收益率*95%+活期存款基准利率*5%</w:t>
            </w:r>
          </w:p>
          <w:p w:rsidR="00B43B31" w:rsidRDefault="00753E17" w:rsidP="00861668">
            <w:pPr>
              <w:widowControl/>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差异：</w:t>
            </w:r>
            <w:r w:rsidR="00BF4DDC" w:rsidRPr="00861668">
              <w:rPr>
                <w:rFonts w:asciiTheme="minorEastAsia" w:eastAsiaTheme="minorEastAsia" w:hAnsiTheme="minorEastAsia" w:cs="宋体" w:hint="eastAsia"/>
                <w:kern w:val="0"/>
                <w:sz w:val="24"/>
              </w:rPr>
              <w:t>债券资产基准要素无变化，债券资产基准要素的权重从</w:t>
            </w:r>
            <w:r w:rsidR="00BF4DDC" w:rsidRPr="00861668">
              <w:rPr>
                <w:rFonts w:asciiTheme="minorEastAsia" w:eastAsiaTheme="minorEastAsia" w:hAnsiTheme="minorEastAsia" w:cs="宋体"/>
                <w:kern w:val="0"/>
                <w:sz w:val="24"/>
              </w:rPr>
              <w:t>80%上调至95%，活期存款比例从20%下调至5%。</w:t>
            </w:r>
          </w:p>
          <w:p w:rsidR="00B43B31"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原因：根据本基金近两年债券的仓位情况，本基金调整后的权重更符合基金过往实际投资运作情况和未来的投资策略。</w:t>
            </w:r>
          </w:p>
          <w:p w:rsidR="00BF4DDC" w:rsidRPr="00861668"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影响：本次业绩比较基准调整的目的是提高基金业绩表现与业绩比较基准的可比性，使基准能够更好地反映基金的风险收益特征。该调整不会对产品投资运作、持有人利益产生实质性不利影响。</w:t>
            </w:r>
          </w:p>
        </w:tc>
      </w:tr>
      <w:tr w:rsidR="00485FBA" w:rsidRPr="00E31CC1" w:rsidTr="00861668">
        <w:trPr>
          <w:trHeight w:val="841"/>
        </w:trPr>
        <w:tc>
          <w:tcPr>
            <w:tcW w:w="936" w:type="dxa"/>
            <w:shd w:val="clear" w:color="auto" w:fill="auto"/>
            <w:vAlign w:val="center"/>
            <w:hideMark/>
          </w:tcPr>
          <w:p w:rsidR="00BF4DDC" w:rsidRPr="00861668" w:rsidRDefault="00BF4DDC" w:rsidP="00861668">
            <w:pPr>
              <w:widowControl/>
              <w:spacing w:line="360" w:lineRule="auto"/>
              <w:ind w:firstLineChars="200" w:firstLine="480"/>
              <w:rPr>
                <w:rFonts w:asciiTheme="minorEastAsia" w:eastAsiaTheme="minorEastAsia" w:hAnsiTheme="minorEastAsia" w:cs="宋体"/>
                <w:color w:val="000000"/>
                <w:kern w:val="0"/>
                <w:sz w:val="24"/>
              </w:rPr>
            </w:pPr>
            <w:r w:rsidRPr="00861668">
              <w:rPr>
                <w:rFonts w:asciiTheme="minorEastAsia" w:eastAsiaTheme="minorEastAsia" w:hAnsiTheme="minorEastAsia" w:cs="宋体"/>
                <w:color w:val="000000"/>
                <w:kern w:val="0"/>
                <w:sz w:val="24"/>
              </w:rPr>
              <w:t>14</w:t>
            </w:r>
          </w:p>
        </w:tc>
        <w:tc>
          <w:tcPr>
            <w:tcW w:w="1186" w:type="dxa"/>
            <w:shd w:val="clear" w:color="auto" w:fill="auto"/>
            <w:vAlign w:val="center"/>
            <w:hideMark/>
          </w:tcPr>
          <w:p w:rsidR="00BF4DDC" w:rsidRPr="00861668" w:rsidRDefault="00BF4DDC" w:rsidP="00861668">
            <w:pPr>
              <w:widowControl/>
              <w:spacing w:line="360" w:lineRule="auto"/>
              <w:rPr>
                <w:rFonts w:asciiTheme="minorEastAsia" w:eastAsiaTheme="minorEastAsia" w:hAnsiTheme="minorEastAsia" w:cs="宋体"/>
                <w:color w:val="000000"/>
                <w:kern w:val="0"/>
                <w:sz w:val="24"/>
              </w:rPr>
            </w:pPr>
            <w:r w:rsidRPr="00861668">
              <w:rPr>
                <w:rFonts w:asciiTheme="minorEastAsia" w:eastAsiaTheme="minorEastAsia" w:hAnsiTheme="minorEastAsia" w:cs="宋体" w:hint="eastAsia"/>
                <w:color w:val="000000"/>
                <w:kern w:val="0"/>
                <w:sz w:val="24"/>
              </w:rPr>
              <w:t>天弘兴享一年定期开放债券型发起式证券投资基金</w:t>
            </w:r>
          </w:p>
        </w:tc>
        <w:tc>
          <w:tcPr>
            <w:tcW w:w="6095" w:type="dxa"/>
            <w:shd w:val="clear" w:color="auto" w:fill="auto"/>
            <w:vAlign w:val="center"/>
            <w:hideMark/>
          </w:tcPr>
          <w:p w:rsidR="007756BD"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原</w:t>
            </w:r>
            <w:r w:rsidR="00684CE6" w:rsidRPr="00684CE6">
              <w:rPr>
                <w:rFonts w:asciiTheme="minorEastAsia" w:eastAsiaTheme="minorEastAsia" w:hAnsiTheme="minorEastAsia" w:cs="宋体" w:hint="eastAsia"/>
                <w:kern w:val="0"/>
                <w:sz w:val="24"/>
              </w:rPr>
              <w:t>业绩比较</w:t>
            </w:r>
            <w:r w:rsidRPr="00861668">
              <w:rPr>
                <w:rFonts w:asciiTheme="minorEastAsia" w:eastAsiaTheme="minorEastAsia" w:hAnsiTheme="minorEastAsia" w:cs="宋体" w:hint="eastAsia"/>
                <w:kern w:val="0"/>
                <w:sz w:val="24"/>
              </w:rPr>
              <w:t>基准：中债综合全价（总值）指数收益率</w:t>
            </w:r>
          </w:p>
          <w:p w:rsidR="00684CE6"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调整后的</w:t>
            </w:r>
            <w:r w:rsidR="00684CE6" w:rsidRPr="00684CE6">
              <w:rPr>
                <w:rFonts w:asciiTheme="minorEastAsia" w:eastAsiaTheme="minorEastAsia" w:hAnsiTheme="minorEastAsia" w:cs="宋体" w:hint="eastAsia"/>
                <w:kern w:val="0"/>
                <w:sz w:val="24"/>
              </w:rPr>
              <w:t>业绩比较</w:t>
            </w:r>
            <w:r w:rsidRPr="00861668">
              <w:rPr>
                <w:rFonts w:asciiTheme="minorEastAsia" w:eastAsiaTheme="minorEastAsia" w:hAnsiTheme="minorEastAsia" w:cs="宋体" w:hint="eastAsia"/>
                <w:kern w:val="0"/>
                <w:sz w:val="24"/>
              </w:rPr>
              <w:t>基准：中债</w:t>
            </w:r>
            <w:r w:rsidRPr="00861668">
              <w:rPr>
                <w:rFonts w:asciiTheme="minorEastAsia" w:eastAsiaTheme="minorEastAsia" w:hAnsiTheme="minorEastAsia" w:cs="宋体"/>
                <w:kern w:val="0"/>
                <w:sz w:val="24"/>
              </w:rPr>
              <w:t>-信用</w:t>
            </w:r>
            <w:r w:rsidRPr="00861668">
              <w:rPr>
                <w:rFonts w:asciiTheme="minorEastAsia" w:eastAsiaTheme="minorEastAsia" w:hAnsiTheme="minorEastAsia" w:cs="宋体" w:hint="eastAsia"/>
                <w:kern w:val="0"/>
                <w:sz w:val="24"/>
              </w:rPr>
              <w:t>债总全价（总值）指数收益率</w:t>
            </w:r>
          </w:p>
          <w:p w:rsidR="007756BD" w:rsidRDefault="00753E17" w:rsidP="00861668">
            <w:pPr>
              <w:widowControl/>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差异：</w:t>
            </w:r>
            <w:r w:rsidR="00BF4DDC" w:rsidRPr="00861668">
              <w:rPr>
                <w:rFonts w:asciiTheme="minorEastAsia" w:eastAsiaTheme="minorEastAsia" w:hAnsiTheme="minorEastAsia" w:cs="宋体" w:hint="eastAsia"/>
                <w:kern w:val="0"/>
                <w:sz w:val="24"/>
              </w:rPr>
              <w:t>债券资产基准要素从中债综合全价（总值）指数调整为中债</w:t>
            </w:r>
            <w:r w:rsidR="00BF4DDC" w:rsidRPr="00861668">
              <w:rPr>
                <w:rFonts w:asciiTheme="minorEastAsia" w:eastAsiaTheme="minorEastAsia" w:hAnsiTheme="minorEastAsia" w:cs="宋体"/>
                <w:kern w:val="0"/>
                <w:sz w:val="24"/>
              </w:rPr>
              <w:t>-信用</w:t>
            </w:r>
            <w:r w:rsidR="00BF4DDC" w:rsidRPr="00861668">
              <w:rPr>
                <w:rFonts w:asciiTheme="minorEastAsia" w:eastAsiaTheme="minorEastAsia" w:hAnsiTheme="minorEastAsia" w:cs="宋体" w:hint="eastAsia"/>
                <w:kern w:val="0"/>
                <w:sz w:val="24"/>
              </w:rPr>
              <w:t>债总全价（总值）指数，债券资产基准要素的权重无变化。</w:t>
            </w:r>
          </w:p>
          <w:p w:rsidR="003D35DE" w:rsidRDefault="00E46B6F" w:rsidP="00861668">
            <w:pPr>
              <w:widowControl/>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原因：根据本基金近两年持仓债券的久期和券种情况，</w:t>
            </w:r>
            <w:r w:rsidR="00BF4DDC" w:rsidRPr="00861668">
              <w:rPr>
                <w:rFonts w:asciiTheme="minorEastAsia" w:eastAsiaTheme="minorEastAsia" w:hAnsiTheme="minorEastAsia" w:cs="宋体" w:hint="eastAsia"/>
                <w:kern w:val="0"/>
                <w:sz w:val="24"/>
              </w:rPr>
              <w:t>调整</w:t>
            </w:r>
            <w:r>
              <w:rPr>
                <w:rFonts w:asciiTheme="minorEastAsia" w:eastAsiaTheme="minorEastAsia" w:hAnsiTheme="minorEastAsia" w:cs="宋体" w:hint="eastAsia"/>
                <w:kern w:val="0"/>
                <w:sz w:val="24"/>
              </w:rPr>
              <w:t>后</w:t>
            </w:r>
            <w:r w:rsidR="00BF4DDC" w:rsidRPr="00861668">
              <w:rPr>
                <w:rFonts w:asciiTheme="minorEastAsia" w:eastAsiaTheme="minorEastAsia" w:hAnsiTheme="minorEastAsia" w:cs="宋体" w:hint="eastAsia"/>
                <w:kern w:val="0"/>
                <w:sz w:val="24"/>
              </w:rPr>
              <w:t>基准为中债</w:t>
            </w:r>
            <w:r w:rsidR="00BF4DDC" w:rsidRPr="00861668">
              <w:rPr>
                <w:rFonts w:asciiTheme="minorEastAsia" w:eastAsiaTheme="minorEastAsia" w:hAnsiTheme="minorEastAsia" w:cs="宋体"/>
                <w:kern w:val="0"/>
                <w:sz w:val="24"/>
              </w:rPr>
              <w:t>-信用</w:t>
            </w:r>
            <w:r w:rsidR="00BF4DDC" w:rsidRPr="00861668">
              <w:rPr>
                <w:rFonts w:asciiTheme="minorEastAsia" w:eastAsiaTheme="minorEastAsia" w:hAnsiTheme="minorEastAsia" w:cs="宋体" w:hint="eastAsia"/>
                <w:kern w:val="0"/>
                <w:sz w:val="24"/>
              </w:rPr>
              <w:t>债总全价（总值）指数，该指数成份券全部为信用债，与基金投资策略契合度更高。从投资策略来看，本基金始终贯</w:t>
            </w:r>
            <w:r>
              <w:rPr>
                <w:rFonts w:asciiTheme="minorEastAsia" w:eastAsiaTheme="minorEastAsia" w:hAnsiTheme="minorEastAsia" w:cs="宋体" w:hint="eastAsia"/>
                <w:kern w:val="0"/>
                <w:sz w:val="24"/>
              </w:rPr>
              <w:t>彻以信用债为主要配置、利率债为辅的投资思路，基金组合久期中枢与</w:t>
            </w:r>
            <w:r w:rsidR="00BF4DDC" w:rsidRPr="00861668">
              <w:rPr>
                <w:rFonts w:asciiTheme="minorEastAsia" w:eastAsiaTheme="minorEastAsia" w:hAnsiTheme="minorEastAsia" w:cs="宋体" w:hint="eastAsia"/>
                <w:kern w:val="0"/>
                <w:sz w:val="24"/>
              </w:rPr>
              <w:t>调整</w:t>
            </w:r>
            <w:r>
              <w:rPr>
                <w:rFonts w:asciiTheme="minorEastAsia" w:eastAsiaTheme="minorEastAsia" w:hAnsiTheme="minorEastAsia" w:cs="宋体" w:hint="eastAsia"/>
                <w:kern w:val="0"/>
                <w:sz w:val="24"/>
              </w:rPr>
              <w:t>后</w:t>
            </w:r>
            <w:r w:rsidR="0078067C">
              <w:rPr>
                <w:rFonts w:asciiTheme="minorEastAsia" w:eastAsiaTheme="minorEastAsia" w:hAnsiTheme="minorEastAsia" w:cs="宋体" w:hint="eastAsia"/>
                <w:kern w:val="0"/>
                <w:sz w:val="24"/>
              </w:rPr>
              <w:t>基准的久期水平更为接近，资产配置结构也与</w:t>
            </w:r>
            <w:r w:rsidR="00BF4DDC" w:rsidRPr="00861668">
              <w:rPr>
                <w:rFonts w:asciiTheme="minorEastAsia" w:eastAsiaTheme="minorEastAsia" w:hAnsiTheme="minorEastAsia" w:cs="宋体" w:hint="eastAsia"/>
                <w:kern w:val="0"/>
                <w:sz w:val="24"/>
              </w:rPr>
              <w:t>调整</w:t>
            </w:r>
            <w:r w:rsidR="0078067C">
              <w:rPr>
                <w:rFonts w:asciiTheme="minorEastAsia" w:eastAsiaTheme="minorEastAsia" w:hAnsiTheme="minorEastAsia" w:cs="宋体" w:hint="eastAsia"/>
                <w:kern w:val="0"/>
                <w:sz w:val="24"/>
              </w:rPr>
              <w:t>后</w:t>
            </w:r>
            <w:r w:rsidR="00BF4DDC" w:rsidRPr="00861668">
              <w:rPr>
                <w:rFonts w:asciiTheme="minorEastAsia" w:eastAsiaTheme="minorEastAsia" w:hAnsiTheme="minorEastAsia" w:cs="宋体" w:hint="eastAsia"/>
                <w:kern w:val="0"/>
                <w:sz w:val="24"/>
              </w:rPr>
              <w:t>基准的成份券特征更为匹配。</w:t>
            </w:r>
          </w:p>
          <w:p w:rsidR="00BF4DDC" w:rsidRPr="00861668"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影响：本次业绩比较基准调整的目的是提高基金业绩表现与业绩比较基准的可比性，使基准能够更好地反映基金的风险收益特征。该调整不会对产品投资运作、持有人利益产生实质性不利影响。</w:t>
            </w:r>
          </w:p>
        </w:tc>
      </w:tr>
      <w:tr w:rsidR="00485FBA" w:rsidRPr="00E31CC1" w:rsidTr="00861668">
        <w:trPr>
          <w:trHeight w:val="3951"/>
        </w:trPr>
        <w:tc>
          <w:tcPr>
            <w:tcW w:w="936" w:type="dxa"/>
            <w:shd w:val="clear" w:color="auto" w:fill="auto"/>
            <w:vAlign w:val="center"/>
            <w:hideMark/>
          </w:tcPr>
          <w:p w:rsidR="00BF4DDC" w:rsidRPr="00861668" w:rsidRDefault="00BF4DDC" w:rsidP="00861668">
            <w:pPr>
              <w:widowControl/>
              <w:spacing w:line="360" w:lineRule="auto"/>
              <w:ind w:firstLineChars="200" w:firstLine="480"/>
              <w:rPr>
                <w:rFonts w:asciiTheme="minorEastAsia" w:eastAsiaTheme="minorEastAsia" w:hAnsiTheme="minorEastAsia" w:cs="宋体"/>
                <w:color w:val="000000"/>
                <w:kern w:val="0"/>
                <w:sz w:val="24"/>
              </w:rPr>
            </w:pPr>
            <w:r w:rsidRPr="00861668">
              <w:rPr>
                <w:rFonts w:asciiTheme="minorEastAsia" w:eastAsiaTheme="minorEastAsia" w:hAnsiTheme="minorEastAsia" w:cs="宋体"/>
                <w:color w:val="000000"/>
                <w:kern w:val="0"/>
                <w:sz w:val="24"/>
              </w:rPr>
              <w:t>15</w:t>
            </w:r>
          </w:p>
        </w:tc>
        <w:tc>
          <w:tcPr>
            <w:tcW w:w="1186" w:type="dxa"/>
            <w:shd w:val="clear" w:color="auto" w:fill="auto"/>
            <w:vAlign w:val="center"/>
            <w:hideMark/>
          </w:tcPr>
          <w:p w:rsidR="00BF4DDC" w:rsidRPr="00861668" w:rsidRDefault="00BF4DDC" w:rsidP="00861668">
            <w:pPr>
              <w:widowControl/>
              <w:spacing w:line="360" w:lineRule="auto"/>
              <w:rPr>
                <w:rFonts w:asciiTheme="minorEastAsia" w:eastAsiaTheme="minorEastAsia" w:hAnsiTheme="minorEastAsia" w:cs="宋体"/>
                <w:color w:val="000000"/>
                <w:kern w:val="0"/>
                <w:sz w:val="24"/>
              </w:rPr>
            </w:pPr>
            <w:r w:rsidRPr="00861668">
              <w:rPr>
                <w:rFonts w:asciiTheme="minorEastAsia" w:eastAsiaTheme="minorEastAsia" w:hAnsiTheme="minorEastAsia" w:cs="宋体" w:hint="eastAsia"/>
                <w:color w:val="000000"/>
                <w:kern w:val="0"/>
                <w:sz w:val="24"/>
              </w:rPr>
              <w:t>天弘永裕稳健养老目标一年持有期混合型基金中基金（</w:t>
            </w:r>
            <w:r w:rsidRPr="00861668">
              <w:rPr>
                <w:rFonts w:asciiTheme="minorEastAsia" w:eastAsiaTheme="minorEastAsia" w:hAnsiTheme="minorEastAsia" w:cs="宋体"/>
                <w:color w:val="000000"/>
                <w:kern w:val="0"/>
                <w:sz w:val="24"/>
              </w:rPr>
              <w:t>FOF）</w:t>
            </w:r>
          </w:p>
        </w:tc>
        <w:tc>
          <w:tcPr>
            <w:tcW w:w="6095" w:type="dxa"/>
            <w:shd w:val="clear" w:color="auto" w:fill="auto"/>
            <w:vAlign w:val="center"/>
            <w:hideMark/>
          </w:tcPr>
          <w:p w:rsidR="00540A43"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原</w:t>
            </w:r>
            <w:r w:rsidR="00A41D4F" w:rsidRPr="00A41D4F">
              <w:rPr>
                <w:rFonts w:asciiTheme="minorEastAsia" w:eastAsiaTheme="minorEastAsia" w:hAnsiTheme="minorEastAsia" w:cs="宋体" w:hint="eastAsia"/>
                <w:kern w:val="0"/>
                <w:sz w:val="24"/>
              </w:rPr>
              <w:t>业绩比较</w:t>
            </w:r>
            <w:r w:rsidRPr="00861668">
              <w:rPr>
                <w:rFonts w:asciiTheme="minorEastAsia" w:eastAsiaTheme="minorEastAsia" w:hAnsiTheme="minorEastAsia" w:cs="宋体" w:hint="eastAsia"/>
                <w:kern w:val="0"/>
                <w:sz w:val="24"/>
              </w:rPr>
              <w:t>基准：</w:t>
            </w:r>
            <w:r w:rsidR="001561B4" w:rsidRPr="001561B4">
              <w:rPr>
                <w:rFonts w:asciiTheme="minorEastAsia" w:eastAsiaTheme="minorEastAsia" w:hAnsiTheme="minorEastAsia" w:cs="宋体" w:hint="eastAsia"/>
                <w:kern w:val="0"/>
                <w:sz w:val="24"/>
              </w:rPr>
              <w:t>20%*沪深300指数收益率+80%*中债新综合财富（总值）指数收益率</w:t>
            </w:r>
          </w:p>
          <w:p w:rsidR="00540A43"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调整后的</w:t>
            </w:r>
            <w:r w:rsidR="00A41D4F" w:rsidRPr="00A41D4F">
              <w:rPr>
                <w:rFonts w:asciiTheme="minorEastAsia" w:eastAsiaTheme="minorEastAsia" w:hAnsiTheme="minorEastAsia" w:cs="宋体" w:hint="eastAsia"/>
                <w:kern w:val="0"/>
                <w:sz w:val="24"/>
              </w:rPr>
              <w:t>业绩比较</w:t>
            </w:r>
            <w:r w:rsidRPr="00861668">
              <w:rPr>
                <w:rFonts w:asciiTheme="minorEastAsia" w:eastAsiaTheme="minorEastAsia" w:hAnsiTheme="minorEastAsia" w:cs="宋体" w:hint="eastAsia"/>
                <w:kern w:val="0"/>
                <w:sz w:val="24"/>
              </w:rPr>
              <w:t>基准：中证纯债债券型基金指数收益率</w:t>
            </w:r>
            <w:r w:rsidRPr="00861668">
              <w:rPr>
                <w:rFonts w:asciiTheme="minorEastAsia" w:eastAsiaTheme="minorEastAsia" w:hAnsiTheme="minorEastAsia" w:cs="宋体"/>
                <w:kern w:val="0"/>
                <w:sz w:val="24"/>
              </w:rPr>
              <w:t>*80%+沪深300指数收益率*20%</w:t>
            </w:r>
          </w:p>
          <w:p w:rsidR="00540A43" w:rsidRDefault="00753E17" w:rsidP="00861668">
            <w:pPr>
              <w:widowControl/>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差异：</w:t>
            </w:r>
            <w:r w:rsidR="00BF4DDC" w:rsidRPr="00861668">
              <w:rPr>
                <w:rFonts w:asciiTheme="minorEastAsia" w:eastAsiaTheme="minorEastAsia" w:hAnsiTheme="minorEastAsia" w:cs="宋体" w:hint="eastAsia"/>
                <w:kern w:val="0"/>
                <w:sz w:val="24"/>
              </w:rPr>
              <w:t>权益类资产基准要素不变，固收类资产基准要素由债券指数调整为纯债债券型基金指数，固收类资产基准要素整体权重不变。</w:t>
            </w:r>
          </w:p>
          <w:p w:rsidR="00540A43"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原因：中债新综合财富（总值）指数由国债、金融债、企业债等多种债券直接构成，中证纯债债券型基金指数由一篮子仅投资于债券的纯债债券型基金构成，穿透后两者底层资产投资范围基本一致，相关性达到</w:t>
            </w:r>
            <w:r w:rsidRPr="00861668">
              <w:rPr>
                <w:rFonts w:asciiTheme="minorEastAsia" w:eastAsiaTheme="minorEastAsia" w:hAnsiTheme="minorEastAsia" w:cs="宋体"/>
                <w:kern w:val="0"/>
                <w:sz w:val="24"/>
              </w:rPr>
              <w:t>90%以上；本基金为基金中基金（FOF），投资于证券投资基金的比例不低于基金资产的80%，使用中</w:t>
            </w:r>
            <w:r w:rsidRPr="00861668">
              <w:rPr>
                <w:rFonts w:asciiTheme="minorEastAsia" w:eastAsiaTheme="minorEastAsia" w:hAnsiTheme="minorEastAsia" w:cs="宋体" w:hint="eastAsia"/>
                <w:kern w:val="0"/>
                <w:sz w:val="24"/>
              </w:rPr>
              <w:t>证纯债债券型基金指数作为基准要素能够更准确地反映产品特征，以保证实际投资组合和业绩比较基准长期风险收益特征一致。</w:t>
            </w:r>
          </w:p>
          <w:p w:rsidR="00BF4DDC" w:rsidRPr="00861668"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影响：本次业绩比较基准调整的目的是提高基金业绩表现与业绩比较基准的可比性，使基准能够更好地反映基金的风险收益特征。该调整不会对产品投资运作、持有人利益产生实质性不利影响。</w:t>
            </w:r>
          </w:p>
        </w:tc>
      </w:tr>
      <w:tr w:rsidR="00485FBA" w:rsidRPr="00E31CC1" w:rsidTr="00861668">
        <w:trPr>
          <w:trHeight w:val="8190"/>
        </w:trPr>
        <w:tc>
          <w:tcPr>
            <w:tcW w:w="936" w:type="dxa"/>
            <w:shd w:val="clear" w:color="auto" w:fill="auto"/>
            <w:vAlign w:val="center"/>
            <w:hideMark/>
          </w:tcPr>
          <w:p w:rsidR="00BF4DDC" w:rsidRPr="00861668" w:rsidRDefault="00BF4DDC" w:rsidP="00861668">
            <w:pPr>
              <w:widowControl/>
              <w:spacing w:line="360" w:lineRule="auto"/>
              <w:ind w:firstLineChars="200" w:firstLine="480"/>
              <w:rPr>
                <w:rFonts w:asciiTheme="minorEastAsia" w:eastAsiaTheme="minorEastAsia" w:hAnsiTheme="minorEastAsia" w:cs="宋体"/>
                <w:color w:val="000000"/>
                <w:kern w:val="0"/>
                <w:sz w:val="24"/>
              </w:rPr>
            </w:pPr>
            <w:r w:rsidRPr="00861668">
              <w:rPr>
                <w:rFonts w:asciiTheme="minorEastAsia" w:eastAsiaTheme="minorEastAsia" w:hAnsiTheme="minorEastAsia" w:cs="宋体"/>
                <w:color w:val="000000"/>
                <w:kern w:val="0"/>
                <w:sz w:val="24"/>
              </w:rPr>
              <w:t>16</w:t>
            </w:r>
          </w:p>
        </w:tc>
        <w:tc>
          <w:tcPr>
            <w:tcW w:w="1186" w:type="dxa"/>
            <w:shd w:val="clear" w:color="auto" w:fill="auto"/>
            <w:vAlign w:val="center"/>
            <w:hideMark/>
          </w:tcPr>
          <w:p w:rsidR="00BF4DDC" w:rsidRPr="00861668" w:rsidRDefault="00BF4DDC" w:rsidP="00861668">
            <w:pPr>
              <w:widowControl/>
              <w:spacing w:line="360" w:lineRule="auto"/>
              <w:rPr>
                <w:rFonts w:asciiTheme="minorEastAsia" w:eastAsiaTheme="minorEastAsia" w:hAnsiTheme="minorEastAsia" w:cs="宋体"/>
                <w:color w:val="000000"/>
                <w:kern w:val="0"/>
                <w:sz w:val="24"/>
              </w:rPr>
            </w:pPr>
            <w:r w:rsidRPr="00861668">
              <w:rPr>
                <w:rFonts w:asciiTheme="minorEastAsia" w:eastAsiaTheme="minorEastAsia" w:hAnsiTheme="minorEastAsia" w:cs="宋体" w:hint="eastAsia"/>
                <w:color w:val="000000"/>
                <w:kern w:val="0"/>
                <w:sz w:val="24"/>
              </w:rPr>
              <w:t>天弘全球新能源汽车股票型证券投资基金（</w:t>
            </w:r>
            <w:r w:rsidRPr="00861668">
              <w:rPr>
                <w:rFonts w:asciiTheme="minorEastAsia" w:eastAsiaTheme="minorEastAsia" w:hAnsiTheme="minorEastAsia" w:cs="宋体"/>
                <w:color w:val="000000"/>
                <w:kern w:val="0"/>
                <w:sz w:val="24"/>
              </w:rPr>
              <w:t>QDII-LOF）</w:t>
            </w:r>
          </w:p>
        </w:tc>
        <w:tc>
          <w:tcPr>
            <w:tcW w:w="6095" w:type="dxa"/>
            <w:shd w:val="clear" w:color="auto" w:fill="auto"/>
            <w:vAlign w:val="center"/>
            <w:hideMark/>
          </w:tcPr>
          <w:p w:rsidR="00E03004"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原</w:t>
            </w:r>
            <w:r w:rsidR="00E03004" w:rsidRPr="00E03004">
              <w:rPr>
                <w:rFonts w:asciiTheme="minorEastAsia" w:eastAsiaTheme="minorEastAsia" w:hAnsiTheme="minorEastAsia" w:cs="宋体" w:hint="eastAsia"/>
                <w:kern w:val="0"/>
                <w:sz w:val="24"/>
              </w:rPr>
              <w:t>业绩比较</w:t>
            </w:r>
            <w:r w:rsidRPr="00861668">
              <w:rPr>
                <w:rFonts w:asciiTheme="minorEastAsia" w:eastAsiaTheme="minorEastAsia" w:hAnsiTheme="minorEastAsia" w:cs="宋体" w:hint="eastAsia"/>
                <w:kern w:val="0"/>
                <w:sz w:val="24"/>
              </w:rPr>
              <w:t>基准：标普</w:t>
            </w:r>
            <w:r w:rsidRPr="00861668">
              <w:rPr>
                <w:rFonts w:asciiTheme="minorEastAsia" w:eastAsiaTheme="minorEastAsia" w:hAnsiTheme="minorEastAsia" w:cs="宋体"/>
                <w:kern w:val="0"/>
                <w:sz w:val="24"/>
              </w:rPr>
              <w:t>Kensho</w:t>
            </w:r>
            <w:r w:rsidRPr="00861668">
              <w:rPr>
                <w:rFonts w:asciiTheme="minorEastAsia" w:eastAsiaTheme="minorEastAsia" w:hAnsiTheme="minorEastAsia" w:cs="宋体" w:hint="eastAsia"/>
                <w:kern w:val="0"/>
                <w:sz w:val="24"/>
              </w:rPr>
              <w:t>电动车行业指数收益率</w:t>
            </w:r>
            <w:r w:rsidRPr="00861668">
              <w:rPr>
                <w:rFonts w:asciiTheme="minorEastAsia" w:eastAsiaTheme="minorEastAsia" w:hAnsiTheme="minorEastAsia" w:cs="宋体"/>
                <w:kern w:val="0"/>
                <w:sz w:val="24"/>
              </w:rPr>
              <w:t>(使用估值汇率折算)*90%+人民币活期存款利率(税后)*10%</w:t>
            </w:r>
          </w:p>
          <w:p w:rsidR="00E03004"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调整后的</w:t>
            </w:r>
            <w:r w:rsidR="00E03004" w:rsidRPr="00E03004">
              <w:rPr>
                <w:rFonts w:asciiTheme="minorEastAsia" w:eastAsiaTheme="minorEastAsia" w:hAnsiTheme="minorEastAsia" w:cs="宋体" w:hint="eastAsia"/>
                <w:kern w:val="0"/>
                <w:sz w:val="24"/>
              </w:rPr>
              <w:t>业绩比较</w:t>
            </w:r>
            <w:r w:rsidRPr="00861668">
              <w:rPr>
                <w:rFonts w:asciiTheme="minorEastAsia" w:eastAsiaTheme="minorEastAsia" w:hAnsiTheme="minorEastAsia" w:cs="宋体" w:hint="eastAsia"/>
                <w:kern w:val="0"/>
                <w:sz w:val="24"/>
              </w:rPr>
              <w:t>基准：中证港美上市全球智能汽车主题指数（人民币）收益率</w:t>
            </w:r>
            <w:r w:rsidRPr="00861668">
              <w:rPr>
                <w:rFonts w:asciiTheme="minorEastAsia" w:eastAsiaTheme="minorEastAsia" w:hAnsiTheme="minorEastAsia" w:cs="宋体"/>
                <w:kern w:val="0"/>
                <w:sz w:val="24"/>
              </w:rPr>
              <w:t>*60%+中证新能源汽车指数收益率*30%+人民币活期存款基准利率*10%</w:t>
            </w:r>
          </w:p>
          <w:p w:rsidR="00E03004" w:rsidRDefault="00753E17" w:rsidP="00861668">
            <w:pPr>
              <w:widowControl/>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差异：</w:t>
            </w:r>
            <w:r w:rsidR="00BF4DDC" w:rsidRPr="00861668">
              <w:rPr>
                <w:rFonts w:asciiTheme="minorEastAsia" w:eastAsiaTheme="minorEastAsia" w:hAnsiTheme="minorEastAsia" w:cs="宋体" w:hint="eastAsia"/>
                <w:kern w:val="0"/>
                <w:sz w:val="24"/>
              </w:rPr>
              <w:t>将原基准中的单一股票指数要素更换为具有相近特征的组合股票指数要素，使得新业绩比较基准代表性更强。</w:t>
            </w:r>
          </w:p>
          <w:p w:rsidR="00E03004"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原因：本基金变更业绩比较基准主要是为了更好地满足基金合同对于投资市场分布的要求，同时考虑了产业发展趋势、成长空间及投资价值，综合判断后选择新基准。</w:t>
            </w:r>
          </w:p>
          <w:p w:rsidR="00E03004"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kern w:val="0"/>
                <w:sz w:val="24"/>
              </w:rPr>
              <w:t>1</w:t>
            </w:r>
            <w:r w:rsidRPr="00861668">
              <w:rPr>
                <w:rFonts w:asciiTheme="minorEastAsia" w:eastAsiaTheme="minorEastAsia" w:hAnsiTheme="minorEastAsia" w:cs="宋体" w:hint="eastAsia"/>
                <w:kern w:val="0"/>
                <w:sz w:val="24"/>
              </w:rPr>
              <w:t>、新基准更好地满足了基金合同对于投资市场分布的要求</w:t>
            </w:r>
          </w:p>
          <w:p w:rsidR="00996D6E"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根据基金合同规定“本基金投资于境外市场的资产占基金资产的比例不低于</w:t>
            </w:r>
            <w:r w:rsidRPr="00861668">
              <w:rPr>
                <w:rFonts w:asciiTheme="minorEastAsia" w:eastAsiaTheme="minorEastAsia" w:hAnsiTheme="minorEastAsia" w:cs="宋体"/>
                <w:kern w:val="0"/>
                <w:sz w:val="24"/>
              </w:rPr>
              <w:t>20%，本基金投资于境内市场的资产占基金资产的比例不低于20%”。基金实际投资运作中需满足基金合同对于投资市场分布的要求，需部分投资于境内市场，而原基准中</w:t>
            </w:r>
            <w:r w:rsidRPr="00861668">
              <w:rPr>
                <w:rFonts w:asciiTheme="minorEastAsia" w:eastAsiaTheme="minorEastAsia" w:hAnsiTheme="minorEastAsia" w:cs="宋体" w:hint="eastAsia"/>
                <w:kern w:val="0"/>
                <w:sz w:val="24"/>
              </w:rPr>
              <w:t>的标普</w:t>
            </w:r>
            <w:r w:rsidRPr="00861668">
              <w:rPr>
                <w:rFonts w:asciiTheme="minorEastAsia" w:eastAsiaTheme="minorEastAsia" w:hAnsiTheme="minorEastAsia" w:cs="宋体"/>
                <w:kern w:val="0"/>
                <w:sz w:val="24"/>
              </w:rPr>
              <w:t>Kensho</w:t>
            </w:r>
            <w:r w:rsidRPr="00861668">
              <w:rPr>
                <w:rFonts w:asciiTheme="minorEastAsia" w:eastAsiaTheme="minorEastAsia" w:hAnsiTheme="minorEastAsia" w:cs="宋体" w:hint="eastAsia"/>
                <w:kern w:val="0"/>
                <w:sz w:val="24"/>
              </w:rPr>
              <w:t>电动车行业指数成</w:t>
            </w:r>
            <w:r w:rsidR="009D367A">
              <w:rPr>
                <w:rFonts w:asciiTheme="minorEastAsia" w:eastAsiaTheme="minorEastAsia" w:hAnsiTheme="minorEastAsia" w:cs="宋体" w:hint="eastAsia"/>
                <w:kern w:val="0"/>
                <w:sz w:val="24"/>
              </w:rPr>
              <w:t>份</w:t>
            </w:r>
            <w:r w:rsidRPr="00861668">
              <w:rPr>
                <w:rFonts w:asciiTheme="minorEastAsia" w:eastAsiaTheme="minorEastAsia" w:hAnsiTheme="minorEastAsia" w:cs="宋体" w:hint="eastAsia"/>
                <w:kern w:val="0"/>
                <w:sz w:val="24"/>
              </w:rPr>
              <w:t>股</w:t>
            </w:r>
            <w:r w:rsidRPr="00861668">
              <w:rPr>
                <w:rFonts w:asciiTheme="minorEastAsia" w:eastAsiaTheme="minorEastAsia" w:hAnsiTheme="minorEastAsia" w:cs="宋体"/>
                <w:kern w:val="0"/>
                <w:sz w:val="24"/>
              </w:rPr>
              <w:t>100%于海外市场上市交易。</w:t>
            </w:r>
          </w:p>
          <w:p w:rsidR="00E03004"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新基准为中证港美上市全球智能汽车主题指数（人民币）收益率</w:t>
            </w:r>
            <w:r w:rsidRPr="00861668">
              <w:rPr>
                <w:rFonts w:asciiTheme="minorEastAsia" w:eastAsiaTheme="minorEastAsia" w:hAnsiTheme="minorEastAsia" w:cs="宋体"/>
                <w:kern w:val="0"/>
                <w:sz w:val="24"/>
              </w:rPr>
              <w:t>*60%+中证新能源汽车指数收益率*30%+人民币活期存款基准利率*10%。基准要素中的两</w:t>
            </w:r>
            <w:r w:rsidR="005C26C7">
              <w:rPr>
                <w:rFonts w:asciiTheme="minorEastAsia" w:eastAsiaTheme="minorEastAsia" w:hAnsiTheme="minorEastAsia" w:cs="宋体" w:hint="eastAsia"/>
                <w:kern w:val="0"/>
                <w:sz w:val="24"/>
              </w:rPr>
              <w:t>个</w:t>
            </w:r>
            <w:r w:rsidRPr="00861668">
              <w:rPr>
                <w:rFonts w:asciiTheme="minorEastAsia" w:eastAsiaTheme="minorEastAsia" w:hAnsiTheme="minorEastAsia" w:cs="宋体"/>
                <w:kern w:val="0"/>
                <w:sz w:val="24"/>
              </w:rPr>
              <w:t>股票指数成</w:t>
            </w:r>
            <w:r w:rsidR="005C26C7">
              <w:rPr>
                <w:rFonts w:asciiTheme="minorEastAsia" w:eastAsiaTheme="minorEastAsia" w:hAnsiTheme="minorEastAsia" w:cs="宋体" w:hint="eastAsia"/>
                <w:kern w:val="0"/>
                <w:sz w:val="24"/>
              </w:rPr>
              <w:t>份</w:t>
            </w:r>
            <w:r w:rsidRPr="00861668">
              <w:rPr>
                <w:rFonts w:asciiTheme="minorEastAsia" w:eastAsiaTheme="minorEastAsia" w:hAnsiTheme="minorEastAsia" w:cs="宋体"/>
                <w:kern w:val="0"/>
                <w:sz w:val="24"/>
              </w:rPr>
              <w:t>股上市地分布更为均衡，其中位于境内上市的公司占比约为30%，于海外上市的公司占比约为60%。依据新基准进行投资，可以满足基金合同对于投资市场分布的要求，同时控制与基准整体的偏离程度。</w:t>
            </w:r>
          </w:p>
          <w:p w:rsidR="00E03004"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kern w:val="0"/>
                <w:sz w:val="24"/>
              </w:rPr>
              <w:t>2</w:t>
            </w:r>
            <w:r w:rsidRPr="00861668">
              <w:rPr>
                <w:rFonts w:asciiTheme="minorEastAsia" w:eastAsiaTheme="minorEastAsia" w:hAnsiTheme="minorEastAsia" w:cs="宋体" w:hint="eastAsia"/>
                <w:kern w:val="0"/>
                <w:sz w:val="24"/>
              </w:rPr>
              <w:t>、新基准符合基金合同对于投资主题的界定，且符合产业发展趋势</w:t>
            </w:r>
          </w:p>
          <w:p w:rsidR="00E03004"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根据本基金基金合同约定，投资主题界定为：“新能源车主题主要包含新能源化、智能化、网联化三个层面。新能源化包括但不限于汽车电动化环节以及未来新型清洁能源应用的发展，智能化主要指通过搭载先进传感器等装置，具有自动驾驶功能，逐步成为智能移动空间和应用终端的新一代汽车相关设备发展；网联化主要指通过融合现代网络通讯技术实现车内、车与车、车与路、车与人、车与服务平台的全方位网络连接。</w:t>
            </w:r>
            <w:r w:rsidR="00134D87">
              <w:rPr>
                <w:rFonts w:asciiTheme="minorEastAsia" w:eastAsiaTheme="minorEastAsia" w:hAnsiTheme="minorEastAsia" w:cs="宋体" w:hint="eastAsia"/>
                <w:kern w:val="0"/>
                <w:sz w:val="24"/>
              </w:rPr>
              <w:t>”</w:t>
            </w:r>
          </w:p>
          <w:p w:rsidR="00E03004"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调整后的新基准包括基准要素权重为</w:t>
            </w:r>
            <w:r w:rsidRPr="00861668">
              <w:rPr>
                <w:rFonts w:asciiTheme="minorEastAsia" w:eastAsiaTheme="minorEastAsia" w:hAnsiTheme="minorEastAsia" w:cs="宋体"/>
                <w:kern w:val="0"/>
                <w:sz w:val="24"/>
              </w:rPr>
              <w:t>60%的</w:t>
            </w:r>
            <w:r w:rsidRPr="00861668">
              <w:rPr>
                <w:rFonts w:asciiTheme="minorEastAsia" w:eastAsiaTheme="minorEastAsia" w:hAnsiTheme="minorEastAsia" w:cs="宋体" w:hint="eastAsia"/>
                <w:kern w:val="0"/>
                <w:sz w:val="24"/>
              </w:rPr>
              <w:t>中证港美上市智能汽车主题指数，其编制方案为：从中国香港和美国市场上市的证券中选取</w:t>
            </w:r>
            <w:r w:rsidRPr="00861668">
              <w:rPr>
                <w:rFonts w:asciiTheme="minorEastAsia" w:eastAsiaTheme="minorEastAsia" w:hAnsiTheme="minorEastAsia" w:cs="宋体"/>
                <w:kern w:val="0"/>
                <w:sz w:val="24"/>
              </w:rPr>
              <w:t>50只业务涉及感知定位、决策规划、控制执行、智能座舱以及车联网等智能汽车相关领域的上市公司证券作为指数样本，反映中国香港和美国市场上市的智能汽车主题上市公司证券的整体表现。基准要素权重为30%的中证新能源汽车指数，其编制方案为：选取涉及锂电池、充电桩、新能源整车等业务的上市公司证券作为指数样本，以反映新能源汽车相关上市公司证券的整体表现。以上两个股票指数基准要素的</w:t>
            </w:r>
            <w:r w:rsidRPr="00861668">
              <w:rPr>
                <w:rFonts w:asciiTheme="minorEastAsia" w:eastAsiaTheme="minorEastAsia" w:hAnsiTheme="minorEastAsia" w:cs="宋体" w:hint="eastAsia"/>
                <w:kern w:val="0"/>
                <w:sz w:val="24"/>
              </w:rPr>
              <w:t>投资方向均符合基金合同关于投资主题的界定。</w:t>
            </w:r>
          </w:p>
          <w:p w:rsidR="00BF4DDC" w:rsidRPr="00861668" w:rsidRDefault="00BF4DDC" w:rsidP="00861668">
            <w:pPr>
              <w:widowControl/>
              <w:spacing w:line="360" w:lineRule="auto"/>
              <w:ind w:firstLineChars="200" w:firstLine="480"/>
              <w:rPr>
                <w:rFonts w:asciiTheme="minorEastAsia" w:eastAsiaTheme="minorEastAsia" w:hAnsiTheme="minorEastAsia" w:cs="宋体"/>
                <w:kern w:val="0"/>
                <w:sz w:val="24"/>
              </w:rPr>
            </w:pPr>
            <w:r w:rsidRPr="00861668">
              <w:rPr>
                <w:rFonts w:asciiTheme="minorEastAsia" w:eastAsiaTheme="minorEastAsia" w:hAnsiTheme="minorEastAsia" w:cs="宋体" w:hint="eastAsia"/>
                <w:kern w:val="0"/>
                <w:sz w:val="24"/>
              </w:rPr>
              <w:t>影响：本次业绩比较基准调整的目的是提高基金业绩表现与业绩比较基准的可比性，使基准能够更好地反映基金的风险收益特征。该调整不会对产品投资运作、持有人利益产生实质性不利影响。</w:t>
            </w:r>
          </w:p>
        </w:tc>
      </w:tr>
    </w:tbl>
    <w:p w:rsidR="00C82047" w:rsidRPr="00BF4DDC" w:rsidRDefault="00C82047">
      <w:pPr>
        <w:adjustRightInd w:val="0"/>
        <w:snapToGrid w:val="0"/>
        <w:spacing w:line="460" w:lineRule="exact"/>
        <w:ind w:right="240" w:firstLine="480"/>
        <w:jc w:val="left"/>
        <w:rPr>
          <w:sz w:val="24"/>
        </w:rPr>
      </w:pPr>
    </w:p>
    <w:sectPr w:rsidR="00C82047" w:rsidRPr="00BF4DDC" w:rsidSect="00A83C12">
      <w:footerReference w:type="default" r:id="rId6"/>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DD6" w:rsidRDefault="00925DD6">
      <w:r>
        <w:separator/>
      </w:r>
    </w:p>
  </w:endnote>
  <w:endnote w:type="continuationSeparator" w:id="0">
    <w:p w:rsidR="00925DD6" w:rsidRDefault="00925D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variable"/>
    <w:sig w:usb0="E0002A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047" w:rsidRDefault="00A83C12">
    <w:pPr>
      <w:jc w:val="center"/>
    </w:pPr>
    <w:r w:rsidRPr="00A83C12">
      <w:fldChar w:fldCharType="begin"/>
    </w:r>
    <w:r w:rsidR="00ED7586">
      <w:instrText xml:space="preserve"> PAGE   \* MERGEFORMAT </w:instrText>
    </w:r>
    <w:r w:rsidRPr="00A83C12">
      <w:fldChar w:fldCharType="separate"/>
    </w:r>
    <w:r w:rsidR="00723FB7" w:rsidRPr="00723FB7">
      <w:rPr>
        <w:noProof/>
        <w:lang w:val="zh-CN"/>
      </w:rPr>
      <w:t>1</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DD6" w:rsidRDefault="00925DD6">
      <w:r>
        <w:separator/>
      </w:r>
    </w:p>
  </w:footnote>
  <w:footnote w:type="continuationSeparator" w:id="0">
    <w:p w:rsidR="00925DD6" w:rsidRDefault="00925D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A38BC"/>
    <w:rsid w:val="CEED638C"/>
    <w:rsid w:val="DD1F6BBA"/>
    <w:rsid w:val="DE6A1415"/>
    <w:rsid w:val="DFE1950D"/>
    <w:rsid w:val="DFF758E3"/>
    <w:rsid w:val="EDA6F6D8"/>
    <w:rsid w:val="EEDD1DC7"/>
    <w:rsid w:val="EFF77937"/>
    <w:rsid w:val="F79FF8A9"/>
    <w:rsid w:val="F7F4FAB9"/>
    <w:rsid w:val="F96FAB73"/>
    <w:rsid w:val="FE7E496E"/>
    <w:rsid w:val="FEF78620"/>
    <w:rsid w:val="FF3BA2AB"/>
    <w:rsid w:val="FF3F2E81"/>
    <w:rsid w:val="00000065"/>
    <w:rsid w:val="00003C93"/>
    <w:rsid w:val="00005EBA"/>
    <w:rsid w:val="00013779"/>
    <w:rsid w:val="000173F2"/>
    <w:rsid w:val="00022A7C"/>
    <w:rsid w:val="00035613"/>
    <w:rsid w:val="00040DA8"/>
    <w:rsid w:val="00044529"/>
    <w:rsid w:val="00047A24"/>
    <w:rsid w:val="000526A9"/>
    <w:rsid w:val="00055FC2"/>
    <w:rsid w:val="00074BC1"/>
    <w:rsid w:val="00077A43"/>
    <w:rsid w:val="0008647F"/>
    <w:rsid w:val="000874DA"/>
    <w:rsid w:val="00087ACA"/>
    <w:rsid w:val="00087FA5"/>
    <w:rsid w:val="000970FF"/>
    <w:rsid w:val="000977E1"/>
    <w:rsid w:val="000B0C97"/>
    <w:rsid w:val="000D0CD0"/>
    <w:rsid w:val="000D1E80"/>
    <w:rsid w:val="000D5D62"/>
    <w:rsid w:val="000D72F4"/>
    <w:rsid w:val="000F6254"/>
    <w:rsid w:val="0010006D"/>
    <w:rsid w:val="00106AE1"/>
    <w:rsid w:val="00112A1A"/>
    <w:rsid w:val="00112DE1"/>
    <w:rsid w:val="001145EC"/>
    <w:rsid w:val="0011579C"/>
    <w:rsid w:val="00116734"/>
    <w:rsid w:val="001233DA"/>
    <w:rsid w:val="00126592"/>
    <w:rsid w:val="00134D87"/>
    <w:rsid w:val="0013710B"/>
    <w:rsid w:val="00137EE5"/>
    <w:rsid w:val="001412A7"/>
    <w:rsid w:val="00143314"/>
    <w:rsid w:val="00144695"/>
    <w:rsid w:val="0014725D"/>
    <w:rsid w:val="00147497"/>
    <w:rsid w:val="001561B4"/>
    <w:rsid w:val="00160556"/>
    <w:rsid w:val="00164BC0"/>
    <w:rsid w:val="00177E74"/>
    <w:rsid w:val="00180381"/>
    <w:rsid w:val="00181FA8"/>
    <w:rsid w:val="00182296"/>
    <w:rsid w:val="001840B0"/>
    <w:rsid w:val="00186F1C"/>
    <w:rsid w:val="001A3497"/>
    <w:rsid w:val="001A38BC"/>
    <w:rsid w:val="001A4A68"/>
    <w:rsid w:val="001B063A"/>
    <w:rsid w:val="001B6821"/>
    <w:rsid w:val="001B7AA4"/>
    <w:rsid w:val="001C1B29"/>
    <w:rsid w:val="001C3BAE"/>
    <w:rsid w:val="001D22F3"/>
    <w:rsid w:val="001D4017"/>
    <w:rsid w:val="001D430D"/>
    <w:rsid w:val="001E09DB"/>
    <w:rsid w:val="001E0D8D"/>
    <w:rsid w:val="001E6BEA"/>
    <w:rsid w:val="001F4DB1"/>
    <w:rsid w:val="001F6B75"/>
    <w:rsid w:val="00200221"/>
    <w:rsid w:val="0021251F"/>
    <w:rsid w:val="002151DD"/>
    <w:rsid w:val="00221A80"/>
    <w:rsid w:val="00223F7F"/>
    <w:rsid w:val="00226BF3"/>
    <w:rsid w:val="00231437"/>
    <w:rsid w:val="0024088F"/>
    <w:rsid w:val="00240DEF"/>
    <w:rsid w:val="002630DD"/>
    <w:rsid w:val="002648DB"/>
    <w:rsid w:val="002649F2"/>
    <w:rsid w:val="00265C95"/>
    <w:rsid w:val="002760F2"/>
    <w:rsid w:val="00290378"/>
    <w:rsid w:val="002A6435"/>
    <w:rsid w:val="002C0F74"/>
    <w:rsid w:val="002C261B"/>
    <w:rsid w:val="002C5DA6"/>
    <w:rsid w:val="002D1FCF"/>
    <w:rsid w:val="002D4E66"/>
    <w:rsid w:val="002D77DB"/>
    <w:rsid w:val="002E2CD8"/>
    <w:rsid w:val="002E3FAC"/>
    <w:rsid w:val="002E5AD9"/>
    <w:rsid w:val="002E63BF"/>
    <w:rsid w:val="002F3650"/>
    <w:rsid w:val="003005D8"/>
    <w:rsid w:val="00301FBB"/>
    <w:rsid w:val="00303620"/>
    <w:rsid w:val="00306FDD"/>
    <w:rsid w:val="003137EC"/>
    <w:rsid w:val="0031619A"/>
    <w:rsid w:val="0031786C"/>
    <w:rsid w:val="003201E5"/>
    <w:rsid w:val="00320A20"/>
    <w:rsid w:val="003237EE"/>
    <w:rsid w:val="00326735"/>
    <w:rsid w:val="00327BA2"/>
    <w:rsid w:val="00331FD1"/>
    <w:rsid w:val="00333045"/>
    <w:rsid w:val="00336D90"/>
    <w:rsid w:val="00344D40"/>
    <w:rsid w:val="00352E14"/>
    <w:rsid w:val="003560CF"/>
    <w:rsid w:val="00360418"/>
    <w:rsid w:val="003634CB"/>
    <w:rsid w:val="00366842"/>
    <w:rsid w:val="003763E5"/>
    <w:rsid w:val="0038716C"/>
    <w:rsid w:val="003923B0"/>
    <w:rsid w:val="00392D72"/>
    <w:rsid w:val="0039355A"/>
    <w:rsid w:val="00396394"/>
    <w:rsid w:val="003A4492"/>
    <w:rsid w:val="003B0D46"/>
    <w:rsid w:val="003B1934"/>
    <w:rsid w:val="003B2AA9"/>
    <w:rsid w:val="003B3FD0"/>
    <w:rsid w:val="003C4FFF"/>
    <w:rsid w:val="003D2828"/>
    <w:rsid w:val="003D35DE"/>
    <w:rsid w:val="003D5676"/>
    <w:rsid w:val="003D70BD"/>
    <w:rsid w:val="003E0ACD"/>
    <w:rsid w:val="003E1945"/>
    <w:rsid w:val="003E377F"/>
    <w:rsid w:val="003E4B1F"/>
    <w:rsid w:val="003E5278"/>
    <w:rsid w:val="003E6CFE"/>
    <w:rsid w:val="003F2516"/>
    <w:rsid w:val="003F2D9D"/>
    <w:rsid w:val="003F6134"/>
    <w:rsid w:val="00401C46"/>
    <w:rsid w:val="00404BDF"/>
    <w:rsid w:val="00416947"/>
    <w:rsid w:val="00416EDC"/>
    <w:rsid w:val="00424B48"/>
    <w:rsid w:val="00430206"/>
    <w:rsid w:val="00443918"/>
    <w:rsid w:val="0044610C"/>
    <w:rsid w:val="0044685C"/>
    <w:rsid w:val="004539F0"/>
    <w:rsid w:val="004541CE"/>
    <w:rsid w:val="00454708"/>
    <w:rsid w:val="00455EFC"/>
    <w:rsid w:val="00457D61"/>
    <w:rsid w:val="004611AF"/>
    <w:rsid w:val="0046258C"/>
    <w:rsid w:val="00463263"/>
    <w:rsid w:val="0046356D"/>
    <w:rsid w:val="004643C4"/>
    <w:rsid w:val="00465FE0"/>
    <w:rsid w:val="004736FE"/>
    <w:rsid w:val="00475415"/>
    <w:rsid w:val="00476701"/>
    <w:rsid w:val="00484870"/>
    <w:rsid w:val="00485FBA"/>
    <w:rsid w:val="004A2494"/>
    <w:rsid w:val="004A2A90"/>
    <w:rsid w:val="004A3919"/>
    <w:rsid w:val="004A42AE"/>
    <w:rsid w:val="004B2A7C"/>
    <w:rsid w:val="004C2AA2"/>
    <w:rsid w:val="004C5E88"/>
    <w:rsid w:val="004D7257"/>
    <w:rsid w:val="004E42C4"/>
    <w:rsid w:val="004E7AA1"/>
    <w:rsid w:val="004F3B50"/>
    <w:rsid w:val="005023B3"/>
    <w:rsid w:val="00503813"/>
    <w:rsid w:val="0050644F"/>
    <w:rsid w:val="00511CBE"/>
    <w:rsid w:val="00515D6B"/>
    <w:rsid w:val="00520E79"/>
    <w:rsid w:val="005271B2"/>
    <w:rsid w:val="0053161A"/>
    <w:rsid w:val="00534796"/>
    <w:rsid w:val="00536913"/>
    <w:rsid w:val="00540A43"/>
    <w:rsid w:val="005414E3"/>
    <w:rsid w:val="00542D6F"/>
    <w:rsid w:val="00545B70"/>
    <w:rsid w:val="00546235"/>
    <w:rsid w:val="00564483"/>
    <w:rsid w:val="00571200"/>
    <w:rsid w:val="0057521D"/>
    <w:rsid w:val="005814DE"/>
    <w:rsid w:val="005850B0"/>
    <w:rsid w:val="00585C51"/>
    <w:rsid w:val="00587DB6"/>
    <w:rsid w:val="00587FB9"/>
    <w:rsid w:val="00593D62"/>
    <w:rsid w:val="00593EA0"/>
    <w:rsid w:val="005A3A17"/>
    <w:rsid w:val="005A73C1"/>
    <w:rsid w:val="005A7FB6"/>
    <w:rsid w:val="005B6CD3"/>
    <w:rsid w:val="005C0CA5"/>
    <w:rsid w:val="005C26C7"/>
    <w:rsid w:val="005C3FCB"/>
    <w:rsid w:val="005D1704"/>
    <w:rsid w:val="005D34D4"/>
    <w:rsid w:val="005D38C0"/>
    <w:rsid w:val="005D555D"/>
    <w:rsid w:val="005D7BA1"/>
    <w:rsid w:val="005D7D73"/>
    <w:rsid w:val="005E0D3D"/>
    <w:rsid w:val="005E2BB8"/>
    <w:rsid w:val="005E2F12"/>
    <w:rsid w:val="005E3E0D"/>
    <w:rsid w:val="005E52F2"/>
    <w:rsid w:val="005F0307"/>
    <w:rsid w:val="005F5C25"/>
    <w:rsid w:val="005F64F6"/>
    <w:rsid w:val="005F7309"/>
    <w:rsid w:val="0060686C"/>
    <w:rsid w:val="00611A11"/>
    <w:rsid w:val="0061234E"/>
    <w:rsid w:val="00614CBC"/>
    <w:rsid w:val="006213CC"/>
    <w:rsid w:val="006237A4"/>
    <w:rsid w:val="006256BC"/>
    <w:rsid w:val="00631464"/>
    <w:rsid w:val="00637C9D"/>
    <w:rsid w:val="00647A51"/>
    <w:rsid w:val="00647D13"/>
    <w:rsid w:val="006601FB"/>
    <w:rsid w:val="00662B50"/>
    <w:rsid w:val="006661D2"/>
    <w:rsid w:val="00667063"/>
    <w:rsid w:val="00670ADC"/>
    <w:rsid w:val="006756E7"/>
    <w:rsid w:val="00684CE6"/>
    <w:rsid w:val="00685003"/>
    <w:rsid w:val="00686846"/>
    <w:rsid w:val="00687901"/>
    <w:rsid w:val="00690696"/>
    <w:rsid w:val="00694D22"/>
    <w:rsid w:val="0069631F"/>
    <w:rsid w:val="006A2F1F"/>
    <w:rsid w:val="006A48DC"/>
    <w:rsid w:val="006B08E5"/>
    <w:rsid w:val="006B3D19"/>
    <w:rsid w:val="006B5753"/>
    <w:rsid w:val="006B7D26"/>
    <w:rsid w:val="006C5DA8"/>
    <w:rsid w:val="006E1721"/>
    <w:rsid w:val="006E1770"/>
    <w:rsid w:val="006E2C21"/>
    <w:rsid w:val="006E30D8"/>
    <w:rsid w:val="00702E01"/>
    <w:rsid w:val="0070320C"/>
    <w:rsid w:val="007038EB"/>
    <w:rsid w:val="007071D4"/>
    <w:rsid w:val="00710DFA"/>
    <w:rsid w:val="00714178"/>
    <w:rsid w:val="007150DC"/>
    <w:rsid w:val="00721824"/>
    <w:rsid w:val="0072255B"/>
    <w:rsid w:val="00723FB7"/>
    <w:rsid w:val="007252DA"/>
    <w:rsid w:val="0072556E"/>
    <w:rsid w:val="00736DF2"/>
    <w:rsid w:val="00736FCE"/>
    <w:rsid w:val="007371CD"/>
    <w:rsid w:val="00737EB2"/>
    <w:rsid w:val="00737FDD"/>
    <w:rsid w:val="007539E3"/>
    <w:rsid w:val="00753E17"/>
    <w:rsid w:val="00754FDF"/>
    <w:rsid w:val="0076428A"/>
    <w:rsid w:val="00774D39"/>
    <w:rsid w:val="007756BD"/>
    <w:rsid w:val="0078067C"/>
    <w:rsid w:val="00780E73"/>
    <w:rsid w:val="00783BBA"/>
    <w:rsid w:val="0079536D"/>
    <w:rsid w:val="007970E6"/>
    <w:rsid w:val="0079764F"/>
    <w:rsid w:val="007A0F8B"/>
    <w:rsid w:val="007B7D8D"/>
    <w:rsid w:val="007D586B"/>
    <w:rsid w:val="007E14EA"/>
    <w:rsid w:val="007F08F7"/>
    <w:rsid w:val="008019E5"/>
    <w:rsid w:val="00801DD7"/>
    <w:rsid w:val="0080579F"/>
    <w:rsid w:val="00810D99"/>
    <w:rsid w:val="0081350F"/>
    <w:rsid w:val="00814E76"/>
    <w:rsid w:val="008229BE"/>
    <w:rsid w:val="0082398F"/>
    <w:rsid w:val="008251DD"/>
    <w:rsid w:val="00830064"/>
    <w:rsid w:val="00831E41"/>
    <w:rsid w:val="00834F9E"/>
    <w:rsid w:val="0083516B"/>
    <w:rsid w:val="008604DF"/>
    <w:rsid w:val="00861668"/>
    <w:rsid w:val="00864931"/>
    <w:rsid w:val="00873A2B"/>
    <w:rsid w:val="00881D4C"/>
    <w:rsid w:val="00893F2E"/>
    <w:rsid w:val="008A1F68"/>
    <w:rsid w:val="008A2D58"/>
    <w:rsid w:val="008A565F"/>
    <w:rsid w:val="008A56D3"/>
    <w:rsid w:val="008A609C"/>
    <w:rsid w:val="008A7453"/>
    <w:rsid w:val="008A7E86"/>
    <w:rsid w:val="008B1C3D"/>
    <w:rsid w:val="008B1CCE"/>
    <w:rsid w:val="008B22E0"/>
    <w:rsid w:val="008B7088"/>
    <w:rsid w:val="008C6F92"/>
    <w:rsid w:val="008D5D56"/>
    <w:rsid w:val="008E2AEA"/>
    <w:rsid w:val="008E7CE2"/>
    <w:rsid w:val="008F3050"/>
    <w:rsid w:val="008F6D25"/>
    <w:rsid w:val="0090311C"/>
    <w:rsid w:val="00904524"/>
    <w:rsid w:val="0091353F"/>
    <w:rsid w:val="00915C5D"/>
    <w:rsid w:val="00923390"/>
    <w:rsid w:val="0092413F"/>
    <w:rsid w:val="00925049"/>
    <w:rsid w:val="00925DD6"/>
    <w:rsid w:val="00931D3E"/>
    <w:rsid w:val="009360CF"/>
    <w:rsid w:val="00941882"/>
    <w:rsid w:val="00942A0D"/>
    <w:rsid w:val="00943F34"/>
    <w:rsid w:val="00947378"/>
    <w:rsid w:val="00947DB7"/>
    <w:rsid w:val="00951EE5"/>
    <w:rsid w:val="00961071"/>
    <w:rsid w:val="00962DA7"/>
    <w:rsid w:val="0097188C"/>
    <w:rsid w:val="009731EA"/>
    <w:rsid w:val="009734B8"/>
    <w:rsid w:val="00974F97"/>
    <w:rsid w:val="00975175"/>
    <w:rsid w:val="009759A1"/>
    <w:rsid w:val="009770E1"/>
    <w:rsid w:val="009803CD"/>
    <w:rsid w:val="00984E2A"/>
    <w:rsid w:val="009877E1"/>
    <w:rsid w:val="0099072C"/>
    <w:rsid w:val="0099355D"/>
    <w:rsid w:val="00995438"/>
    <w:rsid w:val="00996D6E"/>
    <w:rsid w:val="009A158B"/>
    <w:rsid w:val="009A5F0C"/>
    <w:rsid w:val="009B2987"/>
    <w:rsid w:val="009B3544"/>
    <w:rsid w:val="009B3F82"/>
    <w:rsid w:val="009B639C"/>
    <w:rsid w:val="009B6E39"/>
    <w:rsid w:val="009B70F5"/>
    <w:rsid w:val="009B7283"/>
    <w:rsid w:val="009C2B54"/>
    <w:rsid w:val="009C3676"/>
    <w:rsid w:val="009D367A"/>
    <w:rsid w:val="009E27BE"/>
    <w:rsid w:val="009E5624"/>
    <w:rsid w:val="009F6B6C"/>
    <w:rsid w:val="00A02732"/>
    <w:rsid w:val="00A20CE4"/>
    <w:rsid w:val="00A41D4F"/>
    <w:rsid w:val="00A42004"/>
    <w:rsid w:val="00A45608"/>
    <w:rsid w:val="00A4569F"/>
    <w:rsid w:val="00A5398B"/>
    <w:rsid w:val="00A64176"/>
    <w:rsid w:val="00A70E63"/>
    <w:rsid w:val="00A73DE0"/>
    <w:rsid w:val="00A74E97"/>
    <w:rsid w:val="00A83C12"/>
    <w:rsid w:val="00A95AEF"/>
    <w:rsid w:val="00AA4B11"/>
    <w:rsid w:val="00AB3225"/>
    <w:rsid w:val="00AC0638"/>
    <w:rsid w:val="00AC51F4"/>
    <w:rsid w:val="00AC7F59"/>
    <w:rsid w:val="00AD5461"/>
    <w:rsid w:val="00AF0CBD"/>
    <w:rsid w:val="00AF391E"/>
    <w:rsid w:val="00AF3BDB"/>
    <w:rsid w:val="00B026BF"/>
    <w:rsid w:val="00B04C95"/>
    <w:rsid w:val="00B135E7"/>
    <w:rsid w:val="00B1700D"/>
    <w:rsid w:val="00B237AD"/>
    <w:rsid w:val="00B252F6"/>
    <w:rsid w:val="00B2732C"/>
    <w:rsid w:val="00B30597"/>
    <w:rsid w:val="00B358B7"/>
    <w:rsid w:val="00B35B55"/>
    <w:rsid w:val="00B40CF9"/>
    <w:rsid w:val="00B43216"/>
    <w:rsid w:val="00B43B31"/>
    <w:rsid w:val="00B47BB2"/>
    <w:rsid w:val="00B47FA3"/>
    <w:rsid w:val="00B51E12"/>
    <w:rsid w:val="00B57421"/>
    <w:rsid w:val="00B6494A"/>
    <w:rsid w:val="00B654B0"/>
    <w:rsid w:val="00B70C49"/>
    <w:rsid w:val="00B90083"/>
    <w:rsid w:val="00B90F5C"/>
    <w:rsid w:val="00B93B7B"/>
    <w:rsid w:val="00B9409F"/>
    <w:rsid w:val="00BA255B"/>
    <w:rsid w:val="00BA5C1B"/>
    <w:rsid w:val="00BA7C2A"/>
    <w:rsid w:val="00BB08FF"/>
    <w:rsid w:val="00BB15BC"/>
    <w:rsid w:val="00BB70DD"/>
    <w:rsid w:val="00BC10E2"/>
    <w:rsid w:val="00BC3B77"/>
    <w:rsid w:val="00BE393A"/>
    <w:rsid w:val="00BF24CF"/>
    <w:rsid w:val="00BF4DDC"/>
    <w:rsid w:val="00BF7B0A"/>
    <w:rsid w:val="00BF7F13"/>
    <w:rsid w:val="00C012B4"/>
    <w:rsid w:val="00C203FE"/>
    <w:rsid w:val="00C22C6D"/>
    <w:rsid w:val="00C27DC8"/>
    <w:rsid w:val="00C306C1"/>
    <w:rsid w:val="00C3084B"/>
    <w:rsid w:val="00C33303"/>
    <w:rsid w:val="00C37A2D"/>
    <w:rsid w:val="00C55BCA"/>
    <w:rsid w:val="00C602CA"/>
    <w:rsid w:val="00C6045C"/>
    <w:rsid w:val="00C636F7"/>
    <w:rsid w:val="00C64767"/>
    <w:rsid w:val="00C706C0"/>
    <w:rsid w:val="00C70C17"/>
    <w:rsid w:val="00C724AC"/>
    <w:rsid w:val="00C74D45"/>
    <w:rsid w:val="00C81DDB"/>
    <w:rsid w:val="00C82047"/>
    <w:rsid w:val="00C8651B"/>
    <w:rsid w:val="00C910A3"/>
    <w:rsid w:val="00C9561D"/>
    <w:rsid w:val="00C95F01"/>
    <w:rsid w:val="00CA7C1A"/>
    <w:rsid w:val="00CB0D25"/>
    <w:rsid w:val="00CB3CA5"/>
    <w:rsid w:val="00CC085C"/>
    <w:rsid w:val="00CC5144"/>
    <w:rsid w:val="00CD3339"/>
    <w:rsid w:val="00CD7A5B"/>
    <w:rsid w:val="00CE28F8"/>
    <w:rsid w:val="00CF00AC"/>
    <w:rsid w:val="00CF29A7"/>
    <w:rsid w:val="00CF74F8"/>
    <w:rsid w:val="00CF788E"/>
    <w:rsid w:val="00D139F2"/>
    <w:rsid w:val="00D14FCF"/>
    <w:rsid w:val="00D201C1"/>
    <w:rsid w:val="00D21051"/>
    <w:rsid w:val="00D2297C"/>
    <w:rsid w:val="00D316C8"/>
    <w:rsid w:val="00D31F8D"/>
    <w:rsid w:val="00D3648B"/>
    <w:rsid w:val="00D40716"/>
    <w:rsid w:val="00D40F0D"/>
    <w:rsid w:val="00D46095"/>
    <w:rsid w:val="00D46A49"/>
    <w:rsid w:val="00D47B18"/>
    <w:rsid w:val="00D606DB"/>
    <w:rsid w:val="00D626B5"/>
    <w:rsid w:val="00D6341F"/>
    <w:rsid w:val="00D641C4"/>
    <w:rsid w:val="00D678B7"/>
    <w:rsid w:val="00D73A4F"/>
    <w:rsid w:val="00D80B19"/>
    <w:rsid w:val="00D97DFA"/>
    <w:rsid w:val="00DA35C0"/>
    <w:rsid w:val="00DB0E19"/>
    <w:rsid w:val="00DC3E49"/>
    <w:rsid w:val="00DD44D0"/>
    <w:rsid w:val="00DD580B"/>
    <w:rsid w:val="00DE16D0"/>
    <w:rsid w:val="00DE2E50"/>
    <w:rsid w:val="00DE7208"/>
    <w:rsid w:val="00DF4510"/>
    <w:rsid w:val="00DF66C8"/>
    <w:rsid w:val="00DF77BE"/>
    <w:rsid w:val="00DF7DC4"/>
    <w:rsid w:val="00E029ED"/>
    <w:rsid w:val="00E03004"/>
    <w:rsid w:val="00E15C08"/>
    <w:rsid w:val="00E165AB"/>
    <w:rsid w:val="00E20547"/>
    <w:rsid w:val="00E22A0D"/>
    <w:rsid w:val="00E2377E"/>
    <w:rsid w:val="00E27CF0"/>
    <w:rsid w:val="00E310EC"/>
    <w:rsid w:val="00E31CC1"/>
    <w:rsid w:val="00E40365"/>
    <w:rsid w:val="00E4489A"/>
    <w:rsid w:val="00E46B6F"/>
    <w:rsid w:val="00E5109C"/>
    <w:rsid w:val="00E53D33"/>
    <w:rsid w:val="00E55910"/>
    <w:rsid w:val="00E618D3"/>
    <w:rsid w:val="00E71E31"/>
    <w:rsid w:val="00E7298B"/>
    <w:rsid w:val="00E83A3B"/>
    <w:rsid w:val="00E9009E"/>
    <w:rsid w:val="00E9242B"/>
    <w:rsid w:val="00E97154"/>
    <w:rsid w:val="00E97A09"/>
    <w:rsid w:val="00EA25CB"/>
    <w:rsid w:val="00EA4CA4"/>
    <w:rsid w:val="00EA52AA"/>
    <w:rsid w:val="00EB1596"/>
    <w:rsid w:val="00EB7571"/>
    <w:rsid w:val="00EC2238"/>
    <w:rsid w:val="00EC2760"/>
    <w:rsid w:val="00ED05DF"/>
    <w:rsid w:val="00ED7586"/>
    <w:rsid w:val="00ED7792"/>
    <w:rsid w:val="00EE0F98"/>
    <w:rsid w:val="00EE20AD"/>
    <w:rsid w:val="00EE56DC"/>
    <w:rsid w:val="00F01DE8"/>
    <w:rsid w:val="00F0396E"/>
    <w:rsid w:val="00F05A3A"/>
    <w:rsid w:val="00F12AD8"/>
    <w:rsid w:val="00F14D53"/>
    <w:rsid w:val="00F22526"/>
    <w:rsid w:val="00F25847"/>
    <w:rsid w:val="00F37DC5"/>
    <w:rsid w:val="00F42892"/>
    <w:rsid w:val="00F42C33"/>
    <w:rsid w:val="00F43BFB"/>
    <w:rsid w:val="00F45BA7"/>
    <w:rsid w:val="00F46D85"/>
    <w:rsid w:val="00F5561F"/>
    <w:rsid w:val="00F55F8F"/>
    <w:rsid w:val="00F72763"/>
    <w:rsid w:val="00F80000"/>
    <w:rsid w:val="00F82A59"/>
    <w:rsid w:val="00FB5350"/>
    <w:rsid w:val="00FC4671"/>
    <w:rsid w:val="00FC78F3"/>
    <w:rsid w:val="00FD131E"/>
    <w:rsid w:val="00FD62A4"/>
    <w:rsid w:val="00FE4932"/>
    <w:rsid w:val="00FF3E76"/>
    <w:rsid w:val="00FF46DA"/>
    <w:rsid w:val="00FF7774"/>
    <w:rsid w:val="1FFFBBB3"/>
    <w:rsid w:val="27757E2F"/>
    <w:rsid w:val="36FF301A"/>
    <w:rsid w:val="373F7C6C"/>
    <w:rsid w:val="3F7E280B"/>
    <w:rsid w:val="69BF3133"/>
    <w:rsid w:val="6FFBBF8E"/>
    <w:rsid w:val="6FFF25CE"/>
    <w:rsid w:val="6FFFDDB8"/>
    <w:rsid w:val="75EF2A88"/>
    <w:rsid w:val="775B4E5E"/>
    <w:rsid w:val="77778308"/>
    <w:rsid w:val="77FF7F27"/>
    <w:rsid w:val="7BFB59DE"/>
    <w:rsid w:val="7DFD6D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semiHidden="0" w:unhideWhenUsed="0" w:qFormat="1"/>
    <w:lsdException w:name="header" w:semiHidden="0" w:unhideWhenUsed="0" w:qFormat="1"/>
    <w:lsdException w:name="footer" w:semiHidden="0" w:unhideWhenUsed="0" w:qFormat="1"/>
    <w:lsdException w:name="caption" w:uiPriority="35" w:qFormat="1"/>
    <w:lsdException w:name="annotation reference" w:semiHidden="0" w:unhideWhenUsed="0"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annotation subject" w:semiHidden="0" w:unhideWhenUsed="0" w:qFormat="1"/>
    <w:lsdException w:name="Balloon Text" w:semiHidden="0" w:unhideWhenUsed="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C12"/>
    <w:pPr>
      <w:widowControl w:val="0"/>
      <w:jc w:val="both"/>
    </w:pPr>
    <w:rPr>
      <w:kern w:val="2"/>
      <w:sz w:val="21"/>
      <w:szCs w:val="24"/>
    </w:rPr>
  </w:style>
  <w:style w:type="paragraph" w:styleId="1">
    <w:name w:val="heading 1"/>
    <w:basedOn w:val="a"/>
    <w:next w:val="a"/>
    <w:link w:val="1Char"/>
    <w:qFormat/>
    <w:rsid w:val="00A83C12"/>
    <w:pPr>
      <w:keepNext/>
      <w:keepLines/>
      <w:spacing w:before="120" w:after="120" w:line="360" w:lineRule="auto"/>
      <w:outlineLvl w:val="0"/>
    </w:pPr>
    <w:rPr>
      <w:rFonts w:ascii="宋体"/>
      <w:b/>
      <w:color w:val="000000"/>
      <w:kern w:val="0"/>
      <w:sz w:val="24"/>
      <w:szCs w:val="20"/>
    </w:rPr>
  </w:style>
  <w:style w:type="paragraph" w:styleId="2">
    <w:name w:val="heading 2"/>
    <w:basedOn w:val="a"/>
    <w:next w:val="a"/>
    <w:link w:val="2Char"/>
    <w:qFormat/>
    <w:rsid w:val="00A83C12"/>
    <w:pPr>
      <w:keepNext/>
      <w:keepLines/>
      <w:spacing w:before="260" w:after="260" w:line="416" w:lineRule="auto"/>
      <w:outlineLvl w:val="1"/>
    </w:pPr>
    <w:rPr>
      <w:rFonts w:ascii="Calibri Light" w:hAnsi="Calibri Light" w:cs="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A83C12"/>
    <w:pPr>
      <w:ind w:firstLineChars="200" w:firstLine="420"/>
    </w:pPr>
  </w:style>
  <w:style w:type="paragraph" w:styleId="a4">
    <w:name w:val="annotation text"/>
    <w:basedOn w:val="a"/>
    <w:link w:val="Char"/>
    <w:uiPriority w:val="99"/>
    <w:qFormat/>
    <w:rsid w:val="00A83C12"/>
    <w:pPr>
      <w:jc w:val="left"/>
    </w:pPr>
  </w:style>
  <w:style w:type="paragraph" w:styleId="a5">
    <w:name w:val="Body Text Indent"/>
    <w:basedOn w:val="a"/>
    <w:link w:val="Char0"/>
    <w:qFormat/>
    <w:rsid w:val="00A83C12"/>
    <w:pPr>
      <w:spacing w:line="400" w:lineRule="exact"/>
      <w:ind w:firstLineChars="192" w:firstLine="538"/>
    </w:pPr>
    <w:rPr>
      <w:rFonts w:ascii="仿宋_GB2312" w:eastAsia="仿宋_GB2312" w:hAnsi="宋体"/>
      <w:color w:val="000000"/>
      <w:sz w:val="28"/>
    </w:rPr>
  </w:style>
  <w:style w:type="paragraph" w:styleId="a6">
    <w:name w:val="Plain Text"/>
    <w:basedOn w:val="a"/>
    <w:link w:val="Char1"/>
    <w:qFormat/>
    <w:rsid w:val="00A83C12"/>
    <w:rPr>
      <w:rFonts w:ascii="宋体" w:hAnsi="Courier New" w:cs="Courier New"/>
      <w:szCs w:val="21"/>
    </w:rPr>
  </w:style>
  <w:style w:type="paragraph" w:styleId="a7">
    <w:name w:val="Balloon Text"/>
    <w:basedOn w:val="a"/>
    <w:link w:val="Char2"/>
    <w:uiPriority w:val="99"/>
    <w:qFormat/>
    <w:rsid w:val="00A83C12"/>
    <w:rPr>
      <w:sz w:val="18"/>
      <w:szCs w:val="18"/>
    </w:rPr>
  </w:style>
  <w:style w:type="paragraph" w:styleId="a8">
    <w:name w:val="footer"/>
    <w:basedOn w:val="a"/>
    <w:link w:val="Char3"/>
    <w:uiPriority w:val="99"/>
    <w:qFormat/>
    <w:rsid w:val="00A83C12"/>
    <w:pPr>
      <w:tabs>
        <w:tab w:val="center" w:pos="4153"/>
        <w:tab w:val="right" w:pos="8306"/>
      </w:tabs>
      <w:snapToGrid w:val="0"/>
      <w:jc w:val="left"/>
    </w:pPr>
    <w:rPr>
      <w:sz w:val="18"/>
      <w:szCs w:val="18"/>
    </w:rPr>
  </w:style>
  <w:style w:type="paragraph" w:styleId="a9">
    <w:name w:val="header"/>
    <w:basedOn w:val="a"/>
    <w:link w:val="Char4"/>
    <w:uiPriority w:val="99"/>
    <w:qFormat/>
    <w:rsid w:val="00A83C12"/>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A83C12"/>
    <w:pPr>
      <w:tabs>
        <w:tab w:val="right" w:leader="dot" w:pos="8296"/>
      </w:tabs>
      <w:spacing w:line="360" w:lineRule="auto"/>
    </w:pPr>
    <w:rPr>
      <w:szCs w:val="20"/>
    </w:rPr>
  </w:style>
  <w:style w:type="paragraph" w:styleId="aa">
    <w:name w:val="Subtitle"/>
    <w:basedOn w:val="a"/>
    <w:next w:val="a"/>
    <w:link w:val="Char5"/>
    <w:qFormat/>
    <w:rsid w:val="00A83C12"/>
    <w:pPr>
      <w:spacing w:before="240" w:after="60" w:line="312" w:lineRule="auto"/>
      <w:jc w:val="center"/>
      <w:outlineLvl w:val="1"/>
    </w:pPr>
    <w:rPr>
      <w:rFonts w:ascii="Calibri Light" w:hAnsi="Calibri Light"/>
      <w:b/>
      <w:bCs/>
      <w:kern w:val="28"/>
      <w:sz w:val="32"/>
      <w:szCs w:val="32"/>
    </w:rPr>
  </w:style>
  <w:style w:type="paragraph" w:styleId="ab">
    <w:name w:val="annotation subject"/>
    <w:basedOn w:val="a4"/>
    <w:next w:val="a4"/>
    <w:link w:val="Char6"/>
    <w:uiPriority w:val="99"/>
    <w:qFormat/>
    <w:rsid w:val="00A83C12"/>
    <w:rPr>
      <w:b/>
      <w:bCs/>
    </w:rPr>
  </w:style>
  <w:style w:type="table" w:styleId="ac">
    <w:name w:val="Table Grid"/>
    <w:basedOn w:val="a1"/>
    <w:uiPriority w:val="39"/>
    <w:qFormat/>
    <w:rsid w:val="00A83C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qFormat/>
    <w:rsid w:val="00A83C12"/>
    <w:rPr>
      <w:color w:val="0563C1"/>
      <w:u w:val="single"/>
    </w:rPr>
  </w:style>
  <w:style w:type="character" w:styleId="ae">
    <w:name w:val="annotation reference"/>
    <w:basedOn w:val="a0"/>
    <w:uiPriority w:val="99"/>
    <w:qFormat/>
    <w:rsid w:val="00A83C12"/>
    <w:rPr>
      <w:sz w:val="21"/>
      <w:szCs w:val="21"/>
    </w:rPr>
  </w:style>
  <w:style w:type="paragraph" w:styleId="af">
    <w:name w:val="List Paragraph"/>
    <w:basedOn w:val="a"/>
    <w:uiPriority w:val="34"/>
    <w:qFormat/>
    <w:rsid w:val="00A83C12"/>
    <w:pPr>
      <w:ind w:firstLineChars="200" w:firstLine="420"/>
    </w:pPr>
  </w:style>
  <w:style w:type="character" w:customStyle="1" w:styleId="Char2">
    <w:name w:val="批注框文本 Char"/>
    <w:basedOn w:val="a0"/>
    <w:link w:val="a7"/>
    <w:uiPriority w:val="99"/>
    <w:qFormat/>
    <w:rsid w:val="00A83C12"/>
    <w:rPr>
      <w:rFonts w:ascii="Times New Roman" w:eastAsia="宋体" w:hAnsi="Times New Roman" w:cs="Times New Roman"/>
      <w:sz w:val="18"/>
      <w:szCs w:val="18"/>
    </w:rPr>
  </w:style>
  <w:style w:type="character" w:customStyle="1" w:styleId="Char">
    <w:name w:val="批注文字 Char"/>
    <w:basedOn w:val="a0"/>
    <w:link w:val="a4"/>
    <w:uiPriority w:val="99"/>
    <w:qFormat/>
    <w:rsid w:val="00A83C12"/>
    <w:rPr>
      <w:rFonts w:ascii="Times New Roman" w:eastAsia="宋体" w:hAnsi="Times New Roman" w:cs="Times New Roman"/>
      <w:szCs w:val="24"/>
    </w:rPr>
  </w:style>
  <w:style w:type="character" w:customStyle="1" w:styleId="Char6">
    <w:name w:val="批注主题 Char"/>
    <w:basedOn w:val="Char"/>
    <w:link w:val="ab"/>
    <w:uiPriority w:val="99"/>
    <w:qFormat/>
    <w:rsid w:val="00A83C12"/>
    <w:rPr>
      <w:rFonts w:ascii="Times New Roman" w:eastAsia="宋体" w:hAnsi="Times New Roman" w:cs="Times New Roman"/>
      <w:b/>
      <w:bCs/>
      <w:szCs w:val="24"/>
    </w:rPr>
  </w:style>
  <w:style w:type="character" w:customStyle="1" w:styleId="Char4">
    <w:name w:val="页眉 Char"/>
    <w:basedOn w:val="a0"/>
    <w:link w:val="a9"/>
    <w:uiPriority w:val="99"/>
    <w:qFormat/>
    <w:rsid w:val="00A83C12"/>
    <w:rPr>
      <w:rFonts w:ascii="Times New Roman" w:eastAsia="宋体" w:hAnsi="Times New Roman" w:cs="Times New Roman"/>
      <w:sz w:val="18"/>
      <w:szCs w:val="18"/>
    </w:rPr>
  </w:style>
  <w:style w:type="character" w:customStyle="1" w:styleId="Char3">
    <w:name w:val="页脚 Char"/>
    <w:basedOn w:val="a0"/>
    <w:link w:val="a8"/>
    <w:uiPriority w:val="99"/>
    <w:qFormat/>
    <w:rsid w:val="00A83C12"/>
    <w:rPr>
      <w:rFonts w:ascii="Times New Roman" w:eastAsia="宋体" w:hAnsi="Times New Roman" w:cs="Times New Roman"/>
      <w:sz w:val="18"/>
      <w:szCs w:val="18"/>
    </w:rPr>
  </w:style>
  <w:style w:type="character" w:customStyle="1" w:styleId="Char5">
    <w:name w:val="副标题 Char"/>
    <w:basedOn w:val="a0"/>
    <w:link w:val="aa"/>
    <w:qFormat/>
    <w:rsid w:val="00A83C12"/>
    <w:rPr>
      <w:rFonts w:ascii="Calibri Light" w:eastAsia="宋体" w:hAnsi="Calibri Light" w:cs="Times New Roman"/>
      <w:b/>
      <w:bCs/>
      <w:kern w:val="28"/>
      <w:sz w:val="32"/>
      <w:szCs w:val="32"/>
    </w:rPr>
  </w:style>
  <w:style w:type="character" w:customStyle="1" w:styleId="Char1">
    <w:name w:val="纯文本 Char"/>
    <w:basedOn w:val="a0"/>
    <w:link w:val="a6"/>
    <w:qFormat/>
    <w:rsid w:val="00A83C12"/>
    <w:rPr>
      <w:rFonts w:ascii="宋体" w:eastAsia="宋体" w:hAnsi="Courier New" w:cs="Courier New"/>
      <w:szCs w:val="21"/>
    </w:rPr>
  </w:style>
  <w:style w:type="paragraph" w:customStyle="1" w:styleId="11">
    <w:name w:val="修订1"/>
    <w:uiPriority w:val="99"/>
    <w:qFormat/>
    <w:rsid w:val="00A83C12"/>
    <w:rPr>
      <w:kern w:val="2"/>
      <w:sz w:val="21"/>
      <w:szCs w:val="24"/>
    </w:rPr>
  </w:style>
  <w:style w:type="character" w:customStyle="1" w:styleId="1Char">
    <w:name w:val="标题 1 Char"/>
    <w:basedOn w:val="a0"/>
    <w:link w:val="1"/>
    <w:qFormat/>
    <w:rsid w:val="00A83C12"/>
    <w:rPr>
      <w:rFonts w:ascii="宋体" w:eastAsia="宋体" w:hAnsi="Times New Roman" w:cs="Times New Roman"/>
      <w:b/>
      <w:color w:val="000000"/>
      <w:kern w:val="0"/>
      <w:sz w:val="24"/>
      <w:szCs w:val="20"/>
    </w:rPr>
  </w:style>
  <w:style w:type="character" w:customStyle="1" w:styleId="2Char">
    <w:name w:val="标题 2 Char"/>
    <w:basedOn w:val="a0"/>
    <w:link w:val="2"/>
    <w:qFormat/>
    <w:rsid w:val="00A83C12"/>
    <w:rPr>
      <w:rFonts w:ascii="Calibri Light" w:eastAsia="宋体" w:hAnsi="Calibri Light" w:cs="宋体"/>
      <w:b/>
      <w:bCs/>
      <w:sz w:val="32"/>
      <w:szCs w:val="32"/>
    </w:rPr>
  </w:style>
  <w:style w:type="character" w:customStyle="1" w:styleId="Char0">
    <w:name w:val="正文文本缩进 Char"/>
    <w:basedOn w:val="a0"/>
    <w:link w:val="a5"/>
    <w:qFormat/>
    <w:rsid w:val="00A83C12"/>
    <w:rPr>
      <w:rFonts w:ascii="仿宋_GB2312" w:eastAsia="仿宋_GB2312" w:hAnsi="宋体" w:cs="Times New Roman"/>
      <w:color w:val="000000"/>
      <w:sz w:val="28"/>
      <w:szCs w:val="24"/>
    </w:rPr>
  </w:style>
  <w:style w:type="paragraph" w:customStyle="1" w:styleId="20">
    <w:name w:val="修订2"/>
    <w:hidden/>
    <w:uiPriority w:val="99"/>
    <w:unhideWhenUsed/>
    <w:qFormat/>
    <w:rsid w:val="00A83C12"/>
    <w:rPr>
      <w:kern w:val="2"/>
      <w:sz w:val="21"/>
      <w:szCs w:val="24"/>
    </w:rPr>
  </w:style>
</w:styles>
</file>

<file path=word/webSettings.xml><?xml version="1.0" encoding="utf-8"?>
<w:webSettings xmlns:r="http://schemas.openxmlformats.org/officeDocument/2006/relationships" xmlns:w="http://schemas.openxmlformats.org/wordprocessingml/2006/main">
  <w:divs>
    <w:div w:id="118688918">
      <w:bodyDiv w:val="1"/>
      <w:marLeft w:val="0"/>
      <w:marRight w:val="0"/>
      <w:marTop w:val="0"/>
      <w:marBottom w:val="0"/>
      <w:divBdr>
        <w:top w:val="none" w:sz="0" w:space="0" w:color="auto"/>
        <w:left w:val="none" w:sz="0" w:space="0" w:color="auto"/>
        <w:bottom w:val="none" w:sz="0" w:space="0" w:color="auto"/>
        <w:right w:val="none" w:sz="0" w:space="0" w:color="auto"/>
      </w:divBdr>
    </w:div>
    <w:div w:id="395861375">
      <w:bodyDiv w:val="1"/>
      <w:marLeft w:val="0"/>
      <w:marRight w:val="0"/>
      <w:marTop w:val="0"/>
      <w:marBottom w:val="0"/>
      <w:divBdr>
        <w:top w:val="none" w:sz="0" w:space="0" w:color="auto"/>
        <w:left w:val="none" w:sz="0" w:space="0" w:color="auto"/>
        <w:bottom w:val="none" w:sz="0" w:space="0" w:color="auto"/>
        <w:right w:val="none" w:sz="0" w:space="0" w:color="auto"/>
      </w:divBdr>
    </w:div>
    <w:div w:id="1397508417">
      <w:bodyDiv w:val="1"/>
      <w:marLeft w:val="0"/>
      <w:marRight w:val="0"/>
      <w:marTop w:val="0"/>
      <w:marBottom w:val="0"/>
      <w:divBdr>
        <w:top w:val="none" w:sz="0" w:space="0" w:color="auto"/>
        <w:left w:val="none" w:sz="0" w:space="0" w:color="auto"/>
        <w:bottom w:val="none" w:sz="0" w:space="0" w:color="auto"/>
        <w:right w:val="none" w:sz="0" w:space="0" w:color="auto"/>
      </w:divBdr>
    </w:div>
    <w:div w:id="1648127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1570</Words>
  <Characters>8954</Characters>
  <Application>Microsoft Office Word</Application>
  <DocSecurity>4</DocSecurity>
  <Lines>74</Lines>
  <Paragraphs>21</Paragraphs>
  <ScaleCrop>false</ScaleCrop>
  <Company/>
  <LinksUpToDate>false</LinksUpToDate>
  <CharactersWithSpaces>10503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csrc</dc:creator>
  <cp:keywords/>
  <dc:description/>
  <cp:lastModifiedBy>ZHONGM</cp:lastModifiedBy>
  <cp:revision>2</cp:revision>
  <dcterms:created xsi:type="dcterms:W3CDTF">2026-04-30T16:02:00Z</dcterms:created>
  <dcterms:modified xsi:type="dcterms:W3CDTF">2026-04-30T16:02:00Z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54BDEA515E77856E26A1E1699C854B3A</vt:lpwstr>
  </property>
</Properties>
</file>