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680" w:rsidRPr="00163F5E" w:rsidRDefault="00494680">
      <w:pPr>
        <w:adjustRightInd w:val="0"/>
        <w:snapToGrid w:val="0"/>
        <w:spacing w:line="460" w:lineRule="exact"/>
        <w:ind w:rightChars="40" w:right="84"/>
        <w:jc w:val="center"/>
        <w:rPr>
          <w:b/>
          <w:sz w:val="28"/>
          <w:szCs w:val="28"/>
        </w:rPr>
      </w:pPr>
      <w:bookmarkStart w:id="0" w:name="_GoBack"/>
      <w:bookmarkStart w:id="1" w:name="OLE_LINK6"/>
      <w:bookmarkStart w:id="2" w:name="OLE_LINK4"/>
      <w:bookmarkStart w:id="3" w:name="OLE_LINK7"/>
      <w:bookmarkStart w:id="4" w:name="OLE_LINK5"/>
      <w:bookmarkEnd w:id="0"/>
    </w:p>
    <w:p w:rsidR="00494680" w:rsidRPr="00163F5E" w:rsidRDefault="00BF18A0">
      <w:pPr>
        <w:adjustRightInd w:val="0"/>
        <w:snapToGrid w:val="0"/>
        <w:spacing w:line="460" w:lineRule="exact"/>
        <w:ind w:rightChars="40" w:right="84"/>
        <w:jc w:val="center"/>
        <w:rPr>
          <w:b/>
          <w:sz w:val="28"/>
          <w:szCs w:val="28"/>
        </w:rPr>
      </w:pPr>
      <w:r w:rsidRPr="00163F5E">
        <w:rPr>
          <w:rFonts w:hint="eastAsia"/>
          <w:b/>
          <w:sz w:val="28"/>
          <w:szCs w:val="28"/>
        </w:rPr>
        <w:t>华夏</w:t>
      </w:r>
      <w:r w:rsidR="00E449CB" w:rsidRPr="00163F5E">
        <w:rPr>
          <w:b/>
          <w:sz w:val="28"/>
          <w:szCs w:val="28"/>
        </w:rPr>
        <w:t>基金管理有限公司关于旗下部分基金调整业绩比较基准</w:t>
      </w:r>
    </w:p>
    <w:p w:rsidR="00494680" w:rsidRPr="00163F5E" w:rsidRDefault="00E449CB">
      <w:pPr>
        <w:adjustRightInd w:val="0"/>
        <w:snapToGrid w:val="0"/>
        <w:spacing w:line="460" w:lineRule="exact"/>
        <w:ind w:rightChars="40" w:right="84"/>
        <w:jc w:val="center"/>
        <w:rPr>
          <w:b/>
          <w:szCs w:val="21"/>
        </w:rPr>
      </w:pPr>
      <w:r w:rsidRPr="00163F5E">
        <w:rPr>
          <w:b/>
          <w:kern w:val="0"/>
          <w:sz w:val="28"/>
          <w:szCs w:val="28"/>
        </w:rPr>
        <w:t>并</w:t>
      </w:r>
      <w:r w:rsidRPr="00163F5E">
        <w:rPr>
          <w:b/>
          <w:sz w:val="28"/>
          <w:szCs w:val="28"/>
        </w:rPr>
        <w:t>修订基金合同</w:t>
      </w:r>
      <w:r w:rsidRPr="00163F5E">
        <w:rPr>
          <w:rFonts w:hint="eastAsia"/>
          <w:b/>
          <w:sz w:val="28"/>
          <w:szCs w:val="28"/>
        </w:rPr>
        <w:t>等法律文件</w:t>
      </w:r>
      <w:r w:rsidRPr="00163F5E">
        <w:rPr>
          <w:b/>
          <w:sz w:val="28"/>
          <w:szCs w:val="28"/>
        </w:rPr>
        <w:t>的公告</w:t>
      </w:r>
    </w:p>
    <w:p w:rsidR="00494680" w:rsidRPr="00163F5E" w:rsidRDefault="00494680">
      <w:pPr>
        <w:pStyle w:val="af"/>
        <w:adjustRightInd w:val="0"/>
        <w:snapToGrid w:val="0"/>
        <w:spacing w:line="460" w:lineRule="exact"/>
        <w:ind w:firstLine="480"/>
        <w:rPr>
          <w:sz w:val="24"/>
        </w:rPr>
      </w:pPr>
    </w:p>
    <w:p w:rsidR="00494680" w:rsidRPr="00163F5E" w:rsidRDefault="00E449CB">
      <w:pPr>
        <w:adjustRightInd w:val="0"/>
        <w:snapToGrid w:val="0"/>
        <w:spacing w:line="460" w:lineRule="exact"/>
        <w:ind w:firstLineChars="200" w:firstLine="480"/>
        <w:rPr>
          <w:sz w:val="24"/>
        </w:rPr>
      </w:pPr>
      <w:r w:rsidRPr="00163F5E">
        <w:rPr>
          <w:rFonts w:hint="eastAsia"/>
          <w:bCs/>
          <w:sz w:val="24"/>
        </w:rPr>
        <w:t>根据</w:t>
      </w:r>
      <w:r w:rsidRPr="00163F5E">
        <w:rPr>
          <w:bCs/>
          <w:sz w:val="24"/>
        </w:rPr>
        <w:t>《公开募集证券投资基金业绩比较基准指引》</w:t>
      </w:r>
      <w:r w:rsidRPr="00163F5E">
        <w:rPr>
          <w:rFonts w:hint="eastAsia"/>
          <w:bCs/>
          <w:sz w:val="24"/>
        </w:rPr>
        <w:t>的相关规定</w:t>
      </w:r>
      <w:r w:rsidRPr="00163F5E">
        <w:rPr>
          <w:bCs/>
          <w:sz w:val="24"/>
        </w:rPr>
        <w:t>，</w:t>
      </w:r>
      <w:r w:rsidRPr="00163F5E">
        <w:rPr>
          <w:rFonts w:hint="eastAsia"/>
          <w:bCs/>
          <w:sz w:val="24"/>
        </w:rPr>
        <w:t>为</w:t>
      </w:r>
      <w:r w:rsidRPr="00163F5E">
        <w:rPr>
          <w:bCs/>
          <w:sz w:val="24"/>
        </w:rPr>
        <w:t>更好地反映基金</w:t>
      </w:r>
      <w:r w:rsidRPr="00163F5E">
        <w:rPr>
          <w:rFonts w:hint="eastAsia"/>
          <w:bCs/>
          <w:sz w:val="24"/>
        </w:rPr>
        <w:t>投资风格</w:t>
      </w:r>
      <w:r w:rsidRPr="00163F5E">
        <w:rPr>
          <w:bCs/>
          <w:sz w:val="24"/>
        </w:rPr>
        <w:t>，提高基金业绩表现与业绩比较基准的可比性，</w:t>
      </w:r>
      <w:r w:rsidRPr="00163F5E">
        <w:rPr>
          <w:sz w:val="24"/>
        </w:rPr>
        <w:t>经与各基金托管人协商一致，</w:t>
      </w:r>
      <w:r w:rsidR="0095382A" w:rsidRPr="00163F5E">
        <w:rPr>
          <w:rFonts w:hint="eastAsia"/>
          <w:sz w:val="24"/>
        </w:rPr>
        <w:t>华夏</w:t>
      </w:r>
      <w:r w:rsidRPr="00163F5E">
        <w:rPr>
          <w:sz w:val="24"/>
        </w:rPr>
        <w:t>基金管理有限公司（以下简称</w:t>
      </w:r>
      <w:r w:rsidRPr="00163F5E">
        <w:rPr>
          <w:rFonts w:hint="eastAsia"/>
          <w:sz w:val="24"/>
        </w:rPr>
        <w:t>“</w:t>
      </w:r>
      <w:r w:rsidRPr="00163F5E">
        <w:rPr>
          <w:sz w:val="24"/>
        </w:rPr>
        <w:t>基金管理人</w:t>
      </w:r>
      <w:r w:rsidRPr="00163F5E">
        <w:rPr>
          <w:rFonts w:hint="eastAsia"/>
          <w:sz w:val="24"/>
        </w:rPr>
        <w:t>”</w:t>
      </w:r>
      <w:r w:rsidRPr="00163F5E">
        <w:rPr>
          <w:sz w:val="24"/>
        </w:rPr>
        <w:t>）决定自</w:t>
      </w:r>
      <w:r w:rsidRPr="00163F5E">
        <w:rPr>
          <w:rFonts w:hint="eastAsia"/>
          <w:sz w:val="24"/>
        </w:rPr>
        <w:t>2</w:t>
      </w:r>
      <w:r w:rsidRPr="00163F5E">
        <w:rPr>
          <w:sz w:val="24"/>
        </w:rPr>
        <w:t>026</w:t>
      </w:r>
      <w:r w:rsidRPr="00163F5E">
        <w:rPr>
          <w:sz w:val="24"/>
        </w:rPr>
        <w:t>年</w:t>
      </w:r>
      <w:r w:rsidR="0095382A" w:rsidRPr="00163F5E">
        <w:rPr>
          <w:sz w:val="24"/>
        </w:rPr>
        <w:t>6</w:t>
      </w:r>
      <w:r w:rsidRPr="00163F5E">
        <w:rPr>
          <w:rFonts w:hint="eastAsia"/>
          <w:sz w:val="24"/>
        </w:rPr>
        <w:t>月</w:t>
      </w:r>
      <w:r w:rsidR="0095382A" w:rsidRPr="00163F5E">
        <w:rPr>
          <w:sz w:val="24"/>
        </w:rPr>
        <w:t>1</w:t>
      </w:r>
      <w:r w:rsidRPr="00163F5E">
        <w:rPr>
          <w:rFonts w:hint="eastAsia"/>
          <w:sz w:val="24"/>
        </w:rPr>
        <w:t>日起</w:t>
      </w:r>
      <w:r w:rsidRPr="00163F5E">
        <w:rPr>
          <w:sz w:val="24"/>
        </w:rPr>
        <w:t>调整旗下部分基金的</w:t>
      </w:r>
      <w:r w:rsidRPr="00163F5E">
        <w:rPr>
          <w:bCs/>
          <w:sz w:val="24"/>
        </w:rPr>
        <w:t>业绩比较基准并对基金合同</w:t>
      </w:r>
      <w:r w:rsidRPr="00163F5E">
        <w:rPr>
          <w:rFonts w:hint="eastAsia"/>
          <w:bCs/>
          <w:sz w:val="24"/>
        </w:rPr>
        <w:t>等法律文件</w:t>
      </w:r>
      <w:r w:rsidRPr="00163F5E">
        <w:rPr>
          <w:bCs/>
          <w:sz w:val="24"/>
        </w:rPr>
        <w:t>有关条款进行修订。</w:t>
      </w:r>
      <w:r w:rsidRPr="00163F5E">
        <w:rPr>
          <w:sz w:val="24"/>
        </w:rPr>
        <w:t>现将相关事宜公告如下：</w:t>
      </w:r>
    </w:p>
    <w:p w:rsidR="00494680" w:rsidRPr="00163F5E" w:rsidRDefault="00E449CB">
      <w:pPr>
        <w:pStyle w:val="a6"/>
        <w:adjustRightInd w:val="0"/>
        <w:snapToGrid w:val="0"/>
        <w:spacing w:line="460" w:lineRule="exact"/>
        <w:ind w:firstLineChars="200" w:firstLine="482"/>
        <w:rPr>
          <w:rFonts w:ascii="Times New Roman" w:hAnsi="Times New Roman" w:cs="Times New Roman"/>
          <w:b/>
          <w:bCs/>
          <w:sz w:val="24"/>
          <w:szCs w:val="24"/>
        </w:rPr>
      </w:pPr>
      <w:r w:rsidRPr="00163F5E">
        <w:rPr>
          <w:rFonts w:ascii="Times New Roman" w:hAnsi="Times New Roman" w:cs="Times New Roman"/>
          <w:b/>
          <w:bCs/>
          <w:sz w:val="24"/>
          <w:szCs w:val="24"/>
        </w:rPr>
        <w:t>一、</w:t>
      </w:r>
      <w:r w:rsidRPr="00163F5E">
        <w:rPr>
          <w:rFonts w:ascii="Times New Roman" w:hAnsi="Times New Roman" w:cs="Times New Roman" w:hint="eastAsia"/>
          <w:b/>
          <w:bCs/>
          <w:sz w:val="24"/>
          <w:szCs w:val="24"/>
        </w:rPr>
        <w:t>业绩比较基准调整情况</w:t>
      </w:r>
    </w:p>
    <w:p w:rsidR="00494680" w:rsidRPr="00163F5E" w:rsidRDefault="00E449CB">
      <w:pPr>
        <w:pStyle w:val="a6"/>
        <w:adjustRightInd w:val="0"/>
        <w:snapToGrid w:val="0"/>
        <w:spacing w:line="460" w:lineRule="exact"/>
        <w:ind w:firstLineChars="200" w:firstLine="480"/>
        <w:rPr>
          <w:rFonts w:ascii="Times New Roman" w:hAnsi="Times New Roman" w:cs="Times New Roman"/>
          <w:bCs/>
          <w:sz w:val="24"/>
          <w:szCs w:val="24"/>
        </w:rPr>
      </w:pPr>
      <w:r w:rsidRPr="00163F5E">
        <w:rPr>
          <w:rFonts w:ascii="Times New Roman" w:hAnsi="Times New Roman" w:cs="Times New Roman"/>
          <w:bCs/>
          <w:sz w:val="24"/>
          <w:szCs w:val="24"/>
        </w:rPr>
        <w:t>本次调整业绩比较基准的基金及调整前后的业绩比较基准情况如下：</w:t>
      </w:r>
    </w:p>
    <w:tbl>
      <w:tblPr>
        <w:tblStyle w:val="ac"/>
        <w:tblW w:w="8120" w:type="dxa"/>
        <w:jc w:val="center"/>
        <w:tblLook w:val="04A0"/>
      </w:tblPr>
      <w:tblGrid>
        <w:gridCol w:w="704"/>
        <w:gridCol w:w="1356"/>
        <w:gridCol w:w="3028"/>
        <w:gridCol w:w="3032"/>
      </w:tblGrid>
      <w:tr w:rsidR="00163F5E" w:rsidRPr="00163F5E" w:rsidTr="00163F5E">
        <w:trPr>
          <w:trHeight w:val="376"/>
          <w:jc w:val="center"/>
        </w:trPr>
        <w:tc>
          <w:tcPr>
            <w:tcW w:w="704" w:type="dxa"/>
            <w:vAlign w:val="center"/>
          </w:tcPr>
          <w:p w:rsidR="00494680" w:rsidRPr="00163F5E" w:rsidRDefault="00E449CB">
            <w:pPr>
              <w:pStyle w:val="af"/>
              <w:adjustRightInd w:val="0"/>
              <w:snapToGrid w:val="0"/>
              <w:spacing w:line="460" w:lineRule="exact"/>
              <w:ind w:firstLineChars="0" w:firstLine="0"/>
              <w:jc w:val="center"/>
              <w:rPr>
                <w:szCs w:val="21"/>
              </w:rPr>
            </w:pPr>
            <w:r w:rsidRPr="00163F5E">
              <w:rPr>
                <w:szCs w:val="21"/>
              </w:rPr>
              <w:t>序号</w:t>
            </w:r>
          </w:p>
        </w:tc>
        <w:tc>
          <w:tcPr>
            <w:tcW w:w="1356" w:type="dxa"/>
            <w:vAlign w:val="center"/>
          </w:tcPr>
          <w:p w:rsidR="00494680" w:rsidRPr="00163F5E" w:rsidRDefault="00E449CB">
            <w:pPr>
              <w:pStyle w:val="af"/>
              <w:adjustRightInd w:val="0"/>
              <w:snapToGrid w:val="0"/>
              <w:spacing w:line="460" w:lineRule="exact"/>
              <w:ind w:firstLineChars="0" w:firstLine="0"/>
              <w:jc w:val="center"/>
              <w:rPr>
                <w:szCs w:val="21"/>
              </w:rPr>
            </w:pPr>
            <w:r w:rsidRPr="00163F5E">
              <w:rPr>
                <w:szCs w:val="21"/>
              </w:rPr>
              <w:t>基金全称</w:t>
            </w:r>
          </w:p>
        </w:tc>
        <w:tc>
          <w:tcPr>
            <w:tcW w:w="3028" w:type="dxa"/>
            <w:vAlign w:val="center"/>
          </w:tcPr>
          <w:p w:rsidR="00494680" w:rsidRPr="00163F5E" w:rsidRDefault="00E449CB">
            <w:pPr>
              <w:pStyle w:val="af"/>
              <w:adjustRightInd w:val="0"/>
              <w:snapToGrid w:val="0"/>
              <w:spacing w:line="460" w:lineRule="exact"/>
              <w:ind w:firstLineChars="0" w:firstLine="0"/>
              <w:jc w:val="center"/>
              <w:rPr>
                <w:szCs w:val="21"/>
              </w:rPr>
            </w:pPr>
            <w:r w:rsidRPr="00163F5E">
              <w:rPr>
                <w:szCs w:val="21"/>
              </w:rPr>
              <w:t>原基金合同业绩比较基准</w:t>
            </w:r>
          </w:p>
        </w:tc>
        <w:tc>
          <w:tcPr>
            <w:tcW w:w="3032" w:type="dxa"/>
            <w:vAlign w:val="center"/>
          </w:tcPr>
          <w:p w:rsidR="00494680" w:rsidRPr="00163F5E" w:rsidRDefault="00E449CB">
            <w:pPr>
              <w:pStyle w:val="af"/>
              <w:adjustRightInd w:val="0"/>
              <w:snapToGrid w:val="0"/>
              <w:spacing w:line="460" w:lineRule="exact"/>
              <w:ind w:firstLineChars="0" w:firstLine="0"/>
              <w:jc w:val="center"/>
              <w:rPr>
                <w:b/>
                <w:szCs w:val="21"/>
              </w:rPr>
            </w:pPr>
            <w:r w:rsidRPr="00163F5E">
              <w:rPr>
                <w:rFonts w:hint="eastAsia"/>
                <w:b/>
                <w:szCs w:val="21"/>
              </w:rPr>
              <w:t>调整后的新业绩比较基准</w:t>
            </w:r>
          </w:p>
        </w:tc>
      </w:tr>
      <w:tr w:rsidR="00163F5E" w:rsidRPr="00163F5E" w:rsidTr="00163F5E">
        <w:trPr>
          <w:trHeight w:val="370"/>
          <w:jc w:val="center"/>
        </w:trPr>
        <w:tc>
          <w:tcPr>
            <w:tcW w:w="704" w:type="dxa"/>
            <w:vAlign w:val="center"/>
          </w:tcPr>
          <w:p w:rsidR="004C63A8" w:rsidRPr="00163F5E" w:rsidRDefault="004C63A8" w:rsidP="004C63A8">
            <w:pPr>
              <w:pStyle w:val="af"/>
              <w:adjustRightInd w:val="0"/>
              <w:snapToGrid w:val="0"/>
              <w:spacing w:line="460" w:lineRule="exact"/>
              <w:ind w:firstLineChars="0" w:firstLine="0"/>
              <w:jc w:val="center"/>
              <w:rPr>
                <w:szCs w:val="21"/>
              </w:rPr>
            </w:pPr>
            <w:r w:rsidRPr="00163F5E">
              <w:rPr>
                <w:szCs w:val="21"/>
              </w:rPr>
              <w:t>1</w:t>
            </w:r>
          </w:p>
        </w:tc>
        <w:tc>
          <w:tcPr>
            <w:tcW w:w="1356" w:type="dxa"/>
            <w:shd w:val="clear" w:color="auto" w:fill="auto"/>
            <w:vAlign w:val="center"/>
          </w:tcPr>
          <w:p w:rsidR="004C63A8" w:rsidRPr="00163F5E" w:rsidRDefault="004C63A8" w:rsidP="004C63A8">
            <w:pPr>
              <w:pStyle w:val="af"/>
              <w:adjustRightInd w:val="0"/>
              <w:snapToGrid w:val="0"/>
              <w:spacing w:line="460" w:lineRule="exact"/>
              <w:ind w:firstLineChars="0" w:firstLine="0"/>
              <w:jc w:val="center"/>
              <w:rPr>
                <w:szCs w:val="21"/>
              </w:rPr>
            </w:pPr>
            <w:r w:rsidRPr="00163F5E">
              <w:rPr>
                <w:rFonts w:hint="eastAsia"/>
                <w:szCs w:val="21"/>
              </w:rPr>
              <w:t>华夏消费升级灵活配置混合型证券投资基金</w:t>
            </w:r>
          </w:p>
        </w:tc>
        <w:tc>
          <w:tcPr>
            <w:tcW w:w="3028" w:type="dxa"/>
            <w:shd w:val="clear" w:color="auto" w:fill="auto"/>
            <w:vAlign w:val="center"/>
          </w:tcPr>
          <w:p w:rsidR="004C63A8" w:rsidRPr="00163F5E" w:rsidRDefault="004C63A8" w:rsidP="004C63A8">
            <w:pPr>
              <w:pStyle w:val="af"/>
              <w:adjustRightInd w:val="0"/>
              <w:snapToGrid w:val="0"/>
              <w:spacing w:line="460" w:lineRule="exact"/>
              <w:ind w:firstLineChars="0" w:firstLine="0"/>
              <w:jc w:val="center"/>
              <w:rPr>
                <w:szCs w:val="21"/>
              </w:rPr>
            </w:pPr>
            <w:r w:rsidRPr="00163F5E">
              <w:rPr>
                <w:rFonts w:hint="eastAsia"/>
                <w:szCs w:val="21"/>
              </w:rPr>
              <w:t>中证内地消费主题指数收益率</w:t>
            </w:r>
            <w:r w:rsidR="004C5DF0" w:rsidRPr="00163F5E">
              <w:rPr>
                <w:rFonts w:hint="eastAsia"/>
                <w:szCs w:val="21"/>
              </w:rPr>
              <w:t>×</w:t>
            </w:r>
            <w:r w:rsidRPr="00163F5E">
              <w:rPr>
                <w:rFonts w:hint="eastAsia"/>
                <w:szCs w:val="21"/>
              </w:rPr>
              <w:t>50%+</w:t>
            </w:r>
            <w:r w:rsidRPr="00163F5E">
              <w:rPr>
                <w:rFonts w:hint="eastAsia"/>
                <w:szCs w:val="21"/>
              </w:rPr>
              <w:t>上证国债指数收益率</w:t>
            </w:r>
            <w:r w:rsidR="004C5DF0" w:rsidRPr="00163F5E">
              <w:rPr>
                <w:rFonts w:hint="eastAsia"/>
                <w:szCs w:val="21"/>
              </w:rPr>
              <w:t>×</w:t>
            </w:r>
            <w:r w:rsidRPr="00163F5E">
              <w:rPr>
                <w:rFonts w:hint="eastAsia"/>
                <w:szCs w:val="21"/>
              </w:rPr>
              <w:t>50%</w:t>
            </w:r>
          </w:p>
        </w:tc>
        <w:tc>
          <w:tcPr>
            <w:tcW w:w="3032" w:type="dxa"/>
            <w:shd w:val="clear" w:color="auto" w:fill="auto"/>
            <w:vAlign w:val="center"/>
          </w:tcPr>
          <w:p w:rsidR="004C63A8" w:rsidRPr="00163F5E" w:rsidRDefault="004C63A8" w:rsidP="004C63A8">
            <w:pPr>
              <w:pStyle w:val="af"/>
              <w:adjustRightInd w:val="0"/>
              <w:snapToGrid w:val="0"/>
              <w:spacing w:line="460" w:lineRule="exact"/>
              <w:ind w:firstLineChars="0" w:firstLine="0"/>
              <w:jc w:val="center"/>
              <w:rPr>
                <w:b/>
                <w:szCs w:val="21"/>
              </w:rPr>
            </w:pPr>
            <w:r w:rsidRPr="00163F5E">
              <w:rPr>
                <w:rFonts w:hint="eastAsia"/>
                <w:b/>
                <w:szCs w:val="21"/>
              </w:rPr>
              <w:t>中证内地消费主题指数收益率</w:t>
            </w:r>
            <w:r w:rsidRPr="00163F5E">
              <w:rPr>
                <w:b/>
                <w:szCs w:val="21"/>
              </w:rPr>
              <w:t>*90%+</w:t>
            </w:r>
            <w:r w:rsidRPr="00163F5E">
              <w:rPr>
                <w:rFonts w:hint="eastAsia"/>
                <w:b/>
                <w:szCs w:val="21"/>
              </w:rPr>
              <w:t>上证国债指数收益率</w:t>
            </w:r>
            <w:r w:rsidRPr="00163F5E">
              <w:rPr>
                <w:b/>
                <w:szCs w:val="21"/>
              </w:rPr>
              <w:t>*10%</w:t>
            </w:r>
          </w:p>
        </w:tc>
      </w:tr>
      <w:tr w:rsidR="00163F5E" w:rsidRPr="00163F5E" w:rsidTr="00163F5E">
        <w:trPr>
          <w:trHeight w:val="376"/>
          <w:jc w:val="center"/>
        </w:trPr>
        <w:tc>
          <w:tcPr>
            <w:tcW w:w="704" w:type="dxa"/>
            <w:vAlign w:val="center"/>
          </w:tcPr>
          <w:p w:rsidR="004C63A8" w:rsidRPr="00163F5E" w:rsidRDefault="004C63A8" w:rsidP="004C63A8">
            <w:pPr>
              <w:pStyle w:val="af"/>
              <w:adjustRightInd w:val="0"/>
              <w:snapToGrid w:val="0"/>
              <w:spacing w:line="460" w:lineRule="exact"/>
              <w:ind w:firstLineChars="0" w:firstLine="0"/>
              <w:jc w:val="center"/>
              <w:rPr>
                <w:szCs w:val="21"/>
              </w:rPr>
            </w:pPr>
            <w:r w:rsidRPr="00163F5E">
              <w:rPr>
                <w:szCs w:val="21"/>
              </w:rPr>
              <w:t>2</w:t>
            </w:r>
          </w:p>
        </w:tc>
        <w:tc>
          <w:tcPr>
            <w:tcW w:w="1356" w:type="dxa"/>
            <w:shd w:val="clear" w:color="auto" w:fill="auto"/>
            <w:vAlign w:val="center"/>
          </w:tcPr>
          <w:p w:rsidR="004C63A8" w:rsidRPr="00163F5E" w:rsidRDefault="004C63A8" w:rsidP="004C63A8">
            <w:pPr>
              <w:pStyle w:val="af"/>
              <w:adjustRightInd w:val="0"/>
              <w:snapToGrid w:val="0"/>
              <w:spacing w:line="460" w:lineRule="exact"/>
              <w:ind w:firstLineChars="0" w:firstLine="0"/>
              <w:jc w:val="center"/>
              <w:rPr>
                <w:szCs w:val="21"/>
              </w:rPr>
            </w:pPr>
            <w:r w:rsidRPr="00163F5E">
              <w:rPr>
                <w:rFonts w:hint="eastAsia"/>
                <w:szCs w:val="21"/>
              </w:rPr>
              <w:t>华夏医疗健康混合型发起式证券投资基金</w:t>
            </w:r>
          </w:p>
        </w:tc>
        <w:tc>
          <w:tcPr>
            <w:tcW w:w="3028" w:type="dxa"/>
            <w:shd w:val="clear" w:color="auto" w:fill="auto"/>
            <w:vAlign w:val="center"/>
          </w:tcPr>
          <w:p w:rsidR="004C63A8" w:rsidRPr="00163F5E" w:rsidRDefault="004C63A8" w:rsidP="004C63A8">
            <w:pPr>
              <w:pStyle w:val="af"/>
              <w:adjustRightInd w:val="0"/>
              <w:snapToGrid w:val="0"/>
              <w:spacing w:line="460" w:lineRule="exact"/>
              <w:ind w:firstLineChars="0" w:firstLine="0"/>
              <w:jc w:val="center"/>
              <w:rPr>
                <w:szCs w:val="21"/>
              </w:rPr>
            </w:pPr>
            <w:r w:rsidRPr="00163F5E">
              <w:rPr>
                <w:rFonts w:hint="eastAsia"/>
                <w:szCs w:val="21"/>
              </w:rPr>
              <w:t>中证医药卫生指数收益率</w:t>
            </w:r>
            <w:r w:rsidR="004C5DF0" w:rsidRPr="00163F5E">
              <w:rPr>
                <w:rFonts w:hint="eastAsia"/>
                <w:szCs w:val="21"/>
              </w:rPr>
              <w:t>×</w:t>
            </w:r>
            <w:r w:rsidRPr="00163F5E">
              <w:rPr>
                <w:rFonts w:hint="eastAsia"/>
                <w:szCs w:val="21"/>
              </w:rPr>
              <w:t>65%+</w:t>
            </w:r>
            <w:r w:rsidRPr="00163F5E">
              <w:rPr>
                <w:rFonts w:hint="eastAsia"/>
                <w:szCs w:val="21"/>
              </w:rPr>
              <w:t>上证国债指数收益率</w:t>
            </w:r>
            <w:r w:rsidR="004C5DF0" w:rsidRPr="00163F5E">
              <w:rPr>
                <w:rFonts w:hint="eastAsia"/>
                <w:szCs w:val="21"/>
              </w:rPr>
              <w:t>×</w:t>
            </w:r>
            <w:r w:rsidRPr="00163F5E">
              <w:rPr>
                <w:rFonts w:hint="eastAsia"/>
                <w:szCs w:val="21"/>
              </w:rPr>
              <w:t>35%</w:t>
            </w:r>
          </w:p>
        </w:tc>
        <w:tc>
          <w:tcPr>
            <w:tcW w:w="3032" w:type="dxa"/>
            <w:shd w:val="clear" w:color="auto" w:fill="auto"/>
            <w:vAlign w:val="center"/>
          </w:tcPr>
          <w:p w:rsidR="004C63A8" w:rsidRPr="00163F5E" w:rsidRDefault="004C63A8" w:rsidP="004C63A8">
            <w:pPr>
              <w:pStyle w:val="af"/>
              <w:adjustRightInd w:val="0"/>
              <w:snapToGrid w:val="0"/>
              <w:spacing w:line="460" w:lineRule="exact"/>
              <w:ind w:firstLineChars="0" w:firstLine="0"/>
              <w:jc w:val="center"/>
              <w:rPr>
                <w:b/>
                <w:szCs w:val="21"/>
              </w:rPr>
            </w:pPr>
            <w:r w:rsidRPr="00163F5E">
              <w:rPr>
                <w:rFonts w:hint="eastAsia"/>
                <w:b/>
                <w:szCs w:val="21"/>
              </w:rPr>
              <w:t>中证医药卫生指数收益率</w:t>
            </w:r>
            <w:r w:rsidRPr="00163F5E">
              <w:rPr>
                <w:b/>
                <w:szCs w:val="21"/>
              </w:rPr>
              <w:t>*90%+</w:t>
            </w:r>
            <w:r w:rsidRPr="00163F5E">
              <w:rPr>
                <w:rFonts w:hint="eastAsia"/>
                <w:b/>
                <w:szCs w:val="21"/>
              </w:rPr>
              <w:t>上证国债指数收益率</w:t>
            </w:r>
            <w:r w:rsidRPr="00163F5E">
              <w:rPr>
                <w:b/>
                <w:szCs w:val="21"/>
              </w:rPr>
              <w:t>*10%</w:t>
            </w:r>
          </w:p>
        </w:tc>
      </w:tr>
      <w:tr w:rsidR="00163F5E" w:rsidRPr="00163F5E" w:rsidTr="00163F5E">
        <w:trPr>
          <w:trHeight w:val="376"/>
          <w:jc w:val="center"/>
        </w:trPr>
        <w:tc>
          <w:tcPr>
            <w:tcW w:w="704" w:type="dxa"/>
            <w:vAlign w:val="center"/>
          </w:tcPr>
          <w:p w:rsidR="004C63A8" w:rsidRPr="00163F5E" w:rsidRDefault="004C63A8" w:rsidP="004C63A8">
            <w:pPr>
              <w:pStyle w:val="af"/>
              <w:adjustRightInd w:val="0"/>
              <w:snapToGrid w:val="0"/>
              <w:spacing w:line="460" w:lineRule="exact"/>
              <w:ind w:firstLineChars="0" w:firstLine="0"/>
              <w:jc w:val="center"/>
              <w:rPr>
                <w:szCs w:val="21"/>
              </w:rPr>
            </w:pPr>
            <w:r w:rsidRPr="00163F5E">
              <w:rPr>
                <w:szCs w:val="21"/>
              </w:rPr>
              <w:t>3</w:t>
            </w:r>
          </w:p>
        </w:tc>
        <w:tc>
          <w:tcPr>
            <w:tcW w:w="1356" w:type="dxa"/>
            <w:shd w:val="clear" w:color="auto" w:fill="auto"/>
            <w:vAlign w:val="center"/>
          </w:tcPr>
          <w:p w:rsidR="004C63A8" w:rsidRPr="00163F5E" w:rsidRDefault="004C63A8" w:rsidP="004C63A8">
            <w:pPr>
              <w:pStyle w:val="af"/>
              <w:adjustRightInd w:val="0"/>
              <w:snapToGrid w:val="0"/>
              <w:spacing w:line="460" w:lineRule="exact"/>
              <w:ind w:firstLineChars="0" w:firstLine="0"/>
              <w:jc w:val="center"/>
              <w:rPr>
                <w:szCs w:val="21"/>
              </w:rPr>
            </w:pPr>
            <w:r w:rsidRPr="00163F5E">
              <w:rPr>
                <w:rFonts w:hint="eastAsia"/>
                <w:szCs w:val="21"/>
              </w:rPr>
              <w:t>华夏逸享健康混合型证券投资基金</w:t>
            </w:r>
          </w:p>
        </w:tc>
        <w:tc>
          <w:tcPr>
            <w:tcW w:w="3028" w:type="dxa"/>
            <w:shd w:val="clear" w:color="auto" w:fill="auto"/>
            <w:vAlign w:val="center"/>
          </w:tcPr>
          <w:p w:rsidR="004C63A8" w:rsidRPr="00163F5E" w:rsidRDefault="004C63A8" w:rsidP="004C63A8">
            <w:pPr>
              <w:pStyle w:val="af"/>
              <w:adjustRightInd w:val="0"/>
              <w:snapToGrid w:val="0"/>
              <w:spacing w:line="460" w:lineRule="exact"/>
              <w:ind w:firstLineChars="0" w:firstLine="0"/>
              <w:jc w:val="center"/>
              <w:rPr>
                <w:szCs w:val="21"/>
              </w:rPr>
            </w:pPr>
            <w:r w:rsidRPr="00163F5E">
              <w:rPr>
                <w:rFonts w:hint="eastAsia"/>
                <w:szCs w:val="21"/>
              </w:rPr>
              <w:t>中证医药卫生指数收益率</w:t>
            </w:r>
            <w:r w:rsidRPr="00163F5E">
              <w:rPr>
                <w:rFonts w:hint="eastAsia"/>
                <w:szCs w:val="21"/>
              </w:rPr>
              <w:t>*60%+</w:t>
            </w:r>
            <w:r w:rsidRPr="00163F5E">
              <w:rPr>
                <w:rFonts w:hint="eastAsia"/>
                <w:szCs w:val="21"/>
              </w:rPr>
              <w:t>恒生医疗保健指数收益率</w:t>
            </w:r>
            <w:r w:rsidR="004C5DF0" w:rsidRPr="00163F5E">
              <w:rPr>
                <w:rFonts w:hint="eastAsia"/>
                <w:szCs w:val="21"/>
              </w:rPr>
              <w:t>（</w:t>
            </w:r>
            <w:r w:rsidRPr="00163F5E">
              <w:rPr>
                <w:rFonts w:hint="eastAsia"/>
                <w:szCs w:val="21"/>
              </w:rPr>
              <w:t>使用估值汇率折算</w:t>
            </w:r>
            <w:r w:rsidR="004C5DF0" w:rsidRPr="00163F5E">
              <w:rPr>
                <w:rFonts w:hint="eastAsia"/>
                <w:szCs w:val="21"/>
              </w:rPr>
              <w:t>）</w:t>
            </w:r>
            <w:r w:rsidRPr="00163F5E">
              <w:rPr>
                <w:rFonts w:hint="eastAsia"/>
                <w:szCs w:val="21"/>
              </w:rPr>
              <w:t>*20%+</w:t>
            </w:r>
            <w:r w:rsidRPr="00163F5E">
              <w:rPr>
                <w:rFonts w:hint="eastAsia"/>
                <w:szCs w:val="21"/>
              </w:rPr>
              <w:t>上证国债指数收益率</w:t>
            </w:r>
            <w:r w:rsidRPr="00163F5E">
              <w:rPr>
                <w:rFonts w:hint="eastAsia"/>
                <w:szCs w:val="21"/>
              </w:rPr>
              <w:t>*20%</w:t>
            </w:r>
          </w:p>
        </w:tc>
        <w:tc>
          <w:tcPr>
            <w:tcW w:w="3032" w:type="dxa"/>
            <w:shd w:val="clear" w:color="auto" w:fill="auto"/>
            <w:vAlign w:val="center"/>
          </w:tcPr>
          <w:p w:rsidR="004C63A8" w:rsidRPr="00163F5E" w:rsidRDefault="004C63A8" w:rsidP="004C63A8">
            <w:pPr>
              <w:pStyle w:val="af"/>
              <w:adjustRightInd w:val="0"/>
              <w:snapToGrid w:val="0"/>
              <w:spacing w:line="460" w:lineRule="exact"/>
              <w:ind w:firstLineChars="0" w:firstLine="0"/>
              <w:jc w:val="center"/>
              <w:rPr>
                <w:b/>
                <w:szCs w:val="21"/>
              </w:rPr>
            </w:pPr>
            <w:r w:rsidRPr="00163F5E">
              <w:rPr>
                <w:rFonts w:hint="eastAsia"/>
                <w:b/>
                <w:szCs w:val="21"/>
              </w:rPr>
              <w:t>中证医药卫生指数收益率</w:t>
            </w:r>
            <w:r w:rsidRPr="00163F5E">
              <w:rPr>
                <w:b/>
                <w:szCs w:val="21"/>
              </w:rPr>
              <w:t>*70%+</w:t>
            </w:r>
            <w:r w:rsidRPr="00163F5E">
              <w:rPr>
                <w:rFonts w:hint="eastAsia"/>
                <w:b/>
                <w:szCs w:val="21"/>
              </w:rPr>
              <w:t>恒生医疗保健指数收益率</w:t>
            </w:r>
            <w:r w:rsidRPr="00163F5E">
              <w:rPr>
                <w:b/>
                <w:szCs w:val="21"/>
              </w:rPr>
              <w:t>*20%+</w:t>
            </w:r>
            <w:r w:rsidRPr="00163F5E">
              <w:rPr>
                <w:rFonts w:hint="eastAsia"/>
                <w:b/>
                <w:szCs w:val="21"/>
              </w:rPr>
              <w:t>上证国债指数收益率</w:t>
            </w:r>
            <w:r w:rsidRPr="00163F5E">
              <w:rPr>
                <w:b/>
                <w:szCs w:val="21"/>
              </w:rPr>
              <w:t>*10%</w:t>
            </w:r>
          </w:p>
        </w:tc>
      </w:tr>
      <w:tr w:rsidR="00163F5E" w:rsidRPr="00163F5E" w:rsidTr="00163F5E">
        <w:trPr>
          <w:trHeight w:val="370"/>
          <w:jc w:val="center"/>
        </w:trPr>
        <w:tc>
          <w:tcPr>
            <w:tcW w:w="704" w:type="dxa"/>
            <w:vAlign w:val="center"/>
          </w:tcPr>
          <w:p w:rsidR="004C63A8" w:rsidRPr="00163F5E" w:rsidRDefault="004C63A8" w:rsidP="004C63A8">
            <w:pPr>
              <w:pStyle w:val="af"/>
              <w:adjustRightInd w:val="0"/>
              <w:snapToGrid w:val="0"/>
              <w:spacing w:line="460" w:lineRule="exact"/>
              <w:ind w:firstLineChars="0" w:firstLine="0"/>
              <w:jc w:val="center"/>
              <w:rPr>
                <w:szCs w:val="21"/>
              </w:rPr>
            </w:pPr>
            <w:r w:rsidRPr="00163F5E">
              <w:rPr>
                <w:szCs w:val="21"/>
              </w:rPr>
              <w:t>4</w:t>
            </w:r>
          </w:p>
        </w:tc>
        <w:tc>
          <w:tcPr>
            <w:tcW w:w="1356" w:type="dxa"/>
            <w:shd w:val="clear" w:color="auto" w:fill="auto"/>
            <w:vAlign w:val="center"/>
          </w:tcPr>
          <w:p w:rsidR="004C63A8" w:rsidRPr="00163F5E" w:rsidRDefault="004C63A8" w:rsidP="004C63A8">
            <w:pPr>
              <w:pStyle w:val="af"/>
              <w:adjustRightInd w:val="0"/>
              <w:snapToGrid w:val="0"/>
              <w:spacing w:line="460" w:lineRule="exact"/>
              <w:ind w:firstLineChars="0" w:firstLine="0"/>
              <w:jc w:val="center"/>
              <w:rPr>
                <w:szCs w:val="21"/>
              </w:rPr>
            </w:pPr>
            <w:r w:rsidRPr="00163F5E">
              <w:rPr>
                <w:rFonts w:hint="eastAsia"/>
                <w:szCs w:val="21"/>
              </w:rPr>
              <w:t>华夏智造升级混合型证券投资基金</w:t>
            </w:r>
          </w:p>
        </w:tc>
        <w:tc>
          <w:tcPr>
            <w:tcW w:w="3028" w:type="dxa"/>
            <w:shd w:val="clear" w:color="auto" w:fill="auto"/>
            <w:vAlign w:val="center"/>
          </w:tcPr>
          <w:p w:rsidR="004C63A8" w:rsidRPr="00163F5E" w:rsidRDefault="004C63A8" w:rsidP="004C63A8">
            <w:pPr>
              <w:pStyle w:val="af"/>
              <w:adjustRightInd w:val="0"/>
              <w:snapToGrid w:val="0"/>
              <w:spacing w:line="460" w:lineRule="exact"/>
              <w:ind w:firstLineChars="0" w:firstLine="0"/>
              <w:jc w:val="center"/>
              <w:rPr>
                <w:szCs w:val="21"/>
              </w:rPr>
            </w:pPr>
            <w:r w:rsidRPr="00163F5E">
              <w:rPr>
                <w:rFonts w:hint="eastAsia"/>
                <w:szCs w:val="21"/>
              </w:rPr>
              <w:t>中证高端装备制造指数收益率</w:t>
            </w:r>
            <w:r w:rsidR="004C5DF0" w:rsidRPr="00163F5E">
              <w:rPr>
                <w:rFonts w:hint="eastAsia"/>
                <w:szCs w:val="21"/>
              </w:rPr>
              <w:t>×</w:t>
            </w:r>
            <w:r w:rsidRPr="00163F5E">
              <w:rPr>
                <w:rFonts w:hint="eastAsia"/>
                <w:szCs w:val="21"/>
              </w:rPr>
              <w:t>60%+</w:t>
            </w:r>
            <w:r w:rsidRPr="00163F5E">
              <w:rPr>
                <w:rFonts w:hint="eastAsia"/>
                <w:szCs w:val="21"/>
              </w:rPr>
              <w:t>中证港股通综合指数收益率</w:t>
            </w:r>
            <w:r w:rsidR="004C5DF0" w:rsidRPr="00163F5E">
              <w:rPr>
                <w:rFonts w:hint="eastAsia"/>
                <w:szCs w:val="21"/>
              </w:rPr>
              <w:t>×</w:t>
            </w:r>
            <w:r w:rsidRPr="00163F5E">
              <w:rPr>
                <w:rFonts w:hint="eastAsia"/>
                <w:szCs w:val="21"/>
              </w:rPr>
              <w:t>20%+</w:t>
            </w:r>
            <w:r w:rsidRPr="00163F5E">
              <w:rPr>
                <w:rFonts w:hint="eastAsia"/>
                <w:szCs w:val="21"/>
              </w:rPr>
              <w:t>上证国债指数收益率</w:t>
            </w:r>
            <w:r w:rsidR="004C5DF0" w:rsidRPr="00163F5E">
              <w:rPr>
                <w:rFonts w:hint="eastAsia"/>
                <w:szCs w:val="21"/>
              </w:rPr>
              <w:t>×</w:t>
            </w:r>
            <w:r w:rsidRPr="00163F5E">
              <w:rPr>
                <w:rFonts w:hint="eastAsia"/>
                <w:szCs w:val="21"/>
              </w:rPr>
              <w:t>20%</w:t>
            </w:r>
          </w:p>
        </w:tc>
        <w:tc>
          <w:tcPr>
            <w:tcW w:w="3032" w:type="dxa"/>
            <w:shd w:val="clear" w:color="auto" w:fill="auto"/>
            <w:vAlign w:val="center"/>
          </w:tcPr>
          <w:p w:rsidR="004C63A8" w:rsidRPr="00163F5E" w:rsidRDefault="004C63A8" w:rsidP="004C63A8">
            <w:pPr>
              <w:pStyle w:val="af"/>
              <w:adjustRightInd w:val="0"/>
              <w:snapToGrid w:val="0"/>
              <w:spacing w:line="460" w:lineRule="exact"/>
              <w:ind w:firstLineChars="0" w:firstLine="0"/>
              <w:jc w:val="center"/>
              <w:rPr>
                <w:b/>
                <w:szCs w:val="21"/>
              </w:rPr>
            </w:pPr>
            <w:r w:rsidRPr="00163F5E">
              <w:rPr>
                <w:rFonts w:hint="eastAsia"/>
                <w:b/>
                <w:szCs w:val="21"/>
              </w:rPr>
              <w:t>中证高端装备制造指数收益率</w:t>
            </w:r>
            <w:r w:rsidRPr="00163F5E">
              <w:rPr>
                <w:b/>
                <w:szCs w:val="21"/>
              </w:rPr>
              <w:t>*80%+</w:t>
            </w:r>
            <w:r w:rsidRPr="00163F5E">
              <w:rPr>
                <w:rFonts w:hint="eastAsia"/>
                <w:b/>
                <w:szCs w:val="21"/>
              </w:rPr>
              <w:t>中证港股通工业综合指数（人民币）收益率</w:t>
            </w:r>
            <w:r w:rsidRPr="00163F5E">
              <w:rPr>
                <w:b/>
                <w:szCs w:val="21"/>
              </w:rPr>
              <w:t>*10%+</w:t>
            </w:r>
            <w:r w:rsidRPr="00163F5E">
              <w:rPr>
                <w:rFonts w:hint="eastAsia"/>
                <w:b/>
                <w:szCs w:val="21"/>
              </w:rPr>
              <w:t>上证国债指数收益率</w:t>
            </w:r>
            <w:r w:rsidRPr="00163F5E">
              <w:rPr>
                <w:b/>
                <w:szCs w:val="21"/>
              </w:rPr>
              <w:t>*10%</w:t>
            </w:r>
          </w:p>
        </w:tc>
      </w:tr>
      <w:tr w:rsidR="00163F5E" w:rsidRPr="00163F5E" w:rsidTr="00163F5E">
        <w:trPr>
          <w:trHeight w:val="376"/>
          <w:jc w:val="center"/>
        </w:trPr>
        <w:tc>
          <w:tcPr>
            <w:tcW w:w="704" w:type="dxa"/>
            <w:vAlign w:val="center"/>
          </w:tcPr>
          <w:p w:rsidR="004C63A8" w:rsidRPr="00163F5E" w:rsidRDefault="004C63A8" w:rsidP="004C63A8">
            <w:pPr>
              <w:pStyle w:val="af"/>
              <w:adjustRightInd w:val="0"/>
              <w:snapToGrid w:val="0"/>
              <w:spacing w:line="460" w:lineRule="exact"/>
              <w:ind w:firstLineChars="0" w:firstLine="0"/>
              <w:jc w:val="center"/>
              <w:rPr>
                <w:szCs w:val="21"/>
              </w:rPr>
            </w:pPr>
            <w:r w:rsidRPr="00163F5E">
              <w:rPr>
                <w:szCs w:val="21"/>
              </w:rPr>
              <w:t>5</w:t>
            </w:r>
          </w:p>
        </w:tc>
        <w:tc>
          <w:tcPr>
            <w:tcW w:w="1356" w:type="dxa"/>
            <w:shd w:val="clear" w:color="auto" w:fill="auto"/>
            <w:vAlign w:val="center"/>
          </w:tcPr>
          <w:p w:rsidR="004C63A8" w:rsidRPr="00163F5E" w:rsidRDefault="004C63A8" w:rsidP="004C63A8">
            <w:pPr>
              <w:pStyle w:val="af"/>
              <w:adjustRightInd w:val="0"/>
              <w:snapToGrid w:val="0"/>
              <w:spacing w:line="460" w:lineRule="exact"/>
              <w:ind w:firstLineChars="0" w:firstLine="0"/>
              <w:jc w:val="center"/>
              <w:rPr>
                <w:szCs w:val="21"/>
              </w:rPr>
            </w:pPr>
            <w:r w:rsidRPr="00163F5E">
              <w:rPr>
                <w:rFonts w:hint="eastAsia"/>
                <w:szCs w:val="21"/>
              </w:rPr>
              <w:t>华夏先进制造龙头混合</w:t>
            </w:r>
            <w:r w:rsidRPr="00163F5E">
              <w:rPr>
                <w:rFonts w:hint="eastAsia"/>
                <w:szCs w:val="21"/>
              </w:rPr>
              <w:lastRenderedPageBreak/>
              <w:t>型证券投资基金</w:t>
            </w:r>
          </w:p>
        </w:tc>
        <w:tc>
          <w:tcPr>
            <w:tcW w:w="3028" w:type="dxa"/>
            <w:shd w:val="clear" w:color="auto" w:fill="auto"/>
            <w:vAlign w:val="center"/>
          </w:tcPr>
          <w:p w:rsidR="004C63A8" w:rsidRPr="00163F5E" w:rsidRDefault="004C63A8" w:rsidP="004C63A8">
            <w:pPr>
              <w:pStyle w:val="af"/>
              <w:adjustRightInd w:val="0"/>
              <w:snapToGrid w:val="0"/>
              <w:spacing w:line="460" w:lineRule="exact"/>
              <w:ind w:firstLineChars="0" w:firstLine="0"/>
              <w:jc w:val="center"/>
              <w:rPr>
                <w:szCs w:val="21"/>
              </w:rPr>
            </w:pPr>
            <w:r w:rsidRPr="00163F5E">
              <w:rPr>
                <w:rFonts w:hint="eastAsia"/>
                <w:szCs w:val="21"/>
              </w:rPr>
              <w:lastRenderedPageBreak/>
              <w:t>中证</w:t>
            </w:r>
            <w:r w:rsidRPr="00163F5E">
              <w:rPr>
                <w:rFonts w:hint="eastAsia"/>
                <w:szCs w:val="21"/>
              </w:rPr>
              <w:t>800</w:t>
            </w:r>
            <w:r w:rsidRPr="00163F5E">
              <w:rPr>
                <w:rFonts w:hint="eastAsia"/>
                <w:szCs w:val="21"/>
              </w:rPr>
              <w:t>指数收益率</w:t>
            </w:r>
            <w:r w:rsidR="004C5DF0" w:rsidRPr="00163F5E">
              <w:rPr>
                <w:rFonts w:hint="eastAsia"/>
                <w:szCs w:val="21"/>
              </w:rPr>
              <w:t>×</w:t>
            </w:r>
            <w:r w:rsidRPr="00163F5E">
              <w:rPr>
                <w:rFonts w:hint="eastAsia"/>
                <w:szCs w:val="21"/>
              </w:rPr>
              <w:t>60%+</w:t>
            </w:r>
            <w:r w:rsidRPr="00163F5E">
              <w:rPr>
                <w:rFonts w:hint="eastAsia"/>
                <w:szCs w:val="21"/>
              </w:rPr>
              <w:t>中证港股通综合指数收益率</w:t>
            </w:r>
            <w:r w:rsidR="004C5DF0" w:rsidRPr="00163F5E">
              <w:rPr>
                <w:rFonts w:hint="eastAsia"/>
                <w:szCs w:val="21"/>
              </w:rPr>
              <w:t>×</w:t>
            </w:r>
            <w:r w:rsidRPr="00163F5E">
              <w:rPr>
                <w:rFonts w:hint="eastAsia"/>
                <w:szCs w:val="21"/>
              </w:rPr>
              <w:lastRenderedPageBreak/>
              <w:t>20%+</w:t>
            </w:r>
            <w:r w:rsidRPr="00163F5E">
              <w:rPr>
                <w:rFonts w:hint="eastAsia"/>
                <w:szCs w:val="21"/>
              </w:rPr>
              <w:t>中债综合</w:t>
            </w:r>
            <w:r w:rsidR="004C5DF0" w:rsidRPr="00163F5E">
              <w:rPr>
                <w:rFonts w:hint="eastAsia"/>
                <w:szCs w:val="21"/>
              </w:rPr>
              <w:t>（</w:t>
            </w:r>
            <w:r w:rsidRPr="00163F5E">
              <w:rPr>
                <w:rFonts w:hint="eastAsia"/>
                <w:szCs w:val="21"/>
              </w:rPr>
              <w:t>全价</w:t>
            </w:r>
            <w:r w:rsidR="004C5DF0" w:rsidRPr="00163F5E">
              <w:rPr>
                <w:rFonts w:hint="eastAsia"/>
                <w:szCs w:val="21"/>
              </w:rPr>
              <w:t>）</w:t>
            </w:r>
            <w:r w:rsidRPr="00163F5E">
              <w:rPr>
                <w:rFonts w:hint="eastAsia"/>
                <w:szCs w:val="21"/>
              </w:rPr>
              <w:t>指数收益率</w:t>
            </w:r>
            <w:r w:rsidR="004C5DF0" w:rsidRPr="00163F5E">
              <w:rPr>
                <w:rFonts w:hint="eastAsia"/>
                <w:szCs w:val="21"/>
              </w:rPr>
              <w:t>×</w:t>
            </w:r>
            <w:r w:rsidRPr="00163F5E">
              <w:rPr>
                <w:rFonts w:hint="eastAsia"/>
                <w:szCs w:val="21"/>
              </w:rPr>
              <w:t>20%</w:t>
            </w:r>
          </w:p>
        </w:tc>
        <w:tc>
          <w:tcPr>
            <w:tcW w:w="3032" w:type="dxa"/>
            <w:shd w:val="clear" w:color="auto" w:fill="auto"/>
            <w:vAlign w:val="center"/>
          </w:tcPr>
          <w:p w:rsidR="004C63A8" w:rsidRPr="00163F5E" w:rsidRDefault="004C63A8" w:rsidP="004C63A8">
            <w:pPr>
              <w:pStyle w:val="af"/>
              <w:adjustRightInd w:val="0"/>
              <w:snapToGrid w:val="0"/>
              <w:spacing w:line="460" w:lineRule="exact"/>
              <w:ind w:firstLineChars="0" w:firstLine="0"/>
              <w:jc w:val="center"/>
              <w:rPr>
                <w:b/>
                <w:szCs w:val="21"/>
              </w:rPr>
            </w:pPr>
            <w:r w:rsidRPr="00163F5E">
              <w:rPr>
                <w:rFonts w:hint="eastAsia"/>
                <w:b/>
                <w:szCs w:val="21"/>
              </w:rPr>
              <w:lastRenderedPageBreak/>
              <w:t>中证高端装备制造指数收益率</w:t>
            </w:r>
            <w:r w:rsidRPr="00163F5E">
              <w:rPr>
                <w:b/>
                <w:szCs w:val="21"/>
              </w:rPr>
              <w:t>*80%+</w:t>
            </w:r>
            <w:r w:rsidRPr="00163F5E">
              <w:rPr>
                <w:rFonts w:hint="eastAsia"/>
                <w:b/>
                <w:szCs w:val="21"/>
              </w:rPr>
              <w:t>中证港股通工业综合指</w:t>
            </w:r>
            <w:r w:rsidRPr="00163F5E">
              <w:rPr>
                <w:rFonts w:hint="eastAsia"/>
                <w:b/>
                <w:szCs w:val="21"/>
              </w:rPr>
              <w:lastRenderedPageBreak/>
              <w:t>数（人民币）收益率</w:t>
            </w:r>
            <w:r w:rsidRPr="00163F5E">
              <w:rPr>
                <w:b/>
                <w:szCs w:val="21"/>
              </w:rPr>
              <w:t>*10%+</w:t>
            </w:r>
            <w:r w:rsidRPr="00163F5E">
              <w:rPr>
                <w:rFonts w:hint="eastAsia"/>
                <w:b/>
                <w:szCs w:val="21"/>
              </w:rPr>
              <w:t>中债</w:t>
            </w:r>
            <w:r w:rsidRPr="00163F5E">
              <w:rPr>
                <w:b/>
                <w:szCs w:val="21"/>
              </w:rPr>
              <w:t>-</w:t>
            </w:r>
            <w:r w:rsidRPr="00163F5E">
              <w:rPr>
                <w:rFonts w:hint="eastAsia"/>
                <w:b/>
                <w:szCs w:val="21"/>
              </w:rPr>
              <w:t>综合全价</w:t>
            </w:r>
            <w:r w:rsidR="0030770B" w:rsidRPr="00163F5E">
              <w:rPr>
                <w:rFonts w:hint="eastAsia"/>
                <w:b/>
                <w:szCs w:val="21"/>
              </w:rPr>
              <w:t>（</w:t>
            </w:r>
            <w:r w:rsidRPr="00163F5E">
              <w:rPr>
                <w:rFonts w:hint="eastAsia"/>
                <w:b/>
                <w:szCs w:val="21"/>
              </w:rPr>
              <w:t>总值</w:t>
            </w:r>
            <w:r w:rsidR="0030770B" w:rsidRPr="00163F5E">
              <w:rPr>
                <w:rFonts w:hint="eastAsia"/>
                <w:b/>
                <w:szCs w:val="21"/>
              </w:rPr>
              <w:t>）</w:t>
            </w:r>
            <w:r w:rsidRPr="00163F5E">
              <w:rPr>
                <w:rFonts w:hint="eastAsia"/>
                <w:b/>
                <w:szCs w:val="21"/>
              </w:rPr>
              <w:t>指数收益率</w:t>
            </w:r>
            <w:r w:rsidRPr="00163F5E">
              <w:rPr>
                <w:b/>
                <w:szCs w:val="21"/>
              </w:rPr>
              <w:t>*10%</w:t>
            </w:r>
          </w:p>
        </w:tc>
      </w:tr>
      <w:tr w:rsidR="00163F5E" w:rsidRPr="00163F5E" w:rsidTr="00163F5E">
        <w:trPr>
          <w:trHeight w:val="376"/>
          <w:jc w:val="center"/>
        </w:trPr>
        <w:tc>
          <w:tcPr>
            <w:tcW w:w="704" w:type="dxa"/>
            <w:vAlign w:val="center"/>
          </w:tcPr>
          <w:p w:rsidR="004C63A8" w:rsidRPr="00163F5E" w:rsidRDefault="004C63A8" w:rsidP="004C63A8">
            <w:pPr>
              <w:pStyle w:val="af"/>
              <w:adjustRightInd w:val="0"/>
              <w:snapToGrid w:val="0"/>
              <w:spacing w:line="460" w:lineRule="exact"/>
              <w:ind w:firstLineChars="0" w:firstLine="0"/>
              <w:jc w:val="center"/>
              <w:rPr>
                <w:szCs w:val="21"/>
              </w:rPr>
            </w:pPr>
            <w:r w:rsidRPr="00163F5E">
              <w:rPr>
                <w:rFonts w:hint="eastAsia"/>
                <w:szCs w:val="21"/>
              </w:rPr>
              <w:lastRenderedPageBreak/>
              <w:t>6</w:t>
            </w:r>
          </w:p>
        </w:tc>
        <w:tc>
          <w:tcPr>
            <w:tcW w:w="1356" w:type="dxa"/>
            <w:shd w:val="clear" w:color="auto" w:fill="auto"/>
            <w:vAlign w:val="center"/>
          </w:tcPr>
          <w:p w:rsidR="004C63A8" w:rsidRPr="00163F5E" w:rsidRDefault="004C63A8" w:rsidP="004C63A8">
            <w:pPr>
              <w:pStyle w:val="af"/>
              <w:adjustRightInd w:val="0"/>
              <w:snapToGrid w:val="0"/>
              <w:spacing w:line="460" w:lineRule="exact"/>
              <w:ind w:firstLineChars="0" w:firstLine="0"/>
              <w:jc w:val="center"/>
              <w:rPr>
                <w:szCs w:val="21"/>
              </w:rPr>
            </w:pPr>
            <w:r w:rsidRPr="00163F5E">
              <w:rPr>
                <w:rFonts w:hint="eastAsia"/>
                <w:szCs w:val="21"/>
              </w:rPr>
              <w:t>华夏软件龙头混合型发起式证券投资基金</w:t>
            </w:r>
          </w:p>
        </w:tc>
        <w:tc>
          <w:tcPr>
            <w:tcW w:w="3028" w:type="dxa"/>
            <w:shd w:val="clear" w:color="auto" w:fill="auto"/>
            <w:vAlign w:val="center"/>
          </w:tcPr>
          <w:p w:rsidR="004C63A8" w:rsidRPr="00163F5E" w:rsidRDefault="004C63A8" w:rsidP="004C63A8">
            <w:pPr>
              <w:pStyle w:val="af"/>
              <w:adjustRightInd w:val="0"/>
              <w:snapToGrid w:val="0"/>
              <w:spacing w:line="460" w:lineRule="exact"/>
              <w:ind w:firstLineChars="0" w:firstLine="0"/>
              <w:jc w:val="center"/>
              <w:rPr>
                <w:szCs w:val="21"/>
              </w:rPr>
            </w:pPr>
            <w:r w:rsidRPr="00163F5E">
              <w:rPr>
                <w:rFonts w:hint="eastAsia"/>
                <w:szCs w:val="21"/>
              </w:rPr>
              <w:t>中证全指软件指数收益率</w:t>
            </w:r>
            <w:r w:rsidR="0030770B" w:rsidRPr="00163F5E">
              <w:rPr>
                <w:rFonts w:hint="eastAsia"/>
                <w:szCs w:val="21"/>
              </w:rPr>
              <w:t>×</w:t>
            </w:r>
            <w:r w:rsidRPr="00163F5E">
              <w:rPr>
                <w:rFonts w:hint="eastAsia"/>
                <w:szCs w:val="21"/>
              </w:rPr>
              <w:t>70%+</w:t>
            </w:r>
            <w:r w:rsidR="0030770B" w:rsidRPr="00163F5E">
              <w:rPr>
                <w:rFonts w:hint="eastAsia"/>
                <w:szCs w:val="21"/>
              </w:rPr>
              <w:t>中证港股通综合指数收益率×</w:t>
            </w:r>
            <w:r w:rsidR="0030770B" w:rsidRPr="00163F5E">
              <w:rPr>
                <w:rFonts w:hint="eastAsia"/>
                <w:szCs w:val="21"/>
              </w:rPr>
              <w:t>10%</w:t>
            </w:r>
            <w:r w:rsidR="0030770B" w:rsidRPr="00163F5E">
              <w:rPr>
                <w:szCs w:val="21"/>
              </w:rPr>
              <w:t>+</w:t>
            </w:r>
            <w:r w:rsidRPr="00163F5E">
              <w:rPr>
                <w:rFonts w:hint="eastAsia"/>
                <w:szCs w:val="21"/>
              </w:rPr>
              <w:t>中债综合全价指数收益率</w:t>
            </w:r>
            <w:r w:rsidR="006E5DA7" w:rsidRPr="00163F5E">
              <w:rPr>
                <w:rFonts w:hint="eastAsia"/>
                <w:szCs w:val="21"/>
              </w:rPr>
              <w:t>×</w:t>
            </w:r>
            <w:r w:rsidRPr="00163F5E">
              <w:rPr>
                <w:rFonts w:hint="eastAsia"/>
                <w:szCs w:val="21"/>
              </w:rPr>
              <w:t>20%</w:t>
            </w:r>
          </w:p>
        </w:tc>
        <w:tc>
          <w:tcPr>
            <w:tcW w:w="3032" w:type="dxa"/>
            <w:shd w:val="clear" w:color="auto" w:fill="auto"/>
            <w:vAlign w:val="center"/>
          </w:tcPr>
          <w:p w:rsidR="004C63A8" w:rsidRPr="00163F5E" w:rsidRDefault="004C63A8" w:rsidP="004C63A8">
            <w:pPr>
              <w:pStyle w:val="af"/>
              <w:adjustRightInd w:val="0"/>
              <w:snapToGrid w:val="0"/>
              <w:spacing w:line="460" w:lineRule="exact"/>
              <w:ind w:firstLineChars="0" w:firstLine="0"/>
              <w:jc w:val="center"/>
              <w:rPr>
                <w:b/>
                <w:szCs w:val="21"/>
              </w:rPr>
            </w:pPr>
            <w:r w:rsidRPr="00163F5E">
              <w:rPr>
                <w:rFonts w:hint="eastAsia"/>
                <w:b/>
                <w:szCs w:val="21"/>
              </w:rPr>
              <w:t>中证全指软件指数收益率</w:t>
            </w:r>
            <w:r w:rsidRPr="00163F5E">
              <w:rPr>
                <w:b/>
                <w:szCs w:val="21"/>
              </w:rPr>
              <w:t>*70%+</w:t>
            </w:r>
            <w:r w:rsidRPr="00163F5E">
              <w:rPr>
                <w:rFonts w:hint="eastAsia"/>
                <w:b/>
                <w:szCs w:val="21"/>
              </w:rPr>
              <w:t>恒生科技指数收益率</w:t>
            </w:r>
            <w:r w:rsidRPr="00163F5E">
              <w:rPr>
                <w:b/>
                <w:szCs w:val="21"/>
              </w:rPr>
              <w:t>*20%+</w:t>
            </w:r>
            <w:r w:rsidRPr="00163F5E">
              <w:rPr>
                <w:rFonts w:hint="eastAsia"/>
                <w:b/>
                <w:szCs w:val="21"/>
              </w:rPr>
              <w:t>中债</w:t>
            </w:r>
            <w:r w:rsidRPr="00163F5E">
              <w:rPr>
                <w:b/>
                <w:szCs w:val="21"/>
              </w:rPr>
              <w:t>-</w:t>
            </w:r>
            <w:r w:rsidRPr="00163F5E">
              <w:rPr>
                <w:rFonts w:hint="eastAsia"/>
                <w:b/>
                <w:szCs w:val="21"/>
              </w:rPr>
              <w:t>综合全价</w:t>
            </w:r>
            <w:r w:rsidR="0030770B" w:rsidRPr="00163F5E">
              <w:rPr>
                <w:rFonts w:hint="eastAsia"/>
                <w:b/>
                <w:szCs w:val="21"/>
              </w:rPr>
              <w:t>（</w:t>
            </w:r>
            <w:r w:rsidRPr="00163F5E">
              <w:rPr>
                <w:rFonts w:hint="eastAsia"/>
                <w:b/>
                <w:szCs w:val="21"/>
              </w:rPr>
              <w:t>总值</w:t>
            </w:r>
            <w:r w:rsidR="0030770B" w:rsidRPr="00163F5E">
              <w:rPr>
                <w:rFonts w:hint="eastAsia"/>
                <w:b/>
                <w:szCs w:val="21"/>
              </w:rPr>
              <w:t>）</w:t>
            </w:r>
            <w:r w:rsidRPr="00163F5E">
              <w:rPr>
                <w:rFonts w:hint="eastAsia"/>
                <w:b/>
                <w:szCs w:val="21"/>
              </w:rPr>
              <w:t>指数收益率</w:t>
            </w:r>
            <w:r w:rsidRPr="00163F5E">
              <w:rPr>
                <w:b/>
                <w:szCs w:val="21"/>
              </w:rPr>
              <w:t>*10%</w:t>
            </w:r>
          </w:p>
        </w:tc>
      </w:tr>
      <w:tr w:rsidR="00163F5E" w:rsidRPr="00163F5E" w:rsidTr="00163F5E">
        <w:trPr>
          <w:trHeight w:val="376"/>
          <w:jc w:val="center"/>
        </w:trPr>
        <w:tc>
          <w:tcPr>
            <w:tcW w:w="704" w:type="dxa"/>
            <w:vAlign w:val="center"/>
          </w:tcPr>
          <w:p w:rsidR="004C63A8" w:rsidRPr="00163F5E" w:rsidRDefault="004C63A8" w:rsidP="004C63A8">
            <w:pPr>
              <w:pStyle w:val="af"/>
              <w:adjustRightInd w:val="0"/>
              <w:snapToGrid w:val="0"/>
              <w:spacing w:line="460" w:lineRule="exact"/>
              <w:ind w:firstLineChars="0" w:firstLine="0"/>
              <w:jc w:val="center"/>
              <w:rPr>
                <w:szCs w:val="21"/>
              </w:rPr>
            </w:pPr>
            <w:r w:rsidRPr="00163F5E">
              <w:rPr>
                <w:rFonts w:hint="eastAsia"/>
                <w:szCs w:val="21"/>
              </w:rPr>
              <w:t>7</w:t>
            </w:r>
          </w:p>
        </w:tc>
        <w:tc>
          <w:tcPr>
            <w:tcW w:w="1356" w:type="dxa"/>
            <w:shd w:val="clear" w:color="auto" w:fill="auto"/>
            <w:vAlign w:val="center"/>
          </w:tcPr>
          <w:p w:rsidR="004C63A8" w:rsidRPr="00163F5E" w:rsidRDefault="004C63A8" w:rsidP="004C63A8">
            <w:pPr>
              <w:pStyle w:val="af"/>
              <w:adjustRightInd w:val="0"/>
              <w:snapToGrid w:val="0"/>
              <w:spacing w:line="460" w:lineRule="exact"/>
              <w:ind w:firstLineChars="0" w:firstLine="0"/>
              <w:jc w:val="center"/>
              <w:rPr>
                <w:szCs w:val="21"/>
              </w:rPr>
            </w:pPr>
            <w:r w:rsidRPr="00163F5E">
              <w:rPr>
                <w:rFonts w:hint="eastAsia"/>
                <w:szCs w:val="21"/>
              </w:rPr>
              <w:t>华夏清洁能源龙头混合型发起式证券投资基金</w:t>
            </w:r>
          </w:p>
        </w:tc>
        <w:tc>
          <w:tcPr>
            <w:tcW w:w="3028" w:type="dxa"/>
            <w:shd w:val="clear" w:color="auto" w:fill="auto"/>
            <w:vAlign w:val="center"/>
          </w:tcPr>
          <w:p w:rsidR="004C63A8" w:rsidRPr="00163F5E" w:rsidRDefault="004C63A8" w:rsidP="004C63A8">
            <w:pPr>
              <w:pStyle w:val="af"/>
              <w:adjustRightInd w:val="0"/>
              <w:snapToGrid w:val="0"/>
              <w:spacing w:line="460" w:lineRule="exact"/>
              <w:ind w:firstLineChars="0" w:firstLine="0"/>
              <w:jc w:val="center"/>
              <w:rPr>
                <w:szCs w:val="21"/>
              </w:rPr>
            </w:pPr>
            <w:r w:rsidRPr="00163F5E">
              <w:rPr>
                <w:rFonts w:hint="eastAsia"/>
                <w:szCs w:val="21"/>
              </w:rPr>
              <w:t>中证新能源指数收益率</w:t>
            </w:r>
            <w:r w:rsidRPr="00163F5E">
              <w:rPr>
                <w:rFonts w:hint="eastAsia"/>
                <w:szCs w:val="21"/>
              </w:rPr>
              <w:t>*60%+</w:t>
            </w:r>
            <w:r w:rsidRPr="00163F5E">
              <w:rPr>
                <w:rFonts w:hint="eastAsia"/>
                <w:szCs w:val="21"/>
              </w:rPr>
              <w:t>中证港股通综合指数收益率</w:t>
            </w:r>
            <w:r w:rsidRPr="00163F5E">
              <w:rPr>
                <w:rFonts w:hint="eastAsia"/>
                <w:szCs w:val="21"/>
              </w:rPr>
              <w:t>*20%+</w:t>
            </w:r>
            <w:r w:rsidRPr="00163F5E">
              <w:rPr>
                <w:rFonts w:hint="eastAsia"/>
                <w:szCs w:val="21"/>
              </w:rPr>
              <w:t>中债综合全价指数收益率</w:t>
            </w:r>
            <w:r w:rsidRPr="00163F5E">
              <w:rPr>
                <w:rFonts w:hint="eastAsia"/>
                <w:szCs w:val="21"/>
              </w:rPr>
              <w:t>*20%</w:t>
            </w:r>
          </w:p>
        </w:tc>
        <w:tc>
          <w:tcPr>
            <w:tcW w:w="3032" w:type="dxa"/>
            <w:shd w:val="clear" w:color="auto" w:fill="auto"/>
            <w:vAlign w:val="center"/>
          </w:tcPr>
          <w:p w:rsidR="004C63A8" w:rsidRPr="00163F5E" w:rsidRDefault="004C63A8" w:rsidP="004C63A8">
            <w:pPr>
              <w:pStyle w:val="af"/>
              <w:adjustRightInd w:val="0"/>
              <w:snapToGrid w:val="0"/>
              <w:spacing w:line="460" w:lineRule="exact"/>
              <w:ind w:firstLineChars="0" w:firstLine="0"/>
              <w:jc w:val="center"/>
              <w:rPr>
                <w:b/>
                <w:szCs w:val="21"/>
              </w:rPr>
            </w:pPr>
            <w:r w:rsidRPr="00163F5E">
              <w:rPr>
                <w:rFonts w:hint="eastAsia"/>
                <w:b/>
                <w:szCs w:val="21"/>
              </w:rPr>
              <w:t>中证新能源指数收益率</w:t>
            </w:r>
            <w:r w:rsidRPr="00163F5E">
              <w:rPr>
                <w:b/>
                <w:szCs w:val="21"/>
              </w:rPr>
              <w:t>*80%+</w:t>
            </w:r>
            <w:r w:rsidRPr="00163F5E">
              <w:rPr>
                <w:rFonts w:hint="eastAsia"/>
                <w:b/>
                <w:szCs w:val="21"/>
              </w:rPr>
              <w:t>国证港股通新能源指数</w:t>
            </w:r>
            <w:r w:rsidR="000F6844" w:rsidRPr="00163F5E">
              <w:rPr>
                <w:rFonts w:hint="eastAsia"/>
                <w:b/>
                <w:szCs w:val="21"/>
              </w:rPr>
              <w:t>（</w:t>
            </w:r>
            <w:r w:rsidRPr="00163F5E">
              <w:rPr>
                <w:rFonts w:hint="eastAsia"/>
                <w:b/>
                <w:szCs w:val="21"/>
              </w:rPr>
              <w:t>人民币</w:t>
            </w:r>
            <w:r w:rsidR="000F6844" w:rsidRPr="00163F5E">
              <w:rPr>
                <w:rFonts w:hint="eastAsia"/>
                <w:b/>
                <w:szCs w:val="21"/>
              </w:rPr>
              <w:t>）</w:t>
            </w:r>
            <w:r w:rsidRPr="00163F5E">
              <w:rPr>
                <w:rFonts w:hint="eastAsia"/>
                <w:b/>
                <w:szCs w:val="21"/>
              </w:rPr>
              <w:t>收益率</w:t>
            </w:r>
            <w:r w:rsidRPr="00163F5E">
              <w:rPr>
                <w:b/>
                <w:szCs w:val="21"/>
              </w:rPr>
              <w:t>*10%+</w:t>
            </w:r>
            <w:r w:rsidRPr="00163F5E">
              <w:rPr>
                <w:rFonts w:hint="eastAsia"/>
                <w:b/>
                <w:szCs w:val="21"/>
              </w:rPr>
              <w:t>中债</w:t>
            </w:r>
            <w:r w:rsidRPr="00163F5E">
              <w:rPr>
                <w:b/>
                <w:szCs w:val="21"/>
              </w:rPr>
              <w:t>-</w:t>
            </w:r>
            <w:r w:rsidRPr="00163F5E">
              <w:rPr>
                <w:rFonts w:hint="eastAsia"/>
                <w:b/>
                <w:szCs w:val="21"/>
              </w:rPr>
              <w:t>综合全价</w:t>
            </w:r>
            <w:r w:rsidR="000F6844" w:rsidRPr="00163F5E">
              <w:rPr>
                <w:rFonts w:hint="eastAsia"/>
                <w:b/>
                <w:szCs w:val="21"/>
              </w:rPr>
              <w:t>（</w:t>
            </w:r>
            <w:r w:rsidRPr="00163F5E">
              <w:rPr>
                <w:rFonts w:hint="eastAsia"/>
                <w:b/>
                <w:szCs w:val="21"/>
              </w:rPr>
              <w:t>总值</w:t>
            </w:r>
            <w:r w:rsidR="000F6844" w:rsidRPr="00163F5E">
              <w:rPr>
                <w:rFonts w:hint="eastAsia"/>
                <w:b/>
                <w:szCs w:val="21"/>
              </w:rPr>
              <w:t>）</w:t>
            </w:r>
            <w:r w:rsidRPr="00163F5E">
              <w:rPr>
                <w:rFonts w:hint="eastAsia"/>
                <w:b/>
                <w:szCs w:val="21"/>
              </w:rPr>
              <w:t>指数收益率</w:t>
            </w:r>
            <w:r w:rsidRPr="00163F5E">
              <w:rPr>
                <w:b/>
                <w:szCs w:val="21"/>
              </w:rPr>
              <w:t>*10%</w:t>
            </w:r>
          </w:p>
        </w:tc>
      </w:tr>
      <w:tr w:rsidR="00163F5E" w:rsidRPr="00163F5E" w:rsidTr="00163F5E">
        <w:trPr>
          <w:trHeight w:val="376"/>
          <w:jc w:val="center"/>
        </w:trPr>
        <w:tc>
          <w:tcPr>
            <w:tcW w:w="704" w:type="dxa"/>
            <w:vAlign w:val="center"/>
          </w:tcPr>
          <w:p w:rsidR="004C63A8" w:rsidRPr="00163F5E" w:rsidRDefault="004C63A8" w:rsidP="004C63A8">
            <w:pPr>
              <w:pStyle w:val="af"/>
              <w:adjustRightInd w:val="0"/>
              <w:snapToGrid w:val="0"/>
              <w:spacing w:line="460" w:lineRule="exact"/>
              <w:ind w:firstLineChars="0" w:firstLine="0"/>
              <w:jc w:val="center"/>
              <w:rPr>
                <w:szCs w:val="21"/>
              </w:rPr>
            </w:pPr>
            <w:r w:rsidRPr="00163F5E">
              <w:rPr>
                <w:rFonts w:hint="eastAsia"/>
                <w:szCs w:val="21"/>
              </w:rPr>
              <w:t>8</w:t>
            </w:r>
          </w:p>
        </w:tc>
        <w:tc>
          <w:tcPr>
            <w:tcW w:w="1356" w:type="dxa"/>
            <w:shd w:val="clear" w:color="auto" w:fill="auto"/>
            <w:vAlign w:val="center"/>
          </w:tcPr>
          <w:p w:rsidR="004C63A8" w:rsidRPr="00163F5E" w:rsidRDefault="004C63A8" w:rsidP="004C63A8">
            <w:pPr>
              <w:pStyle w:val="af"/>
              <w:adjustRightInd w:val="0"/>
              <w:snapToGrid w:val="0"/>
              <w:spacing w:line="460" w:lineRule="exact"/>
              <w:ind w:firstLineChars="0" w:firstLine="0"/>
              <w:jc w:val="center"/>
              <w:rPr>
                <w:szCs w:val="21"/>
              </w:rPr>
            </w:pPr>
            <w:r w:rsidRPr="00163F5E">
              <w:rPr>
                <w:rFonts w:hint="eastAsia"/>
                <w:szCs w:val="21"/>
              </w:rPr>
              <w:t>华夏科技前沿</w:t>
            </w:r>
            <w:r w:rsidRPr="00163F5E">
              <w:rPr>
                <w:rFonts w:hint="eastAsia"/>
                <w:szCs w:val="21"/>
              </w:rPr>
              <w:t>6</w:t>
            </w:r>
            <w:r w:rsidRPr="00163F5E">
              <w:rPr>
                <w:rFonts w:hint="eastAsia"/>
                <w:szCs w:val="21"/>
              </w:rPr>
              <w:t>个月定期开放混合型证券投资基金</w:t>
            </w:r>
          </w:p>
        </w:tc>
        <w:tc>
          <w:tcPr>
            <w:tcW w:w="3028" w:type="dxa"/>
            <w:shd w:val="clear" w:color="auto" w:fill="auto"/>
            <w:vAlign w:val="center"/>
          </w:tcPr>
          <w:p w:rsidR="004C63A8" w:rsidRPr="00163F5E" w:rsidRDefault="004C63A8" w:rsidP="004C63A8">
            <w:pPr>
              <w:pStyle w:val="af"/>
              <w:adjustRightInd w:val="0"/>
              <w:snapToGrid w:val="0"/>
              <w:spacing w:line="460" w:lineRule="exact"/>
              <w:ind w:firstLineChars="0" w:firstLine="0"/>
              <w:jc w:val="center"/>
              <w:rPr>
                <w:szCs w:val="21"/>
              </w:rPr>
            </w:pPr>
            <w:r w:rsidRPr="00163F5E">
              <w:rPr>
                <w:rFonts w:hint="eastAsia"/>
                <w:szCs w:val="21"/>
              </w:rPr>
              <w:t>中证科技龙头指数收益率</w:t>
            </w:r>
            <w:r w:rsidRPr="00163F5E">
              <w:rPr>
                <w:rFonts w:hint="eastAsia"/>
                <w:szCs w:val="21"/>
              </w:rPr>
              <w:t>*65%+</w:t>
            </w:r>
            <w:r w:rsidRPr="00163F5E">
              <w:rPr>
                <w:rFonts w:hint="eastAsia"/>
                <w:szCs w:val="21"/>
              </w:rPr>
              <w:t>中债综合指数收益率</w:t>
            </w:r>
            <w:r w:rsidRPr="00163F5E">
              <w:rPr>
                <w:rFonts w:hint="eastAsia"/>
                <w:szCs w:val="21"/>
              </w:rPr>
              <w:t>*20%+</w:t>
            </w:r>
            <w:r w:rsidRPr="00163F5E">
              <w:rPr>
                <w:rFonts w:hint="eastAsia"/>
                <w:szCs w:val="21"/>
              </w:rPr>
              <w:t>中证港股通综合指数收益率</w:t>
            </w:r>
            <w:r w:rsidRPr="00163F5E">
              <w:rPr>
                <w:rFonts w:hint="eastAsia"/>
                <w:szCs w:val="21"/>
              </w:rPr>
              <w:t>*15%</w:t>
            </w:r>
            <w:r w:rsidR="0095382A" w:rsidRPr="00163F5E">
              <w:rPr>
                <w:szCs w:val="21"/>
              </w:rPr>
              <w:t>（如需调整汇率，指数收益率为人民币汇率调整后的）</w:t>
            </w:r>
          </w:p>
        </w:tc>
        <w:tc>
          <w:tcPr>
            <w:tcW w:w="3032" w:type="dxa"/>
            <w:shd w:val="clear" w:color="auto" w:fill="auto"/>
            <w:vAlign w:val="center"/>
          </w:tcPr>
          <w:p w:rsidR="004C63A8" w:rsidRPr="00163F5E" w:rsidRDefault="004C63A8" w:rsidP="004C63A8">
            <w:pPr>
              <w:pStyle w:val="af"/>
              <w:adjustRightInd w:val="0"/>
              <w:snapToGrid w:val="0"/>
              <w:spacing w:line="460" w:lineRule="exact"/>
              <w:ind w:firstLineChars="0" w:firstLine="0"/>
              <w:jc w:val="center"/>
              <w:rPr>
                <w:b/>
                <w:szCs w:val="21"/>
              </w:rPr>
            </w:pPr>
            <w:r w:rsidRPr="00163F5E">
              <w:rPr>
                <w:rFonts w:hint="eastAsia"/>
                <w:b/>
                <w:szCs w:val="21"/>
              </w:rPr>
              <w:t>中国战略新兴产业成份指数收益率</w:t>
            </w:r>
            <w:r w:rsidRPr="00163F5E">
              <w:rPr>
                <w:b/>
                <w:szCs w:val="21"/>
              </w:rPr>
              <w:t>*65%+</w:t>
            </w:r>
            <w:r w:rsidRPr="00163F5E">
              <w:rPr>
                <w:rFonts w:hint="eastAsia"/>
                <w:b/>
                <w:szCs w:val="21"/>
              </w:rPr>
              <w:t>恒生科技指数收益率</w:t>
            </w:r>
            <w:r w:rsidRPr="00163F5E">
              <w:rPr>
                <w:b/>
                <w:szCs w:val="21"/>
              </w:rPr>
              <w:t>*25%+</w:t>
            </w:r>
            <w:r w:rsidRPr="00163F5E">
              <w:rPr>
                <w:rFonts w:hint="eastAsia"/>
                <w:b/>
                <w:szCs w:val="21"/>
              </w:rPr>
              <w:t>中债</w:t>
            </w:r>
            <w:r w:rsidRPr="00163F5E">
              <w:rPr>
                <w:b/>
                <w:szCs w:val="21"/>
              </w:rPr>
              <w:t>-</w:t>
            </w:r>
            <w:r w:rsidRPr="00163F5E">
              <w:rPr>
                <w:rFonts w:hint="eastAsia"/>
                <w:b/>
                <w:szCs w:val="21"/>
              </w:rPr>
              <w:t>综合全价</w:t>
            </w:r>
            <w:r w:rsidR="00A11556" w:rsidRPr="00163F5E">
              <w:rPr>
                <w:rFonts w:hint="eastAsia"/>
                <w:b/>
                <w:szCs w:val="21"/>
              </w:rPr>
              <w:t>（</w:t>
            </w:r>
            <w:r w:rsidRPr="00163F5E">
              <w:rPr>
                <w:rFonts w:hint="eastAsia"/>
                <w:b/>
                <w:szCs w:val="21"/>
              </w:rPr>
              <w:t>总值</w:t>
            </w:r>
            <w:r w:rsidR="00A11556" w:rsidRPr="00163F5E">
              <w:rPr>
                <w:rFonts w:hint="eastAsia"/>
                <w:b/>
                <w:szCs w:val="21"/>
              </w:rPr>
              <w:t>）</w:t>
            </w:r>
            <w:r w:rsidRPr="00163F5E">
              <w:rPr>
                <w:rFonts w:hint="eastAsia"/>
                <w:b/>
                <w:szCs w:val="21"/>
              </w:rPr>
              <w:t>指数收益率</w:t>
            </w:r>
            <w:r w:rsidRPr="00163F5E">
              <w:rPr>
                <w:b/>
                <w:szCs w:val="21"/>
              </w:rPr>
              <w:t>*10%</w:t>
            </w:r>
          </w:p>
        </w:tc>
      </w:tr>
      <w:tr w:rsidR="00163F5E" w:rsidRPr="00163F5E" w:rsidTr="00163F5E">
        <w:trPr>
          <w:trHeight w:val="376"/>
          <w:jc w:val="center"/>
        </w:trPr>
        <w:tc>
          <w:tcPr>
            <w:tcW w:w="704" w:type="dxa"/>
            <w:vAlign w:val="center"/>
          </w:tcPr>
          <w:p w:rsidR="00874233" w:rsidRPr="00163F5E" w:rsidRDefault="00874233" w:rsidP="00874233">
            <w:pPr>
              <w:pStyle w:val="af"/>
              <w:adjustRightInd w:val="0"/>
              <w:snapToGrid w:val="0"/>
              <w:spacing w:line="460" w:lineRule="exact"/>
              <w:ind w:firstLineChars="0" w:firstLine="0"/>
              <w:jc w:val="center"/>
              <w:rPr>
                <w:szCs w:val="21"/>
              </w:rPr>
            </w:pPr>
            <w:r w:rsidRPr="00163F5E">
              <w:rPr>
                <w:szCs w:val="21"/>
              </w:rPr>
              <w:t>9</w:t>
            </w:r>
          </w:p>
        </w:tc>
        <w:tc>
          <w:tcPr>
            <w:tcW w:w="1356" w:type="dxa"/>
            <w:shd w:val="clear" w:color="auto" w:fill="auto"/>
            <w:vAlign w:val="center"/>
          </w:tcPr>
          <w:p w:rsidR="00874233" w:rsidRPr="00163F5E" w:rsidRDefault="00874233" w:rsidP="00874233">
            <w:pPr>
              <w:pStyle w:val="af"/>
              <w:adjustRightInd w:val="0"/>
              <w:snapToGrid w:val="0"/>
              <w:spacing w:line="460" w:lineRule="exact"/>
              <w:ind w:firstLineChars="0" w:firstLine="0"/>
              <w:jc w:val="center"/>
              <w:rPr>
                <w:szCs w:val="21"/>
              </w:rPr>
            </w:pPr>
            <w:r w:rsidRPr="00163F5E">
              <w:rPr>
                <w:rFonts w:hint="eastAsia"/>
                <w:szCs w:val="21"/>
              </w:rPr>
              <w:t>华夏科技创新混合型证券投资基金</w:t>
            </w:r>
          </w:p>
        </w:tc>
        <w:tc>
          <w:tcPr>
            <w:tcW w:w="3028" w:type="dxa"/>
            <w:shd w:val="clear" w:color="auto" w:fill="auto"/>
            <w:vAlign w:val="center"/>
          </w:tcPr>
          <w:p w:rsidR="00874233" w:rsidRPr="00163F5E" w:rsidRDefault="00874233" w:rsidP="00874233">
            <w:pPr>
              <w:pStyle w:val="af"/>
              <w:adjustRightInd w:val="0"/>
              <w:snapToGrid w:val="0"/>
              <w:spacing w:line="460" w:lineRule="exact"/>
              <w:ind w:firstLineChars="0" w:firstLine="0"/>
              <w:jc w:val="center"/>
              <w:rPr>
                <w:szCs w:val="21"/>
              </w:rPr>
            </w:pPr>
            <w:r w:rsidRPr="00163F5E">
              <w:rPr>
                <w:rFonts w:hint="eastAsia"/>
                <w:szCs w:val="21"/>
              </w:rPr>
              <w:t>中国战略新兴产业成份指数收益率</w:t>
            </w:r>
            <w:r w:rsidRPr="00163F5E">
              <w:rPr>
                <w:rFonts w:hint="eastAsia"/>
                <w:szCs w:val="21"/>
              </w:rPr>
              <w:t>*70%+</w:t>
            </w:r>
            <w:r w:rsidRPr="00163F5E">
              <w:rPr>
                <w:rFonts w:hint="eastAsia"/>
                <w:szCs w:val="21"/>
              </w:rPr>
              <w:t>上证国债指数收益率</w:t>
            </w:r>
            <w:r w:rsidRPr="00163F5E">
              <w:rPr>
                <w:rFonts w:hint="eastAsia"/>
                <w:szCs w:val="21"/>
              </w:rPr>
              <w:t>*30%</w:t>
            </w:r>
          </w:p>
        </w:tc>
        <w:tc>
          <w:tcPr>
            <w:tcW w:w="3032" w:type="dxa"/>
            <w:shd w:val="clear" w:color="auto" w:fill="auto"/>
            <w:vAlign w:val="center"/>
          </w:tcPr>
          <w:p w:rsidR="00874233" w:rsidRPr="00163F5E" w:rsidRDefault="00874233" w:rsidP="00874233">
            <w:pPr>
              <w:pStyle w:val="af"/>
              <w:adjustRightInd w:val="0"/>
              <w:snapToGrid w:val="0"/>
              <w:spacing w:line="460" w:lineRule="exact"/>
              <w:ind w:firstLineChars="0" w:firstLine="0"/>
              <w:jc w:val="center"/>
              <w:rPr>
                <w:b/>
                <w:szCs w:val="21"/>
              </w:rPr>
            </w:pPr>
            <w:r w:rsidRPr="00163F5E">
              <w:rPr>
                <w:rFonts w:hint="eastAsia"/>
                <w:b/>
                <w:szCs w:val="21"/>
              </w:rPr>
              <w:t>中国战略新兴产业成份指数收益率</w:t>
            </w:r>
            <w:r w:rsidRPr="00163F5E">
              <w:rPr>
                <w:b/>
                <w:szCs w:val="21"/>
              </w:rPr>
              <w:t>*70%+</w:t>
            </w:r>
            <w:r w:rsidRPr="00163F5E">
              <w:rPr>
                <w:rFonts w:hint="eastAsia"/>
                <w:b/>
                <w:szCs w:val="21"/>
              </w:rPr>
              <w:t>中证港股通科技指数（人民币）收益率</w:t>
            </w:r>
            <w:r w:rsidRPr="00163F5E">
              <w:rPr>
                <w:b/>
                <w:szCs w:val="21"/>
              </w:rPr>
              <w:t>*20%+</w:t>
            </w:r>
            <w:r w:rsidRPr="00163F5E">
              <w:rPr>
                <w:rFonts w:hint="eastAsia"/>
                <w:b/>
                <w:szCs w:val="21"/>
              </w:rPr>
              <w:t>上证国债指数收益率</w:t>
            </w:r>
            <w:r w:rsidRPr="00163F5E">
              <w:rPr>
                <w:b/>
                <w:szCs w:val="21"/>
              </w:rPr>
              <w:t>*10%</w:t>
            </w:r>
          </w:p>
        </w:tc>
      </w:tr>
      <w:tr w:rsidR="00163F5E" w:rsidRPr="00163F5E" w:rsidTr="00163F5E">
        <w:trPr>
          <w:trHeight w:val="376"/>
          <w:jc w:val="center"/>
        </w:trPr>
        <w:tc>
          <w:tcPr>
            <w:tcW w:w="704" w:type="dxa"/>
            <w:vAlign w:val="center"/>
          </w:tcPr>
          <w:p w:rsidR="00EE1D53" w:rsidRPr="00163F5E" w:rsidRDefault="00EE1D53" w:rsidP="00EE1D53">
            <w:pPr>
              <w:pStyle w:val="af"/>
              <w:adjustRightInd w:val="0"/>
              <w:snapToGrid w:val="0"/>
              <w:spacing w:line="460" w:lineRule="exact"/>
              <w:ind w:firstLineChars="0" w:firstLine="0"/>
              <w:jc w:val="center"/>
              <w:rPr>
                <w:szCs w:val="21"/>
              </w:rPr>
            </w:pPr>
            <w:r w:rsidRPr="00163F5E">
              <w:rPr>
                <w:rFonts w:hint="eastAsia"/>
                <w:szCs w:val="21"/>
              </w:rPr>
              <w:t>1</w:t>
            </w:r>
            <w:r w:rsidRPr="00163F5E">
              <w:rPr>
                <w:szCs w:val="21"/>
              </w:rPr>
              <w:t>0</w:t>
            </w:r>
          </w:p>
        </w:tc>
        <w:tc>
          <w:tcPr>
            <w:tcW w:w="1356" w:type="dxa"/>
            <w:shd w:val="clear" w:color="auto" w:fill="auto"/>
            <w:vAlign w:val="center"/>
          </w:tcPr>
          <w:p w:rsidR="00EE1D53" w:rsidRPr="00163F5E" w:rsidRDefault="00EE1D53" w:rsidP="00EE1D53">
            <w:pPr>
              <w:pStyle w:val="af"/>
              <w:adjustRightInd w:val="0"/>
              <w:snapToGrid w:val="0"/>
              <w:spacing w:line="460" w:lineRule="exact"/>
              <w:ind w:firstLineChars="0" w:firstLine="0"/>
              <w:jc w:val="center"/>
              <w:rPr>
                <w:szCs w:val="21"/>
              </w:rPr>
            </w:pPr>
            <w:r w:rsidRPr="00163F5E">
              <w:rPr>
                <w:rFonts w:hint="eastAsia"/>
                <w:szCs w:val="21"/>
              </w:rPr>
              <w:t>华夏医药量化选股混合型证券投资基金</w:t>
            </w:r>
          </w:p>
        </w:tc>
        <w:tc>
          <w:tcPr>
            <w:tcW w:w="3028" w:type="dxa"/>
            <w:shd w:val="clear" w:color="auto" w:fill="auto"/>
            <w:vAlign w:val="center"/>
          </w:tcPr>
          <w:p w:rsidR="00EE1D53" w:rsidRPr="00163F5E" w:rsidRDefault="00EE1D53" w:rsidP="00EE1D53">
            <w:pPr>
              <w:pStyle w:val="af"/>
              <w:adjustRightInd w:val="0"/>
              <w:snapToGrid w:val="0"/>
              <w:spacing w:line="460" w:lineRule="exact"/>
              <w:ind w:firstLineChars="0" w:firstLine="0"/>
              <w:jc w:val="center"/>
              <w:rPr>
                <w:szCs w:val="21"/>
              </w:rPr>
            </w:pPr>
            <w:r w:rsidRPr="00163F5E">
              <w:rPr>
                <w:rFonts w:hint="eastAsia"/>
                <w:szCs w:val="21"/>
              </w:rPr>
              <w:t>中证医药卫生指数收益率×</w:t>
            </w:r>
            <w:r w:rsidRPr="00163F5E">
              <w:rPr>
                <w:rFonts w:hint="eastAsia"/>
                <w:szCs w:val="21"/>
              </w:rPr>
              <w:t>85%+</w:t>
            </w:r>
            <w:r w:rsidRPr="00163F5E">
              <w:rPr>
                <w:rFonts w:hint="eastAsia"/>
                <w:szCs w:val="21"/>
              </w:rPr>
              <w:t>恒生医疗保健指数收益率（使用估值汇率折算）×</w:t>
            </w:r>
            <w:r w:rsidRPr="00163F5E">
              <w:rPr>
                <w:rFonts w:hint="eastAsia"/>
                <w:szCs w:val="21"/>
              </w:rPr>
              <w:t>5%+</w:t>
            </w:r>
            <w:r w:rsidRPr="00163F5E">
              <w:rPr>
                <w:rFonts w:hint="eastAsia"/>
                <w:szCs w:val="21"/>
              </w:rPr>
              <w:t>银行活期存款利率（税后）×</w:t>
            </w:r>
            <w:r w:rsidRPr="00163F5E">
              <w:rPr>
                <w:rFonts w:hint="eastAsia"/>
                <w:szCs w:val="21"/>
              </w:rPr>
              <w:t>10%</w:t>
            </w:r>
          </w:p>
        </w:tc>
        <w:tc>
          <w:tcPr>
            <w:tcW w:w="3032" w:type="dxa"/>
            <w:shd w:val="clear" w:color="auto" w:fill="auto"/>
            <w:vAlign w:val="center"/>
          </w:tcPr>
          <w:p w:rsidR="00EE1D53" w:rsidRPr="00163F5E" w:rsidRDefault="00EE1D53" w:rsidP="00EE1D53">
            <w:pPr>
              <w:pStyle w:val="af"/>
              <w:adjustRightInd w:val="0"/>
              <w:snapToGrid w:val="0"/>
              <w:spacing w:line="460" w:lineRule="exact"/>
              <w:ind w:firstLineChars="0" w:firstLine="0"/>
              <w:jc w:val="center"/>
              <w:rPr>
                <w:b/>
                <w:szCs w:val="21"/>
              </w:rPr>
            </w:pPr>
            <w:r w:rsidRPr="00163F5E">
              <w:rPr>
                <w:rFonts w:hint="eastAsia"/>
                <w:b/>
                <w:szCs w:val="21"/>
              </w:rPr>
              <w:t>中证医药卫生指数收益率</w:t>
            </w:r>
            <w:r w:rsidRPr="00163F5E">
              <w:rPr>
                <w:b/>
                <w:szCs w:val="21"/>
              </w:rPr>
              <w:t>*85%+</w:t>
            </w:r>
            <w:r w:rsidRPr="00163F5E">
              <w:rPr>
                <w:rFonts w:hint="eastAsia"/>
                <w:b/>
                <w:szCs w:val="21"/>
              </w:rPr>
              <w:t>恒生医疗保健指数收益率</w:t>
            </w:r>
            <w:r w:rsidRPr="00163F5E">
              <w:rPr>
                <w:b/>
                <w:szCs w:val="21"/>
              </w:rPr>
              <w:t>*5%+</w:t>
            </w:r>
            <w:r w:rsidRPr="00163F5E">
              <w:rPr>
                <w:rFonts w:hint="eastAsia"/>
                <w:b/>
                <w:szCs w:val="21"/>
              </w:rPr>
              <w:t>中债</w:t>
            </w:r>
            <w:r w:rsidRPr="00163F5E">
              <w:rPr>
                <w:b/>
                <w:szCs w:val="21"/>
              </w:rPr>
              <w:t>-</w:t>
            </w:r>
            <w:r w:rsidRPr="00163F5E">
              <w:rPr>
                <w:rFonts w:hint="eastAsia"/>
                <w:b/>
                <w:szCs w:val="21"/>
              </w:rPr>
              <w:t>综合全价（总值）指数收益率</w:t>
            </w:r>
            <w:r w:rsidRPr="00163F5E">
              <w:rPr>
                <w:b/>
                <w:szCs w:val="21"/>
              </w:rPr>
              <w:t>*5%+</w:t>
            </w:r>
            <w:r w:rsidRPr="00163F5E">
              <w:rPr>
                <w:rFonts w:hint="eastAsia"/>
                <w:b/>
                <w:szCs w:val="21"/>
              </w:rPr>
              <w:t>活期存款基准利率</w:t>
            </w:r>
            <w:r w:rsidRPr="00163F5E">
              <w:rPr>
                <w:b/>
                <w:szCs w:val="21"/>
              </w:rPr>
              <w:t>*5%</w:t>
            </w:r>
          </w:p>
        </w:tc>
      </w:tr>
      <w:tr w:rsidR="00163F5E" w:rsidRPr="00163F5E" w:rsidTr="00163F5E">
        <w:trPr>
          <w:trHeight w:val="376"/>
          <w:jc w:val="center"/>
        </w:trPr>
        <w:tc>
          <w:tcPr>
            <w:tcW w:w="704" w:type="dxa"/>
            <w:vAlign w:val="center"/>
          </w:tcPr>
          <w:p w:rsidR="00EE1D53" w:rsidRPr="00163F5E" w:rsidRDefault="00EE1D53" w:rsidP="00EE1D53">
            <w:pPr>
              <w:pStyle w:val="af"/>
              <w:adjustRightInd w:val="0"/>
              <w:snapToGrid w:val="0"/>
              <w:spacing w:line="460" w:lineRule="exact"/>
              <w:ind w:firstLineChars="0" w:firstLine="0"/>
              <w:jc w:val="center"/>
              <w:rPr>
                <w:szCs w:val="21"/>
              </w:rPr>
            </w:pPr>
            <w:r w:rsidRPr="00163F5E">
              <w:rPr>
                <w:rFonts w:hint="eastAsia"/>
                <w:szCs w:val="21"/>
              </w:rPr>
              <w:t>1</w:t>
            </w:r>
            <w:r w:rsidRPr="00163F5E">
              <w:rPr>
                <w:szCs w:val="21"/>
              </w:rPr>
              <w:t>1</w:t>
            </w:r>
          </w:p>
        </w:tc>
        <w:tc>
          <w:tcPr>
            <w:tcW w:w="1356" w:type="dxa"/>
            <w:shd w:val="clear" w:color="auto" w:fill="auto"/>
            <w:vAlign w:val="center"/>
          </w:tcPr>
          <w:p w:rsidR="00EE1D53" w:rsidRPr="00163F5E" w:rsidRDefault="00EE1D53" w:rsidP="00EE1D53">
            <w:pPr>
              <w:pStyle w:val="af"/>
              <w:adjustRightInd w:val="0"/>
              <w:snapToGrid w:val="0"/>
              <w:spacing w:line="460" w:lineRule="exact"/>
              <w:ind w:firstLineChars="0" w:firstLine="0"/>
              <w:jc w:val="center"/>
              <w:rPr>
                <w:szCs w:val="21"/>
              </w:rPr>
            </w:pPr>
            <w:r w:rsidRPr="00163F5E">
              <w:rPr>
                <w:rFonts w:hint="eastAsia"/>
                <w:szCs w:val="21"/>
              </w:rPr>
              <w:t>华夏兴华混合型证券投资基金</w:t>
            </w:r>
          </w:p>
        </w:tc>
        <w:tc>
          <w:tcPr>
            <w:tcW w:w="3028" w:type="dxa"/>
            <w:shd w:val="clear" w:color="auto" w:fill="auto"/>
            <w:vAlign w:val="center"/>
          </w:tcPr>
          <w:p w:rsidR="00EE1D53" w:rsidRPr="00163F5E" w:rsidRDefault="00EE1D53" w:rsidP="00EE1D53">
            <w:pPr>
              <w:pStyle w:val="af"/>
              <w:adjustRightInd w:val="0"/>
              <w:snapToGrid w:val="0"/>
              <w:spacing w:line="460" w:lineRule="exact"/>
              <w:ind w:firstLineChars="0" w:firstLine="0"/>
              <w:jc w:val="center"/>
              <w:rPr>
                <w:szCs w:val="21"/>
              </w:rPr>
            </w:pPr>
            <w:r w:rsidRPr="00163F5E">
              <w:rPr>
                <w:rFonts w:hint="eastAsia"/>
                <w:szCs w:val="21"/>
              </w:rPr>
              <w:t>沪深</w:t>
            </w:r>
            <w:r w:rsidRPr="00163F5E">
              <w:rPr>
                <w:rFonts w:hint="eastAsia"/>
                <w:szCs w:val="21"/>
              </w:rPr>
              <w:t>300</w:t>
            </w:r>
            <w:r w:rsidRPr="00163F5E">
              <w:rPr>
                <w:rFonts w:hint="eastAsia"/>
                <w:szCs w:val="21"/>
              </w:rPr>
              <w:t>指数×</w:t>
            </w:r>
            <w:r w:rsidRPr="00163F5E">
              <w:rPr>
                <w:rFonts w:hint="eastAsia"/>
                <w:szCs w:val="21"/>
              </w:rPr>
              <w:t>70%+</w:t>
            </w:r>
            <w:r w:rsidRPr="00163F5E">
              <w:rPr>
                <w:rFonts w:hint="eastAsia"/>
                <w:szCs w:val="21"/>
              </w:rPr>
              <w:t>上证国债指数×</w:t>
            </w:r>
            <w:r w:rsidRPr="00163F5E">
              <w:rPr>
                <w:rFonts w:hint="eastAsia"/>
                <w:szCs w:val="21"/>
              </w:rPr>
              <w:t>30%</w:t>
            </w:r>
          </w:p>
        </w:tc>
        <w:tc>
          <w:tcPr>
            <w:tcW w:w="3032" w:type="dxa"/>
            <w:shd w:val="clear" w:color="auto" w:fill="auto"/>
            <w:vAlign w:val="center"/>
          </w:tcPr>
          <w:p w:rsidR="00EE1D53" w:rsidRPr="00163F5E" w:rsidRDefault="00EE1D53" w:rsidP="00EE1D53">
            <w:pPr>
              <w:pStyle w:val="af"/>
              <w:adjustRightInd w:val="0"/>
              <w:snapToGrid w:val="0"/>
              <w:spacing w:line="460" w:lineRule="exact"/>
              <w:ind w:firstLineChars="0" w:firstLine="0"/>
              <w:jc w:val="center"/>
              <w:rPr>
                <w:b/>
                <w:szCs w:val="21"/>
              </w:rPr>
            </w:pPr>
            <w:r w:rsidRPr="00163F5E">
              <w:rPr>
                <w:rFonts w:hint="eastAsia"/>
                <w:b/>
                <w:szCs w:val="21"/>
              </w:rPr>
              <w:t>中证</w:t>
            </w:r>
            <w:r w:rsidRPr="00163F5E">
              <w:rPr>
                <w:b/>
                <w:szCs w:val="21"/>
              </w:rPr>
              <w:t>A500</w:t>
            </w:r>
            <w:r w:rsidRPr="00163F5E">
              <w:rPr>
                <w:rFonts w:hint="eastAsia"/>
                <w:b/>
                <w:szCs w:val="21"/>
              </w:rPr>
              <w:t>指数收益率</w:t>
            </w:r>
            <w:r w:rsidRPr="00163F5E">
              <w:rPr>
                <w:b/>
                <w:szCs w:val="21"/>
              </w:rPr>
              <w:t>*85%+</w:t>
            </w:r>
            <w:r w:rsidRPr="00163F5E">
              <w:rPr>
                <w:rFonts w:hint="eastAsia"/>
                <w:b/>
                <w:szCs w:val="21"/>
              </w:rPr>
              <w:t>上证国债指数收益率</w:t>
            </w:r>
            <w:r w:rsidRPr="00163F5E">
              <w:rPr>
                <w:b/>
                <w:szCs w:val="21"/>
              </w:rPr>
              <w:t>*15%</w:t>
            </w:r>
          </w:p>
        </w:tc>
      </w:tr>
      <w:tr w:rsidR="00163F5E" w:rsidRPr="00163F5E" w:rsidTr="00163F5E">
        <w:trPr>
          <w:trHeight w:val="376"/>
          <w:jc w:val="center"/>
        </w:trPr>
        <w:tc>
          <w:tcPr>
            <w:tcW w:w="704" w:type="dxa"/>
            <w:vAlign w:val="center"/>
          </w:tcPr>
          <w:p w:rsidR="00EE1D53" w:rsidRPr="00163F5E" w:rsidRDefault="00EE1D53" w:rsidP="00EE1D53">
            <w:pPr>
              <w:pStyle w:val="af"/>
              <w:adjustRightInd w:val="0"/>
              <w:snapToGrid w:val="0"/>
              <w:spacing w:line="460" w:lineRule="exact"/>
              <w:ind w:firstLineChars="0" w:firstLine="0"/>
              <w:jc w:val="center"/>
              <w:rPr>
                <w:szCs w:val="21"/>
              </w:rPr>
            </w:pPr>
            <w:r w:rsidRPr="00163F5E">
              <w:rPr>
                <w:rFonts w:hint="eastAsia"/>
                <w:szCs w:val="21"/>
              </w:rPr>
              <w:t>1</w:t>
            </w:r>
            <w:r w:rsidRPr="00163F5E">
              <w:rPr>
                <w:szCs w:val="21"/>
              </w:rPr>
              <w:t>2</w:t>
            </w:r>
          </w:p>
        </w:tc>
        <w:tc>
          <w:tcPr>
            <w:tcW w:w="1356" w:type="dxa"/>
            <w:shd w:val="clear" w:color="auto" w:fill="auto"/>
            <w:vAlign w:val="center"/>
          </w:tcPr>
          <w:p w:rsidR="00EE1D53" w:rsidRPr="00163F5E" w:rsidRDefault="00EE1D53" w:rsidP="00EE1D53">
            <w:pPr>
              <w:pStyle w:val="af"/>
              <w:adjustRightInd w:val="0"/>
              <w:snapToGrid w:val="0"/>
              <w:spacing w:line="460" w:lineRule="exact"/>
              <w:ind w:firstLineChars="0" w:firstLine="0"/>
              <w:jc w:val="center"/>
              <w:rPr>
                <w:szCs w:val="21"/>
              </w:rPr>
            </w:pPr>
            <w:r w:rsidRPr="00163F5E">
              <w:rPr>
                <w:rFonts w:hint="eastAsia"/>
                <w:szCs w:val="21"/>
              </w:rPr>
              <w:t>华夏量化选股股票型证券投资基金</w:t>
            </w:r>
          </w:p>
        </w:tc>
        <w:tc>
          <w:tcPr>
            <w:tcW w:w="3028" w:type="dxa"/>
            <w:shd w:val="clear" w:color="auto" w:fill="auto"/>
            <w:vAlign w:val="center"/>
          </w:tcPr>
          <w:p w:rsidR="00EE1D53" w:rsidRPr="00163F5E" w:rsidRDefault="00EE1D53" w:rsidP="00EE1D53">
            <w:pPr>
              <w:pStyle w:val="af"/>
              <w:adjustRightInd w:val="0"/>
              <w:snapToGrid w:val="0"/>
              <w:spacing w:line="460" w:lineRule="exact"/>
              <w:ind w:firstLineChars="0" w:firstLine="0"/>
              <w:jc w:val="center"/>
              <w:rPr>
                <w:szCs w:val="21"/>
              </w:rPr>
            </w:pPr>
            <w:r w:rsidRPr="00163F5E">
              <w:rPr>
                <w:rFonts w:hint="eastAsia"/>
                <w:szCs w:val="21"/>
              </w:rPr>
              <w:t>沪深</w:t>
            </w:r>
            <w:r w:rsidRPr="00163F5E">
              <w:rPr>
                <w:rFonts w:hint="eastAsia"/>
                <w:szCs w:val="21"/>
              </w:rPr>
              <w:t>300</w:t>
            </w:r>
            <w:r w:rsidRPr="00163F5E">
              <w:rPr>
                <w:rFonts w:hint="eastAsia"/>
                <w:szCs w:val="21"/>
              </w:rPr>
              <w:t>指数收益率</w:t>
            </w:r>
            <w:r w:rsidRPr="00163F5E">
              <w:rPr>
                <w:rFonts w:hint="eastAsia"/>
                <w:szCs w:val="21"/>
              </w:rPr>
              <w:t>*95%+</w:t>
            </w:r>
            <w:r w:rsidRPr="00163F5E">
              <w:rPr>
                <w:rFonts w:hint="eastAsia"/>
                <w:szCs w:val="21"/>
              </w:rPr>
              <w:t>银行活期存款利率（税后）</w:t>
            </w:r>
            <w:r w:rsidRPr="00163F5E">
              <w:rPr>
                <w:rFonts w:hint="eastAsia"/>
                <w:szCs w:val="21"/>
              </w:rPr>
              <w:t>*5%</w:t>
            </w:r>
          </w:p>
        </w:tc>
        <w:tc>
          <w:tcPr>
            <w:tcW w:w="3032" w:type="dxa"/>
            <w:shd w:val="clear" w:color="auto" w:fill="auto"/>
            <w:vAlign w:val="center"/>
          </w:tcPr>
          <w:p w:rsidR="00EE1D53" w:rsidRPr="00163F5E" w:rsidRDefault="00EE1D53" w:rsidP="00EE1D53">
            <w:pPr>
              <w:pStyle w:val="af"/>
              <w:adjustRightInd w:val="0"/>
              <w:snapToGrid w:val="0"/>
              <w:spacing w:line="460" w:lineRule="exact"/>
              <w:ind w:firstLineChars="0" w:firstLine="0"/>
              <w:jc w:val="center"/>
              <w:rPr>
                <w:b/>
                <w:szCs w:val="21"/>
              </w:rPr>
            </w:pPr>
            <w:r w:rsidRPr="00163F5E">
              <w:rPr>
                <w:rFonts w:hint="eastAsia"/>
                <w:b/>
                <w:szCs w:val="21"/>
              </w:rPr>
              <w:t>中证</w:t>
            </w:r>
            <w:r w:rsidRPr="00163F5E">
              <w:rPr>
                <w:b/>
                <w:szCs w:val="21"/>
              </w:rPr>
              <w:t>800</w:t>
            </w:r>
            <w:r w:rsidRPr="00163F5E">
              <w:rPr>
                <w:rFonts w:hint="eastAsia"/>
                <w:b/>
                <w:szCs w:val="21"/>
              </w:rPr>
              <w:t>指数收益率</w:t>
            </w:r>
            <w:r w:rsidRPr="00163F5E">
              <w:rPr>
                <w:b/>
                <w:szCs w:val="21"/>
              </w:rPr>
              <w:t>*80%+</w:t>
            </w:r>
            <w:r w:rsidRPr="00163F5E">
              <w:rPr>
                <w:rFonts w:hint="eastAsia"/>
                <w:b/>
                <w:szCs w:val="21"/>
              </w:rPr>
              <w:t>中证港股通综合指数（人民币）收益率</w:t>
            </w:r>
            <w:r w:rsidRPr="00163F5E">
              <w:rPr>
                <w:b/>
                <w:szCs w:val="21"/>
              </w:rPr>
              <w:t>*15%+</w:t>
            </w:r>
            <w:r w:rsidRPr="00163F5E">
              <w:rPr>
                <w:rFonts w:hint="eastAsia"/>
                <w:b/>
                <w:szCs w:val="21"/>
              </w:rPr>
              <w:t>活期存款基准利率</w:t>
            </w:r>
            <w:r w:rsidRPr="00163F5E">
              <w:rPr>
                <w:b/>
                <w:szCs w:val="21"/>
              </w:rPr>
              <w:t>*5%</w:t>
            </w:r>
          </w:p>
        </w:tc>
      </w:tr>
      <w:tr w:rsidR="00163F5E" w:rsidRPr="00163F5E" w:rsidTr="00163F5E">
        <w:trPr>
          <w:trHeight w:val="376"/>
          <w:jc w:val="center"/>
        </w:trPr>
        <w:tc>
          <w:tcPr>
            <w:tcW w:w="704" w:type="dxa"/>
            <w:vAlign w:val="center"/>
          </w:tcPr>
          <w:p w:rsidR="00EE1D53" w:rsidRPr="00163F5E" w:rsidRDefault="00EE1D53" w:rsidP="00EE1D53">
            <w:pPr>
              <w:pStyle w:val="af"/>
              <w:adjustRightInd w:val="0"/>
              <w:snapToGrid w:val="0"/>
              <w:spacing w:line="460" w:lineRule="exact"/>
              <w:ind w:firstLineChars="0" w:firstLine="0"/>
              <w:jc w:val="center"/>
              <w:rPr>
                <w:szCs w:val="21"/>
              </w:rPr>
            </w:pPr>
            <w:r w:rsidRPr="00163F5E">
              <w:rPr>
                <w:rFonts w:hint="eastAsia"/>
                <w:szCs w:val="21"/>
              </w:rPr>
              <w:t>1</w:t>
            </w:r>
            <w:r w:rsidRPr="00163F5E">
              <w:rPr>
                <w:szCs w:val="21"/>
              </w:rPr>
              <w:t>3</w:t>
            </w:r>
          </w:p>
        </w:tc>
        <w:tc>
          <w:tcPr>
            <w:tcW w:w="1356" w:type="dxa"/>
            <w:shd w:val="clear" w:color="auto" w:fill="auto"/>
            <w:vAlign w:val="center"/>
          </w:tcPr>
          <w:p w:rsidR="00EE1D53" w:rsidRPr="00163F5E" w:rsidRDefault="00EE1D53" w:rsidP="00EE1D53">
            <w:pPr>
              <w:pStyle w:val="af"/>
              <w:adjustRightInd w:val="0"/>
              <w:snapToGrid w:val="0"/>
              <w:spacing w:line="460" w:lineRule="exact"/>
              <w:ind w:firstLineChars="0" w:firstLine="0"/>
              <w:jc w:val="center"/>
              <w:rPr>
                <w:szCs w:val="21"/>
              </w:rPr>
            </w:pPr>
            <w:r w:rsidRPr="00163F5E">
              <w:rPr>
                <w:rFonts w:hint="eastAsia"/>
                <w:szCs w:val="21"/>
              </w:rPr>
              <w:t>华夏鼎兴债券型证券投资基金</w:t>
            </w:r>
          </w:p>
        </w:tc>
        <w:tc>
          <w:tcPr>
            <w:tcW w:w="3028" w:type="dxa"/>
            <w:shd w:val="clear" w:color="auto" w:fill="auto"/>
            <w:vAlign w:val="center"/>
          </w:tcPr>
          <w:p w:rsidR="00EE1D53" w:rsidRPr="00163F5E" w:rsidRDefault="00EE1D53" w:rsidP="00EE1D53">
            <w:pPr>
              <w:pStyle w:val="af"/>
              <w:adjustRightInd w:val="0"/>
              <w:snapToGrid w:val="0"/>
              <w:spacing w:line="460" w:lineRule="exact"/>
              <w:ind w:firstLineChars="0" w:firstLine="0"/>
              <w:jc w:val="center"/>
              <w:rPr>
                <w:szCs w:val="21"/>
              </w:rPr>
            </w:pPr>
            <w:r w:rsidRPr="00163F5E">
              <w:rPr>
                <w:rFonts w:hint="eastAsia"/>
                <w:szCs w:val="21"/>
              </w:rPr>
              <w:t>中债综合指数收益率</w:t>
            </w:r>
          </w:p>
        </w:tc>
        <w:tc>
          <w:tcPr>
            <w:tcW w:w="3032" w:type="dxa"/>
            <w:shd w:val="clear" w:color="auto" w:fill="auto"/>
            <w:vAlign w:val="center"/>
          </w:tcPr>
          <w:p w:rsidR="00EE1D53" w:rsidRPr="00163F5E" w:rsidRDefault="00EE1D53" w:rsidP="00EE1D53">
            <w:pPr>
              <w:pStyle w:val="af"/>
              <w:adjustRightInd w:val="0"/>
              <w:snapToGrid w:val="0"/>
              <w:spacing w:line="460" w:lineRule="exact"/>
              <w:ind w:firstLineChars="0" w:firstLine="0"/>
              <w:jc w:val="center"/>
              <w:rPr>
                <w:b/>
                <w:szCs w:val="21"/>
              </w:rPr>
            </w:pPr>
            <w:r w:rsidRPr="00163F5E">
              <w:rPr>
                <w:rFonts w:hint="eastAsia"/>
                <w:b/>
                <w:szCs w:val="21"/>
              </w:rPr>
              <w:t>中债</w:t>
            </w:r>
            <w:r w:rsidRPr="00163F5E">
              <w:rPr>
                <w:b/>
                <w:szCs w:val="21"/>
              </w:rPr>
              <w:t>-</w:t>
            </w:r>
            <w:r w:rsidRPr="00163F5E">
              <w:rPr>
                <w:rFonts w:hint="eastAsia"/>
                <w:b/>
                <w:szCs w:val="21"/>
              </w:rPr>
              <w:t>综合全价（</w:t>
            </w:r>
            <w:r w:rsidRPr="00163F5E">
              <w:rPr>
                <w:b/>
                <w:szCs w:val="21"/>
              </w:rPr>
              <w:t>1-3</w:t>
            </w:r>
            <w:r w:rsidRPr="00163F5E">
              <w:rPr>
                <w:rFonts w:hint="eastAsia"/>
                <w:b/>
                <w:szCs w:val="21"/>
              </w:rPr>
              <w:t>年）指数收益率</w:t>
            </w:r>
          </w:p>
        </w:tc>
      </w:tr>
      <w:tr w:rsidR="00163F5E" w:rsidRPr="00163F5E" w:rsidTr="00163F5E">
        <w:trPr>
          <w:trHeight w:val="376"/>
          <w:jc w:val="center"/>
        </w:trPr>
        <w:tc>
          <w:tcPr>
            <w:tcW w:w="704" w:type="dxa"/>
            <w:vAlign w:val="center"/>
          </w:tcPr>
          <w:p w:rsidR="00EE1D53" w:rsidRPr="00163F5E" w:rsidRDefault="00EE1D53" w:rsidP="00EE1D53">
            <w:pPr>
              <w:pStyle w:val="af"/>
              <w:adjustRightInd w:val="0"/>
              <w:snapToGrid w:val="0"/>
              <w:spacing w:line="460" w:lineRule="exact"/>
              <w:ind w:firstLineChars="0" w:firstLine="0"/>
              <w:jc w:val="center"/>
              <w:rPr>
                <w:szCs w:val="21"/>
              </w:rPr>
            </w:pPr>
            <w:r w:rsidRPr="00163F5E">
              <w:rPr>
                <w:rFonts w:hint="eastAsia"/>
                <w:szCs w:val="21"/>
              </w:rPr>
              <w:t>1</w:t>
            </w:r>
            <w:r w:rsidRPr="00163F5E">
              <w:rPr>
                <w:szCs w:val="21"/>
              </w:rPr>
              <w:t>4</w:t>
            </w:r>
          </w:p>
        </w:tc>
        <w:tc>
          <w:tcPr>
            <w:tcW w:w="1356" w:type="dxa"/>
            <w:shd w:val="clear" w:color="auto" w:fill="auto"/>
            <w:vAlign w:val="center"/>
          </w:tcPr>
          <w:p w:rsidR="00EE1D53" w:rsidRPr="00163F5E" w:rsidRDefault="00EE1D53" w:rsidP="00EE1D53">
            <w:pPr>
              <w:pStyle w:val="af"/>
              <w:adjustRightInd w:val="0"/>
              <w:snapToGrid w:val="0"/>
              <w:spacing w:line="460" w:lineRule="exact"/>
              <w:ind w:firstLineChars="0" w:firstLine="0"/>
              <w:jc w:val="center"/>
              <w:rPr>
                <w:szCs w:val="21"/>
              </w:rPr>
            </w:pPr>
            <w:r w:rsidRPr="00163F5E">
              <w:rPr>
                <w:rFonts w:hint="eastAsia"/>
                <w:szCs w:val="21"/>
              </w:rPr>
              <w:t>华夏鼎业三个月定期开放债券型证券投资基金</w:t>
            </w:r>
          </w:p>
        </w:tc>
        <w:tc>
          <w:tcPr>
            <w:tcW w:w="3028" w:type="dxa"/>
            <w:shd w:val="clear" w:color="auto" w:fill="auto"/>
            <w:vAlign w:val="center"/>
          </w:tcPr>
          <w:p w:rsidR="00EE1D53" w:rsidRPr="00163F5E" w:rsidRDefault="00EE1D53" w:rsidP="00EE1D53">
            <w:pPr>
              <w:pStyle w:val="af"/>
              <w:adjustRightInd w:val="0"/>
              <w:snapToGrid w:val="0"/>
              <w:spacing w:line="460" w:lineRule="exact"/>
              <w:ind w:firstLineChars="0" w:firstLine="0"/>
              <w:jc w:val="center"/>
              <w:rPr>
                <w:szCs w:val="21"/>
              </w:rPr>
            </w:pPr>
            <w:r w:rsidRPr="00163F5E">
              <w:rPr>
                <w:rFonts w:hint="eastAsia"/>
                <w:szCs w:val="21"/>
              </w:rPr>
              <w:t>中债综合指数收益率</w:t>
            </w:r>
          </w:p>
        </w:tc>
        <w:tc>
          <w:tcPr>
            <w:tcW w:w="3032" w:type="dxa"/>
            <w:shd w:val="clear" w:color="auto" w:fill="auto"/>
            <w:vAlign w:val="center"/>
          </w:tcPr>
          <w:p w:rsidR="00EE1D53" w:rsidRPr="00163F5E" w:rsidRDefault="00EE1D53" w:rsidP="00EE1D53">
            <w:pPr>
              <w:pStyle w:val="af"/>
              <w:adjustRightInd w:val="0"/>
              <w:snapToGrid w:val="0"/>
              <w:spacing w:line="460" w:lineRule="exact"/>
              <w:ind w:firstLineChars="0" w:firstLine="0"/>
              <w:jc w:val="center"/>
              <w:rPr>
                <w:b/>
                <w:szCs w:val="21"/>
              </w:rPr>
            </w:pPr>
            <w:r w:rsidRPr="00163F5E">
              <w:rPr>
                <w:rFonts w:hint="eastAsia"/>
                <w:b/>
                <w:szCs w:val="21"/>
              </w:rPr>
              <w:t>中债</w:t>
            </w:r>
            <w:r w:rsidRPr="00163F5E">
              <w:rPr>
                <w:b/>
                <w:szCs w:val="21"/>
              </w:rPr>
              <w:t>-</w:t>
            </w:r>
            <w:r w:rsidRPr="00163F5E">
              <w:rPr>
                <w:rFonts w:hint="eastAsia"/>
                <w:b/>
                <w:szCs w:val="21"/>
              </w:rPr>
              <w:t>综合全价（</w:t>
            </w:r>
            <w:r w:rsidRPr="00163F5E">
              <w:rPr>
                <w:b/>
                <w:szCs w:val="21"/>
              </w:rPr>
              <w:t>1-3</w:t>
            </w:r>
            <w:r w:rsidRPr="00163F5E">
              <w:rPr>
                <w:rFonts w:hint="eastAsia"/>
                <w:b/>
                <w:szCs w:val="21"/>
              </w:rPr>
              <w:t>年）指数收益率</w:t>
            </w:r>
          </w:p>
        </w:tc>
      </w:tr>
      <w:tr w:rsidR="00163F5E" w:rsidRPr="00163F5E" w:rsidTr="00163F5E">
        <w:trPr>
          <w:trHeight w:val="376"/>
          <w:jc w:val="center"/>
        </w:trPr>
        <w:tc>
          <w:tcPr>
            <w:tcW w:w="704" w:type="dxa"/>
            <w:vAlign w:val="center"/>
          </w:tcPr>
          <w:p w:rsidR="00EE1D53" w:rsidRPr="00163F5E" w:rsidRDefault="00EE1D53" w:rsidP="00EE1D53">
            <w:pPr>
              <w:pStyle w:val="af"/>
              <w:adjustRightInd w:val="0"/>
              <w:snapToGrid w:val="0"/>
              <w:spacing w:line="460" w:lineRule="exact"/>
              <w:ind w:firstLineChars="0" w:firstLine="0"/>
              <w:jc w:val="center"/>
              <w:rPr>
                <w:szCs w:val="21"/>
              </w:rPr>
            </w:pPr>
            <w:r w:rsidRPr="00163F5E">
              <w:rPr>
                <w:rFonts w:hint="eastAsia"/>
                <w:szCs w:val="21"/>
              </w:rPr>
              <w:t>1</w:t>
            </w:r>
            <w:r w:rsidRPr="00163F5E">
              <w:rPr>
                <w:szCs w:val="21"/>
              </w:rPr>
              <w:t>5</w:t>
            </w:r>
          </w:p>
        </w:tc>
        <w:tc>
          <w:tcPr>
            <w:tcW w:w="1356" w:type="dxa"/>
            <w:shd w:val="clear" w:color="auto" w:fill="auto"/>
            <w:vAlign w:val="center"/>
          </w:tcPr>
          <w:p w:rsidR="00EE1D53" w:rsidRPr="00163F5E" w:rsidRDefault="00EE1D53" w:rsidP="00EE1D53">
            <w:pPr>
              <w:pStyle w:val="af"/>
              <w:adjustRightInd w:val="0"/>
              <w:snapToGrid w:val="0"/>
              <w:spacing w:line="460" w:lineRule="exact"/>
              <w:ind w:firstLineChars="0" w:firstLine="0"/>
              <w:jc w:val="center"/>
              <w:rPr>
                <w:szCs w:val="21"/>
              </w:rPr>
            </w:pPr>
            <w:r w:rsidRPr="00163F5E">
              <w:rPr>
                <w:rFonts w:hint="eastAsia"/>
                <w:szCs w:val="21"/>
              </w:rPr>
              <w:t>华夏信盈一年持有期债券型证券投资基金</w:t>
            </w:r>
          </w:p>
        </w:tc>
        <w:tc>
          <w:tcPr>
            <w:tcW w:w="3028" w:type="dxa"/>
            <w:shd w:val="clear" w:color="auto" w:fill="auto"/>
            <w:vAlign w:val="center"/>
          </w:tcPr>
          <w:p w:rsidR="00EE1D53" w:rsidRPr="00163F5E" w:rsidRDefault="00EE1D53" w:rsidP="00EE1D53">
            <w:pPr>
              <w:pStyle w:val="af"/>
              <w:adjustRightInd w:val="0"/>
              <w:snapToGrid w:val="0"/>
              <w:spacing w:line="460" w:lineRule="exact"/>
              <w:ind w:firstLineChars="0" w:firstLine="0"/>
              <w:jc w:val="center"/>
              <w:rPr>
                <w:szCs w:val="21"/>
              </w:rPr>
            </w:pPr>
            <w:r w:rsidRPr="00163F5E">
              <w:rPr>
                <w:rFonts w:hint="eastAsia"/>
                <w:szCs w:val="21"/>
              </w:rPr>
              <w:t>中债综合（全价）指数收益率</w:t>
            </w:r>
            <w:r w:rsidRPr="00163F5E">
              <w:rPr>
                <w:rFonts w:hint="eastAsia"/>
                <w:szCs w:val="21"/>
              </w:rPr>
              <w:t>*80%+</w:t>
            </w:r>
            <w:r w:rsidRPr="00163F5E">
              <w:rPr>
                <w:rFonts w:hint="eastAsia"/>
                <w:szCs w:val="21"/>
              </w:rPr>
              <w:t>一年期定期存款利率</w:t>
            </w:r>
            <w:r w:rsidRPr="00163F5E">
              <w:rPr>
                <w:rFonts w:hint="eastAsia"/>
                <w:szCs w:val="21"/>
              </w:rPr>
              <w:t>*20%</w:t>
            </w:r>
          </w:p>
        </w:tc>
        <w:tc>
          <w:tcPr>
            <w:tcW w:w="3032" w:type="dxa"/>
            <w:shd w:val="clear" w:color="auto" w:fill="auto"/>
            <w:vAlign w:val="center"/>
          </w:tcPr>
          <w:p w:rsidR="00EE1D53" w:rsidRPr="00163F5E" w:rsidRDefault="00EE1D53" w:rsidP="00EE1D53">
            <w:pPr>
              <w:pStyle w:val="af"/>
              <w:adjustRightInd w:val="0"/>
              <w:snapToGrid w:val="0"/>
              <w:spacing w:line="460" w:lineRule="exact"/>
              <w:ind w:firstLineChars="0" w:firstLine="0"/>
              <w:jc w:val="center"/>
              <w:rPr>
                <w:b/>
                <w:szCs w:val="21"/>
              </w:rPr>
            </w:pPr>
            <w:r w:rsidRPr="00163F5E">
              <w:rPr>
                <w:rFonts w:hint="eastAsia"/>
                <w:b/>
                <w:szCs w:val="21"/>
              </w:rPr>
              <w:t>中债</w:t>
            </w:r>
            <w:r w:rsidRPr="00163F5E">
              <w:rPr>
                <w:b/>
                <w:szCs w:val="21"/>
              </w:rPr>
              <w:t>-</w:t>
            </w:r>
            <w:r w:rsidRPr="00163F5E">
              <w:rPr>
                <w:rFonts w:hint="eastAsia"/>
                <w:b/>
                <w:szCs w:val="21"/>
              </w:rPr>
              <w:t>综合全价（</w:t>
            </w:r>
            <w:r w:rsidRPr="00163F5E">
              <w:rPr>
                <w:b/>
                <w:szCs w:val="21"/>
              </w:rPr>
              <w:t>1-3</w:t>
            </w:r>
            <w:r w:rsidRPr="00163F5E">
              <w:rPr>
                <w:rFonts w:hint="eastAsia"/>
                <w:b/>
                <w:szCs w:val="21"/>
              </w:rPr>
              <w:t>年）指数收益率</w:t>
            </w:r>
            <w:r w:rsidRPr="00163F5E">
              <w:rPr>
                <w:b/>
                <w:szCs w:val="21"/>
              </w:rPr>
              <w:t>*90%+</w:t>
            </w:r>
            <w:r w:rsidRPr="00163F5E">
              <w:rPr>
                <w:rFonts w:hint="eastAsia"/>
                <w:b/>
                <w:szCs w:val="21"/>
              </w:rPr>
              <w:t>中证可转换债券</w:t>
            </w:r>
            <w:r w:rsidR="00C41070" w:rsidRPr="00163F5E">
              <w:rPr>
                <w:rFonts w:hint="eastAsia"/>
                <w:b/>
                <w:szCs w:val="21"/>
              </w:rPr>
              <w:t>（全价）</w:t>
            </w:r>
            <w:r w:rsidRPr="00163F5E">
              <w:rPr>
                <w:rFonts w:hint="eastAsia"/>
                <w:b/>
                <w:szCs w:val="21"/>
              </w:rPr>
              <w:t>指数收益率</w:t>
            </w:r>
            <w:r w:rsidRPr="00163F5E">
              <w:rPr>
                <w:b/>
                <w:szCs w:val="21"/>
              </w:rPr>
              <w:t>*10%</w:t>
            </w:r>
          </w:p>
        </w:tc>
      </w:tr>
      <w:tr w:rsidR="00163F5E" w:rsidRPr="00163F5E" w:rsidTr="00163F5E">
        <w:trPr>
          <w:trHeight w:val="376"/>
          <w:jc w:val="center"/>
        </w:trPr>
        <w:tc>
          <w:tcPr>
            <w:tcW w:w="704" w:type="dxa"/>
            <w:vAlign w:val="center"/>
          </w:tcPr>
          <w:p w:rsidR="00EE1D53" w:rsidRPr="00163F5E" w:rsidRDefault="00EE1D53" w:rsidP="00EE1D53">
            <w:pPr>
              <w:pStyle w:val="af"/>
              <w:adjustRightInd w:val="0"/>
              <w:snapToGrid w:val="0"/>
              <w:spacing w:line="460" w:lineRule="exact"/>
              <w:ind w:firstLineChars="0" w:firstLine="0"/>
              <w:jc w:val="center"/>
              <w:rPr>
                <w:szCs w:val="21"/>
              </w:rPr>
            </w:pPr>
            <w:r w:rsidRPr="00163F5E">
              <w:rPr>
                <w:rFonts w:hint="eastAsia"/>
                <w:szCs w:val="21"/>
              </w:rPr>
              <w:t>1</w:t>
            </w:r>
            <w:r w:rsidRPr="00163F5E">
              <w:rPr>
                <w:szCs w:val="21"/>
              </w:rPr>
              <w:t>6</w:t>
            </w:r>
          </w:p>
        </w:tc>
        <w:tc>
          <w:tcPr>
            <w:tcW w:w="1356" w:type="dxa"/>
            <w:shd w:val="clear" w:color="auto" w:fill="auto"/>
            <w:vAlign w:val="center"/>
          </w:tcPr>
          <w:p w:rsidR="00EE1D53" w:rsidRPr="00163F5E" w:rsidRDefault="00EE1D53" w:rsidP="00EE1D53">
            <w:pPr>
              <w:pStyle w:val="af"/>
              <w:adjustRightInd w:val="0"/>
              <w:snapToGrid w:val="0"/>
              <w:spacing w:line="460" w:lineRule="exact"/>
              <w:ind w:firstLineChars="0" w:firstLine="0"/>
              <w:jc w:val="center"/>
              <w:rPr>
                <w:szCs w:val="21"/>
              </w:rPr>
            </w:pPr>
            <w:r w:rsidRPr="00163F5E">
              <w:rPr>
                <w:rFonts w:hint="eastAsia"/>
                <w:szCs w:val="21"/>
              </w:rPr>
              <w:t>华夏希望债券型证券投资基金</w:t>
            </w:r>
          </w:p>
        </w:tc>
        <w:tc>
          <w:tcPr>
            <w:tcW w:w="3028" w:type="dxa"/>
            <w:shd w:val="clear" w:color="auto" w:fill="auto"/>
            <w:vAlign w:val="center"/>
          </w:tcPr>
          <w:p w:rsidR="00EE1D53" w:rsidRPr="00163F5E" w:rsidRDefault="00EE1D53" w:rsidP="00EE1D53">
            <w:pPr>
              <w:pStyle w:val="af"/>
              <w:adjustRightInd w:val="0"/>
              <w:snapToGrid w:val="0"/>
              <w:spacing w:line="460" w:lineRule="exact"/>
              <w:ind w:firstLineChars="0" w:firstLine="0"/>
              <w:jc w:val="center"/>
              <w:rPr>
                <w:szCs w:val="21"/>
              </w:rPr>
            </w:pPr>
            <w:r w:rsidRPr="00163F5E">
              <w:rPr>
                <w:rFonts w:hint="eastAsia"/>
                <w:szCs w:val="21"/>
              </w:rPr>
              <w:t>中证综合债券指数</w:t>
            </w:r>
          </w:p>
        </w:tc>
        <w:tc>
          <w:tcPr>
            <w:tcW w:w="3032" w:type="dxa"/>
            <w:shd w:val="clear" w:color="auto" w:fill="auto"/>
            <w:vAlign w:val="center"/>
          </w:tcPr>
          <w:p w:rsidR="00EE1D53" w:rsidRPr="00163F5E" w:rsidRDefault="00EE1D53" w:rsidP="00EE1D53">
            <w:pPr>
              <w:pStyle w:val="af"/>
              <w:adjustRightInd w:val="0"/>
              <w:snapToGrid w:val="0"/>
              <w:spacing w:line="460" w:lineRule="exact"/>
              <w:ind w:firstLineChars="0" w:firstLine="0"/>
              <w:jc w:val="center"/>
              <w:rPr>
                <w:b/>
                <w:szCs w:val="21"/>
              </w:rPr>
            </w:pPr>
            <w:r w:rsidRPr="00163F5E">
              <w:rPr>
                <w:rFonts w:hint="eastAsia"/>
                <w:b/>
                <w:szCs w:val="21"/>
              </w:rPr>
              <w:t>中债</w:t>
            </w:r>
            <w:r w:rsidRPr="00163F5E">
              <w:rPr>
                <w:b/>
                <w:szCs w:val="21"/>
              </w:rPr>
              <w:t>-</w:t>
            </w:r>
            <w:r w:rsidRPr="00163F5E">
              <w:rPr>
                <w:rFonts w:hint="eastAsia"/>
                <w:b/>
                <w:szCs w:val="21"/>
              </w:rPr>
              <w:t>综合财富（</w:t>
            </w:r>
            <w:r w:rsidRPr="00163F5E">
              <w:rPr>
                <w:b/>
                <w:szCs w:val="21"/>
              </w:rPr>
              <w:t>3-5</w:t>
            </w:r>
            <w:r w:rsidRPr="00163F5E">
              <w:rPr>
                <w:rFonts w:hint="eastAsia"/>
                <w:b/>
                <w:szCs w:val="21"/>
              </w:rPr>
              <w:t>年）指数收益率</w:t>
            </w:r>
            <w:r w:rsidRPr="00163F5E">
              <w:rPr>
                <w:b/>
                <w:szCs w:val="21"/>
              </w:rPr>
              <w:t>*85%+</w:t>
            </w:r>
            <w:r w:rsidRPr="00163F5E">
              <w:rPr>
                <w:rFonts w:hint="eastAsia"/>
                <w:b/>
                <w:szCs w:val="21"/>
              </w:rPr>
              <w:t>沪深</w:t>
            </w:r>
            <w:r w:rsidRPr="00163F5E">
              <w:rPr>
                <w:b/>
                <w:szCs w:val="21"/>
              </w:rPr>
              <w:t>300</w:t>
            </w:r>
            <w:r w:rsidRPr="00163F5E">
              <w:rPr>
                <w:rFonts w:hint="eastAsia"/>
                <w:b/>
                <w:szCs w:val="21"/>
              </w:rPr>
              <w:t>指数收益率</w:t>
            </w:r>
            <w:r w:rsidRPr="00163F5E">
              <w:rPr>
                <w:b/>
                <w:szCs w:val="21"/>
              </w:rPr>
              <w:t>*10%+</w:t>
            </w:r>
            <w:r w:rsidRPr="00163F5E">
              <w:rPr>
                <w:rFonts w:hint="eastAsia"/>
                <w:b/>
                <w:szCs w:val="21"/>
              </w:rPr>
              <w:t>活期存款基准利率</w:t>
            </w:r>
            <w:r w:rsidRPr="00163F5E">
              <w:rPr>
                <w:b/>
                <w:szCs w:val="21"/>
              </w:rPr>
              <w:t>*5%</w:t>
            </w:r>
          </w:p>
        </w:tc>
      </w:tr>
      <w:tr w:rsidR="00163F5E" w:rsidRPr="00163F5E" w:rsidTr="00163F5E">
        <w:trPr>
          <w:trHeight w:val="376"/>
          <w:jc w:val="center"/>
        </w:trPr>
        <w:tc>
          <w:tcPr>
            <w:tcW w:w="704" w:type="dxa"/>
            <w:vAlign w:val="center"/>
          </w:tcPr>
          <w:p w:rsidR="00EE1D53" w:rsidRPr="00163F5E" w:rsidRDefault="00EE1D53" w:rsidP="00EE1D53">
            <w:pPr>
              <w:pStyle w:val="af"/>
              <w:adjustRightInd w:val="0"/>
              <w:snapToGrid w:val="0"/>
              <w:spacing w:line="460" w:lineRule="exact"/>
              <w:ind w:firstLineChars="0" w:firstLine="0"/>
              <w:jc w:val="center"/>
              <w:rPr>
                <w:szCs w:val="21"/>
              </w:rPr>
            </w:pPr>
            <w:r w:rsidRPr="00163F5E">
              <w:rPr>
                <w:rFonts w:hint="eastAsia"/>
                <w:szCs w:val="21"/>
              </w:rPr>
              <w:t>1</w:t>
            </w:r>
            <w:r w:rsidRPr="00163F5E">
              <w:rPr>
                <w:szCs w:val="21"/>
              </w:rPr>
              <w:t>7</w:t>
            </w:r>
          </w:p>
        </w:tc>
        <w:tc>
          <w:tcPr>
            <w:tcW w:w="1356" w:type="dxa"/>
            <w:shd w:val="clear" w:color="auto" w:fill="auto"/>
            <w:vAlign w:val="center"/>
          </w:tcPr>
          <w:p w:rsidR="00EE1D53" w:rsidRPr="00163F5E" w:rsidRDefault="00EE1D53" w:rsidP="00EE1D53">
            <w:pPr>
              <w:pStyle w:val="af"/>
              <w:adjustRightInd w:val="0"/>
              <w:snapToGrid w:val="0"/>
              <w:spacing w:line="460" w:lineRule="exact"/>
              <w:ind w:firstLineChars="0" w:firstLine="0"/>
              <w:jc w:val="center"/>
              <w:rPr>
                <w:szCs w:val="21"/>
              </w:rPr>
            </w:pPr>
            <w:r w:rsidRPr="00163F5E">
              <w:rPr>
                <w:rFonts w:hint="eastAsia"/>
                <w:szCs w:val="21"/>
              </w:rPr>
              <w:t>华夏鼎泓债券型证券投资基金</w:t>
            </w:r>
          </w:p>
        </w:tc>
        <w:tc>
          <w:tcPr>
            <w:tcW w:w="3028" w:type="dxa"/>
            <w:shd w:val="clear" w:color="auto" w:fill="auto"/>
            <w:vAlign w:val="center"/>
          </w:tcPr>
          <w:p w:rsidR="00EE1D53" w:rsidRPr="00163F5E" w:rsidRDefault="00EE1D53" w:rsidP="00EE1D53">
            <w:pPr>
              <w:pStyle w:val="af"/>
              <w:adjustRightInd w:val="0"/>
              <w:snapToGrid w:val="0"/>
              <w:spacing w:line="460" w:lineRule="exact"/>
              <w:ind w:firstLineChars="0" w:firstLine="0"/>
              <w:jc w:val="center"/>
              <w:rPr>
                <w:szCs w:val="21"/>
              </w:rPr>
            </w:pPr>
            <w:r w:rsidRPr="00163F5E">
              <w:rPr>
                <w:rFonts w:hint="eastAsia"/>
                <w:szCs w:val="21"/>
              </w:rPr>
              <w:t>中债综合指数收益率×</w:t>
            </w:r>
            <w:r w:rsidRPr="00163F5E">
              <w:rPr>
                <w:rFonts w:hint="eastAsia"/>
                <w:szCs w:val="21"/>
              </w:rPr>
              <w:t>80%+</w:t>
            </w:r>
            <w:r w:rsidRPr="00163F5E">
              <w:rPr>
                <w:rFonts w:hint="eastAsia"/>
                <w:szCs w:val="21"/>
              </w:rPr>
              <w:t>沪深</w:t>
            </w:r>
            <w:r w:rsidRPr="00163F5E">
              <w:rPr>
                <w:rFonts w:hint="eastAsia"/>
                <w:szCs w:val="21"/>
              </w:rPr>
              <w:t>300</w:t>
            </w:r>
            <w:r w:rsidRPr="00163F5E">
              <w:rPr>
                <w:rFonts w:hint="eastAsia"/>
                <w:szCs w:val="21"/>
              </w:rPr>
              <w:t>指数收益率×</w:t>
            </w:r>
            <w:r w:rsidRPr="00163F5E">
              <w:rPr>
                <w:rFonts w:hint="eastAsia"/>
                <w:szCs w:val="21"/>
              </w:rPr>
              <w:t>20%</w:t>
            </w:r>
          </w:p>
        </w:tc>
        <w:tc>
          <w:tcPr>
            <w:tcW w:w="3032" w:type="dxa"/>
            <w:shd w:val="clear" w:color="auto" w:fill="auto"/>
            <w:vAlign w:val="center"/>
          </w:tcPr>
          <w:p w:rsidR="00EE1D53" w:rsidRPr="00163F5E" w:rsidRDefault="00EE1D53" w:rsidP="00EE1D53">
            <w:pPr>
              <w:pStyle w:val="af"/>
              <w:adjustRightInd w:val="0"/>
              <w:snapToGrid w:val="0"/>
              <w:spacing w:line="460" w:lineRule="exact"/>
              <w:ind w:firstLineChars="0" w:firstLine="0"/>
              <w:jc w:val="center"/>
              <w:rPr>
                <w:b/>
                <w:szCs w:val="21"/>
              </w:rPr>
            </w:pPr>
            <w:r w:rsidRPr="00163F5E">
              <w:rPr>
                <w:rFonts w:hint="eastAsia"/>
                <w:b/>
                <w:szCs w:val="21"/>
              </w:rPr>
              <w:t>中债</w:t>
            </w:r>
            <w:r w:rsidRPr="00163F5E">
              <w:rPr>
                <w:b/>
                <w:szCs w:val="21"/>
              </w:rPr>
              <w:t>-</w:t>
            </w:r>
            <w:r w:rsidRPr="00163F5E">
              <w:rPr>
                <w:rFonts w:hint="eastAsia"/>
                <w:b/>
                <w:szCs w:val="21"/>
              </w:rPr>
              <w:t>综合全价（</w:t>
            </w:r>
            <w:r w:rsidRPr="00163F5E">
              <w:rPr>
                <w:b/>
                <w:szCs w:val="21"/>
              </w:rPr>
              <w:t>3-5</w:t>
            </w:r>
            <w:r w:rsidRPr="00163F5E">
              <w:rPr>
                <w:rFonts w:hint="eastAsia"/>
                <w:b/>
                <w:szCs w:val="21"/>
              </w:rPr>
              <w:t>年）指数收益率</w:t>
            </w:r>
            <w:r w:rsidRPr="00163F5E">
              <w:rPr>
                <w:b/>
                <w:szCs w:val="21"/>
              </w:rPr>
              <w:t>*90%+</w:t>
            </w:r>
            <w:r w:rsidRPr="00163F5E">
              <w:rPr>
                <w:rFonts w:hint="eastAsia"/>
                <w:b/>
                <w:szCs w:val="21"/>
              </w:rPr>
              <w:t>中证</w:t>
            </w:r>
            <w:r w:rsidRPr="00163F5E">
              <w:rPr>
                <w:b/>
                <w:szCs w:val="21"/>
              </w:rPr>
              <w:t>800</w:t>
            </w:r>
            <w:r w:rsidRPr="00163F5E">
              <w:rPr>
                <w:rFonts w:hint="eastAsia"/>
                <w:b/>
                <w:szCs w:val="21"/>
              </w:rPr>
              <w:t>指数收益率</w:t>
            </w:r>
            <w:r w:rsidRPr="00163F5E">
              <w:rPr>
                <w:b/>
                <w:szCs w:val="21"/>
              </w:rPr>
              <w:t>*10%</w:t>
            </w:r>
          </w:p>
        </w:tc>
      </w:tr>
      <w:tr w:rsidR="00163F5E" w:rsidRPr="00163F5E" w:rsidTr="00163F5E">
        <w:trPr>
          <w:trHeight w:val="376"/>
          <w:jc w:val="center"/>
        </w:trPr>
        <w:tc>
          <w:tcPr>
            <w:tcW w:w="704" w:type="dxa"/>
            <w:vAlign w:val="center"/>
          </w:tcPr>
          <w:p w:rsidR="00EE1D53" w:rsidRPr="00163F5E" w:rsidRDefault="00EE1D53" w:rsidP="00EE1D53">
            <w:pPr>
              <w:pStyle w:val="af"/>
              <w:adjustRightInd w:val="0"/>
              <w:snapToGrid w:val="0"/>
              <w:spacing w:line="460" w:lineRule="exact"/>
              <w:ind w:firstLineChars="0" w:firstLine="0"/>
              <w:jc w:val="center"/>
              <w:rPr>
                <w:szCs w:val="21"/>
              </w:rPr>
            </w:pPr>
            <w:r w:rsidRPr="00163F5E">
              <w:rPr>
                <w:rFonts w:hint="eastAsia"/>
                <w:szCs w:val="21"/>
              </w:rPr>
              <w:t>1</w:t>
            </w:r>
            <w:r w:rsidRPr="00163F5E">
              <w:rPr>
                <w:szCs w:val="21"/>
              </w:rPr>
              <w:t>8</w:t>
            </w:r>
          </w:p>
        </w:tc>
        <w:tc>
          <w:tcPr>
            <w:tcW w:w="1356" w:type="dxa"/>
            <w:shd w:val="clear" w:color="auto" w:fill="auto"/>
            <w:vAlign w:val="center"/>
          </w:tcPr>
          <w:p w:rsidR="00EE1D53" w:rsidRPr="00163F5E" w:rsidRDefault="00EE1D53" w:rsidP="00EE1D53">
            <w:pPr>
              <w:pStyle w:val="af"/>
              <w:adjustRightInd w:val="0"/>
              <w:snapToGrid w:val="0"/>
              <w:spacing w:line="460" w:lineRule="exact"/>
              <w:ind w:firstLineChars="0" w:firstLine="0"/>
              <w:jc w:val="center"/>
              <w:rPr>
                <w:szCs w:val="21"/>
              </w:rPr>
            </w:pPr>
            <w:r w:rsidRPr="00163F5E">
              <w:rPr>
                <w:rFonts w:hint="eastAsia"/>
                <w:szCs w:val="21"/>
              </w:rPr>
              <w:t>华夏卓享债券型证券投资基金</w:t>
            </w:r>
          </w:p>
        </w:tc>
        <w:tc>
          <w:tcPr>
            <w:tcW w:w="3028" w:type="dxa"/>
            <w:shd w:val="clear" w:color="auto" w:fill="auto"/>
            <w:vAlign w:val="center"/>
          </w:tcPr>
          <w:p w:rsidR="00EE1D53" w:rsidRPr="00163F5E" w:rsidRDefault="00EE1D53" w:rsidP="00EE1D53">
            <w:pPr>
              <w:pStyle w:val="af"/>
              <w:adjustRightInd w:val="0"/>
              <w:snapToGrid w:val="0"/>
              <w:spacing w:line="460" w:lineRule="exact"/>
              <w:ind w:firstLineChars="0" w:firstLine="0"/>
              <w:jc w:val="center"/>
              <w:rPr>
                <w:szCs w:val="21"/>
              </w:rPr>
            </w:pPr>
            <w:r w:rsidRPr="00163F5E">
              <w:rPr>
                <w:rFonts w:hint="eastAsia"/>
                <w:szCs w:val="21"/>
              </w:rPr>
              <w:t>中债综合指数收益率×</w:t>
            </w:r>
            <w:r w:rsidRPr="00163F5E">
              <w:rPr>
                <w:rFonts w:hint="eastAsia"/>
                <w:szCs w:val="21"/>
              </w:rPr>
              <w:t>90%+</w:t>
            </w:r>
            <w:r w:rsidRPr="00163F5E">
              <w:rPr>
                <w:rFonts w:hint="eastAsia"/>
                <w:szCs w:val="21"/>
              </w:rPr>
              <w:t>沪深</w:t>
            </w:r>
            <w:r w:rsidRPr="00163F5E">
              <w:rPr>
                <w:rFonts w:hint="eastAsia"/>
                <w:szCs w:val="21"/>
              </w:rPr>
              <w:t>300</w:t>
            </w:r>
            <w:r w:rsidRPr="00163F5E">
              <w:rPr>
                <w:rFonts w:hint="eastAsia"/>
                <w:szCs w:val="21"/>
              </w:rPr>
              <w:t>指数收益率×</w:t>
            </w:r>
            <w:r w:rsidRPr="00163F5E">
              <w:rPr>
                <w:rFonts w:hint="eastAsia"/>
                <w:szCs w:val="21"/>
              </w:rPr>
              <w:t>10%</w:t>
            </w:r>
          </w:p>
        </w:tc>
        <w:tc>
          <w:tcPr>
            <w:tcW w:w="3032" w:type="dxa"/>
            <w:shd w:val="clear" w:color="auto" w:fill="auto"/>
            <w:vAlign w:val="center"/>
          </w:tcPr>
          <w:p w:rsidR="00EE1D53" w:rsidRPr="00163F5E" w:rsidRDefault="00EE1D53" w:rsidP="00EE1D53">
            <w:pPr>
              <w:pStyle w:val="af"/>
              <w:adjustRightInd w:val="0"/>
              <w:snapToGrid w:val="0"/>
              <w:spacing w:line="460" w:lineRule="exact"/>
              <w:ind w:firstLineChars="0" w:firstLine="0"/>
              <w:jc w:val="center"/>
              <w:rPr>
                <w:b/>
                <w:szCs w:val="21"/>
              </w:rPr>
            </w:pPr>
            <w:r w:rsidRPr="00163F5E">
              <w:rPr>
                <w:rFonts w:hint="eastAsia"/>
                <w:b/>
                <w:szCs w:val="21"/>
              </w:rPr>
              <w:t>中债</w:t>
            </w:r>
            <w:r w:rsidRPr="00163F5E">
              <w:rPr>
                <w:b/>
                <w:szCs w:val="21"/>
              </w:rPr>
              <w:t>-</w:t>
            </w:r>
            <w:r w:rsidRPr="00163F5E">
              <w:rPr>
                <w:rFonts w:hint="eastAsia"/>
                <w:b/>
                <w:szCs w:val="21"/>
              </w:rPr>
              <w:t>综合全价（</w:t>
            </w:r>
            <w:r w:rsidRPr="00163F5E">
              <w:rPr>
                <w:b/>
                <w:szCs w:val="21"/>
              </w:rPr>
              <w:t>1-3</w:t>
            </w:r>
            <w:r w:rsidRPr="00163F5E">
              <w:rPr>
                <w:rFonts w:hint="eastAsia"/>
                <w:b/>
                <w:szCs w:val="21"/>
              </w:rPr>
              <w:t>年）指数收益率</w:t>
            </w:r>
            <w:r w:rsidRPr="00163F5E">
              <w:rPr>
                <w:b/>
                <w:szCs w:val="21"/>
              </w:rPr>
              <w:t>*90%+</w:t>
            </w:r>
            <w:r w:rsidRPr="00163F5E">
              <w:rPr>
                <w:rFonts w:hint="eastAsia"/>
                <w:b/>
                <w:szCs w:val="21"/>
              </w:rPr>
              <w:t>中证</w:t>
            </w:r>
            <w:r w:rsidRPr="00163F5E">
              <w:rPr>
                <w:b/>
                <w:szCs w:val="21"/>
              </w:rPr>
              <w:t>800</w:t>
            </w:r>
            <w:r w:rsidRPr="00163F5E">
              <w:rPr>
                <w:rFonts w:hint="eastAsia"/>
                <w:b/>
                <w:szCs w:val="21"/>
              </w:rPr>
              <w:t>指数收益率</w:t>
            </w:r>
            <w:r w:rsidRPr="00163F5E">
              <w:rPr>
                <w:b/>
                <w:szCs w:val="21"/>
              </w:rPr>
              <w:t>*10%</w:t>
            </w:r>
          </w:p>
        </w:tc>
      </w:tr>
      <w:tr w:rsidR="00163F5E" w:rsidRPr="00163F5E" w:rsidTr="00163F5E">
        <w:trPr>
          <w:trHeight w:val="376"/>
          <w:jc w:val="center"/>
        </w:trPr>
        <w:tc>
          <w:tcPr>
            <w:tcW w:w="704" w:type="dxa"/>
            <w:vAlign w:val="center"/>
          </w:tcPr>
          <w:p w:rsidR="00EE1D53" w:rsidRPr="00163F5E" w:rsidRDefault="00EE1D53" w:rsidP="00EE1D53">
            <w:pPr>
              <w:pStyle w:val="af"/>
              <w:adjustRightInd w:val="0"/>
              <w:snapToGrid w:val="0"/>
              <w:spacing w:line="460" w:lineRule="exact"/>
              <w:ind w:firstLineChars="0" w:firstLine="0"/>
              <w:jc w:val="center"/>
              <w:rPr>
                <w:szCs w:val="21"/>
              </w:rPr>
            </w:pPr>
            <w:r w:rsidRPr="00163F5E">
              <w:rPr>
                <w:rFonts w:hint="eastAsia"/>
                <w:szCs w:val="21"/>
              </w:rPr>
              <w:t>1</w:t>
            </w:r>
            <w:r w:rsidRPr="00163F5E">
              <w:rPr>
                <w:szCs w:val="21"/>
              </w:rPr>
              <w:t>9</w:t>
            </w:r>
          </w:p>
        </w:tc>
        <w:tc>
          <w:tcPr>
            <w:tcW w:w="1356" w:type="dxa"/>
            <w:shd w:val="clear" w:color="auto" w:fill="auto"/>
            <w:vAlign w:val="center"/>
          </w:tcPr>
          <w:p w:rsidR="00EE1D53" w:rsidRPr="00163F5E" w:rsidRDefault="00EE1D53" w:rsidP="00EE1D53">
            <w:pPr>
              <w:pStyle w:val="af"/>
              <w:adjustRightInd w:val="0"/>
              <w:snapToGrid w:val="0"/>
              <w:spacing w:line="460" w:lineRule="exact"/>
              <w:ind w:firstLineChars="0" w:firstLine="0"/>
              <w:jc w:val="center"/>
              <w:rPr>
                <w:szCs w:val="21"/>
              </w:rPr>
            </w:pPr>
            <w:r w:rsidRPr="00163F5E">
              <w:rPr>
                <w:rFonts w:hint="eastAsia"/>
                <w:szCs w:val="21"/>
              </w:rPr>
              <w:t>华夏保守养老目标一年持有期混合型发起式基金中基金</w:t>
            </w:r>
            <w:r w:rsidRPr="00163F5E">
              <w:rPr>
                <w:rFonts w:hint="eastAsia"/>
                <w:szCs w:val="21"/>
              </w:rPr>
              <w:t>(FOF)</w:t>
            </w:r>
          </w:p>
        </w:tc>
        <w:tc>
          <w:tcPr>
            <w:tcW w:w="3028" w:type="dxa"/>
            <w:shd w:val="clear" w:color="auto" w:fill="auto"/>
            <w:vAlign w:val="center"/>
          </w:tcPr>
          <w:p w:rsidR="00EE1D53" w:rsidRPr="00163F5E" w:rsidRDefault="00EE1D53" w:rsidP="00EE1D53">
            <w:pPr>
              <w:pStyle w:val="af"/>
              <w:adjustRightInd w:val="0"/>
              <w:snapToGrid w:val="0"/>
              <w:spacing w:line="460" w:lineRule="exact"/>
              <w:ind w:firstLineChars="0" w:firstLine="0"/>
              <w:jc w:val="center"/>
              <w:rPr>
                <w:szCs w:val="21"/>
              </w:rPr>
            </w:pPr>
            <w:r w:rsidRPr="00163F5E">
              <w:rPr>
                <w:rFonts w:hint="eastAsia"/>
                <w:szCs w:val="21"/>
              </w:rPr>
              <w:t>沪深</w:t>
            </w:r>
            <w:r w:rsidRPr="00163F5E">
              <w:rPr>
                <w:rFonts w:hint="eastAsia"/>
                <w:szCs w:val="21"/>
              </w:rPr>
              <w:t>300</w:t>
            </w:r>
            <w:r w:rsidRPr="00163F5E">
              <w:rPr>
                <w:rFonts w:hint="eastAsia"/>
                <w:szCs w:val="21"/>
              </w:rPr>
              <w:t>指数收益率×</w:t>
            </w:r>
            <w:r w:rsidRPr="00163F5E">
              <w:rPr>
                <w:rFonts w:hint="eastAsia"/>
                <w:szCs w:val="21"/>
              </w:rPr>
              <w:t>10%</w:t>
            </w:r>
            <w:r w:rsidRPr="00163F5E">
              <w:rPr>
                <w:rFonts w:hint="eastAsia"/>
                <w:szCs w:val="21"/>
              </w:rPr>
              <w:t>＋中债综合（全价）指数收益率×</w:t>
            </w:r>
            <w:r w:rsidRPr="00163F5E">
              <w:rPr>
                <w:szCs w:val="21"/>
              </w:rPr>
              <w:t>90%</w:t>
            </w:r>
          </w:p>
        </w:tc>
        <w:tc>
          <w:tcPr>
            <w:tcW w:w="3032" w:type="dxa"/>
            <w:shd w:val="clear" w:color="000000" w:fill="FFFFFF"/>
            <w:vAlign w:val="center"/>
          </w:tcPr>
          <w:p w:rsidR="00EE1D53" w:rsidRPr="00163F5E" w:rsidRDefault="00EE1D53" w:rsidP="00EE1D53">
            <w:pPr>
              <w:pStyle w:val="af"/>
              <w:adjustRightInd w:val="0"/>
              <w:snapToGrid w:val="0"/>
              <w:spacing w:line="460" w:lineRule="exact"/>
              <w:ind w:firstLineChars="0" w:firstLine="0"/>
              <w:jc w:val="center"/>
              <w:rPr>
                <w:b/>
                <w:szCs w:val="21"/>
              </w:rPr>
            </w:pPr>
            <w:r w:rsidRPr="00163F5E">
              <w:rPr>
                <w:rFonts w:hint="eastAsia"/>
                <w:b/>
                <w:szCs w:val="21"/>
              </w:rPr>
              <w:t>中证纯债债券型基金指数收益率</w:t>
            </w:r>
            <w:r w:rsidRPr="00163F5E">
              <w:rPr>
                <w:b/>
                <w:szCs w:val="21"/>
              </w:rPr>
              <w:t>*85%+</w:t>
            </w:r>
            <w:r w:rsidRPr="00163F5E">
              <w:rPr>
                <w:rFonts w:hint="eastAsia"/>
                <w:b/>
                <w:szCs w:val="21"/>
              </w:rPr>
              <w:t>中证</w:t>
            </w:r>
            <w:r w:rsidRPr="00163F5E">
              <w:rPr>
                <w:b/>
                <w:szCs w:val="21"/>
              </w:rPr>
              <w:t>A500</w:t>
            </w:r>
            <w:r w:rsidRPr="00163F5E">
              <w:rPr>
                <w:rFonts w:hint="eastAsia"/>
                <w:b/>
                <w:szCs w:val="21"/>
              </w:rPr>
              <w:t>指数收益率</w:t>
            </w:r>
            <w:r w:rsidRPr="00163F5E">
              <w:rPr>
                <w:b/>
                <w:szCs w:val="21"/>
              </w:rPr>
              <w:t>*10%+</w:t>
            </w:r>
            <w:r w:rsidRPr="00163F5E">
              <w:rPr>
                <w:rFonts w:hint="eastAsia"/>
                <w:b/>
                <w:szCs w:val="21"/>
              </w:rPr>
              <w:t>活期存款基准利率</w:t>
            </w:r>
            <w:r w:rsidRPr="00163F5E">
              <w:rPr>
                <w:b/>
                <w:szCs w:val="21"/>
              </w:rPr>
              <w:t>*5%</w:t>
            </w:r>
          </w:p>
        </w:tc>
      </w:tr>
      <w:tr w:rsidR="00163F5E" w:rsidRPr="00163F5E" w:rsidTr="00163F5E">
        <w:trPr>
          <w:trHeight w:val="376"/>
          <w:jc w:val="center"/>
        </w:trPr>
        <w:tc>
          <w:tcPr>
            <w:tcW w:w="704" w:type="dxa"/>
            <w:vAlign w:val="center"/>
          </w:tcPr>
          <w:p w:rsidR="00EE1D53" w:rsidRPr="00163F5E" w:rsidRDefault="00EE1D53" w:rsidP="00EE1D53">
            <w:pPr>
              <w:pStyle w:val="af"/>
              <w:adjustRightInd w:val="0"/>
              <w:snapToGrid w:val="0"/>
              <w:spacing w:line="460" w:lineRule="exact"/>
              <w:ind w:firstLineChars="0" w:firstLine="0"/>
              <w:jc w:val="center"/>
              <w:rPr>
                <w:szCs w:val="21"/>
              </w:rPr>
            </w:pPr>
            <w:r w:rsidRPr="00163F5E">
              <w:rPr>
                <w:rFonts w:hint="eastAsia"/>
                <w:szCs w:val="21"/>
              </w:rPr>
              <w:t>2</w:t>
            </w:r>
            <w:r w:rsidRPr="00163F5E">
              <w:rPr>
                <w:szCs w:val="21"/>
              </w:rPr>
              <w:t>0</w:t>
            </w:r>
          </w:p>
        </w:tc>
        <w:tc>
          <w:tcPr>
            <w:tcW w:w="1356" w:type="dxa"/>
            <w:shd w:val="clear" w:color="auto" w:fill="auto"/>
            <w:vAlign w:val="center"/>
          </w:tcPr>
          <w:p w:rsidR="00EE1D53" w:rsidRPr="00163F5E" w:rsidRDefault="00EE1D53" w:rsidP="00EE1D53">
            <w:pPr>
              <w:pStyle w:val="af"/>
              <w:adjustRightInd w:val="0"/>
              <w:snapToGrid w:val="0"/>
              <w:spacing w:line="460" w:lineRule="exact"/>
              <w:ind w:firstLineChars="0" w:firstLine="0"/>
              <w:jc w:val="center"/>
              <w:rPr>
                <w:szCs w:val="21"/>
              </w:rPr>
            </w:pPr>
            <w:r w:rsidRPr="00163F5E">
              <w:rPr>
                <w:rFonts w:hint="eastAsia"/>
                <w:szCs w:val="21"/>
              </w:rPr>
              <w:t>华夏稳健养老目标一年持有期混合型发起式基金中基金</w:t>
            </w:r>
            <w:r w:rsidRPr="00163F5E">
              <w:rPr>
                <w:rFonts w:hint="eastAsia"/>
                <w:szCs w:val="21"/>
              </w:rPr>
              <w:t>(FOF)</w:t>
            </w:r>
          </w:p>
        </w:tc>
        <w:tc>
          <w:tcPr>
            <w:tcW w:w="3028" w:type="dxa"/>
            <w:shd w:val="clear" w:color="auto" w:fill="auto"/>
            <w:vAlign w:val="center"/>
          </w:tcPr>
          <w:p w:rsidR="00EE1D53" w:rsidRPr="00163F5E" w:rsidRDefault="00EE1D53" w:rsidP="00EE1D53">
            <w:pPr>
              <w:pStyle w:val="af"/>
              <w:adjustRightInd w:val="0"/>
              <w:snapToGrid w:val="0"/>
              <w:spacing w:line="460" w:lineRule="exact"/>
              <w:ind w:firstLineChars="0" w:firstLine="0"/>
              <w:jc w:val="center"/>
              <w:rPr>
                <w:szCs w:val="21"/>
              </w:rPr>
            </w:pPr>
            <w:r w:rsidRPr="00163F5E">
              <w:rPr>
                <w:rFonts w:hint="eastAsia"/>
                <w:szCs w:val="21"/>
              </w:rPr>
              <w:t>沪深</w:t>
            </w:r>
            <w:r w:rsidRPr="00163F5E">
              <w:rPr>
                <w:rFonts w:hint="eastAsia"/>
                <w:szCs w:val="21"/>
              </w:rPr>
              <w:t>300</w:t>
            </w:r>
            <w:r w:rsidRPr="00163F5E">
              <w:rPr>
                <w:rFonts w:hint="eastAsia"/>
                <w:szCs w:val="21"/>
              </w:rPr>
              <w:t>指数收益率×</w:t>
            </w:r>
            <w:r w:rsidRPr="00163F5E">
              <w:rPr>
                <w:rFonts w:hint="eastAsia"/>
                <w:szCs w:val="21"/>
              </w:rPr>
              <w:t>20%</w:t>
            </w:r>
            <w:r w:rsidRPr="00163F5E">
              <w:rPr>
                <w:rFonts w:hint="eastAsia"/>
                <w:szCs w:val="21"/>
              </w:rPr>
              <w:t>＋上证国债指数收益率×</w:t>
            </w:r>
            <w:r w:rsidRPr="00163F5E">
              <w:rPr>
                <w:rFonts w:hint="eastAsia"/>
                <w:szCs w:val="21"/>
              </w:rPr>
              <w:t>80%</w:t>
            </w:r>
          </w:p>
        </w:tc>
        <w:tc>
          <w:tcPr>
            <w:tcW w:w="3032" w:type="dxa"/>
            <w:shd w:val="clear" w:color="000000" w:fill="FFFFFF"/>
            <w:vAlign w:val="center"/>
          </w:tcPr>
          <w:p w:rsidR="00EE1D53" w:rsidRPr="00163F5E" w:rsidRDefault="00EE1D53" w:rsidP="00EE1D53">
            <w:pPr>
              <w:pStyle w:val="af"/>
              <w:adjustRightInd w:val="0"/>
              <w:snapToGrid w:val="0"/>
              <w:spacing w:line="460" w:lineRule="exact"/>
              <w:ind w:firstLineChars="0" w:firstLine="0"/>
              <w:jc w:val="center"/>
              <w:rPr>
                <w:b/>
                <w:szCs w:val="21"/>
              </w:rPr>
            </w:pPr>
            <w:r w:rsidRPr="00163F5E">
              <w:rPr>
                <w:rFonts w:hint="eastAsia"/>
                <w:b/>
                <w:szCs w:val="21"/>
              </w:rPr>
              <w:t>中证纯债债券型基金指数收益率</w:t>
            </w:r>
            <w:r w:rsidRPr="00163F5E">
              <w:rPr>
                <w:b/>
                <w:szCs w:val="21"/>
              </w:rPr>
              <w:t>*75%+</w:t>
            </w:r>
            <w:r w:rsidRPr="00163F5E">
              <w:rPr>
                <w:rFonts w:hint="eastAsia"/>
                <w:b/>
                <w:szCs w:val="21"/>
              </w:rPr>
              <w:t>中证</w:t>
            </w:r>
            <w:r w:rsidRPr="00163F5E">
              <w:rPr>
                <w:b/>
                <w:szCs w:val="21"/>
              </w:rPr>
              <w:t>A500</w:t>
            </w:r>
            <w:r w:rsidRPr="00163F5E">
              <w:rPr>
                <w:rFonts w:hint="eastAsia"/>
                <w:b/>
                <w:szCs w:val="21"/>
              </w:rPr>
              <w:t>指数收益率</w:t>
            </w:r>
            <w:r w:rsidRPr="00163F5E">
              <w:rPr>
                <w:b/>
                <w:szCs w:val="21"/>
              </w:rPr>
              <w:t>*20%+</w:t>
            </w:r>
            <w:r w:rsidRPr="00163F5E">
              <w:rPr>
                <w:rFonts w:hint="eastAsia"/>
                <w:b/>
                <w:szCs w:val="21"/>
              </w:rPr>
              <w:t>活期存款基准利率</w:t>
            </w:r>
            <w:r w:rsidRPr="00163F5E">
              <w:rPr>
                <w:b/>
                <w:szCs w:val="21"/>
              </w:rPr>
              <w:t>*5%</w:t>
            </w:r>
          </w:p>
        </w:tc>
      </w:tr>
      <w:tr w:rsidR="00163F5E" w:rsidRPr="00163F5E" w:rsidTr="00163F5E">
        <w:trPr>
          <w:trHeight w:val="376"/>
          <w:jc w:val="center"/>
        </w:trPr>
        <w:tc>
          <w:tcPr>
            <w:tcW w:w="704" w:type="dxa"/>
            <w:vAlign w:val="center"/>
          </w:tcPr>
          <w:p w:rsidR="00EE1D53" w:rsidRPr="00163F5E" w:rsidRDefault="00EE1D53" w:rsidP="00EE1D53">
            <w:pPr>
              <w:pStyle w:val="af"/>
              <w:adjustRightInd w:val="0"/>
              <w:snapToGrid w:val="0"/>
              <w:spacing w:line="460" w:lineRule="exact"/>
              <w:ind w:firstLineChars="0" w:firstLine="0"/>
              <w:jc w:val="center"/>
              <w:rPr>
                <w:szCs w:val="21"/>
              </w:rPr>
            </w:pPr>
            <w:r w:rsidRPr="00163F5E">
              <w:rPr>
                <w:rFonts w:hint="eastAsia"/>
                <w:szCs w:val="21"/>
              </w:rPr>
              <w:t>2</w:t>
            </w:r>
            <w:r w:rsidRPr="00163F5E">
              <w:rPr>
                <w:szCs w:val="21"/>
              </w:rPr>
              <w:t>1</w:t>
            </w:r>
          </w:p>
        </w:tc>
        <w:tc>
          <w:tcPr>
            <w:tcW w:w="1356" w:type="dxa"/>
            <w:shd w:val="clear" w:color="auto" w:fill="auto"/>
            <w:vAlign w:val="center"/>
          </w:tcPr>
          <w:p w:rsidR="00EE1D53" w:rsidRPr="00163F5E" w:rsidRDefault="00EE1D53" w:rsidP="00EE1D53">
            <w:pPr>
              <w:pStyle w:val="af"/>
              <w:adjustRightInd w:val="0"/>
              <w:snapToGrid w:val="0"/>
              <w:spacing w:line="460" w:lineRule="exact"/>
              <w:ind w:firstLineChars="0" w:firstLine="0"/>
              <w:jc w:val="center"/>
              <w:rPr>
                <w:szCs w:val="21"/>
              </w:rPr>
            </w:pPr>
            <w:r w:rsidRPr="00163F5E">
              <w:rPr>
                <w:rFonts w:hint="eastAsia"/>
                <w:szCs w:val="21"/>
              </w:rPr>
              <w:t>华夏聚顺优选六个月持有期债券型基金中基金</w:t>
            </w:r>
            <w:r w:rsidRPr="00163F5E">
              <w:rPr>
                <w:rFonts w:hint="eastAsia"/>
                <w:szCs w:val="21"/>
              </w:rPr>
              <w:t>(FOF)</w:t>
            </w:r>
          </w:p>
        </w:tc>
        <w:tc>
          <w:tcPr>
            <w:tcW w:w="3028" w:type="dxa"/>
            <w:shd w:val="clear" w:color="auto" w:fill="auto"/>
            <w:vAlign w:val="center"/>
          </w:tcPr>
          <w:p w:rsidR="00EE1D53" w:rsidRPr="00163F5E" w:rsidRDefault="00EE1D53" w:rsidP="00EE1D53">
            <w:pPr>
              <w:pStyle w:val="af"/>
              <w:adjustRightInd w:val="0"/>
              <w:snapToGrid w:val="0"/>
              <w:spacing w:line="460" w:lineRule="exact"/>
              <w:ind w:firstLineChars="0" w:firstLine="0"/>
              <w:jc w:val="center"/>
              <w:rPr>
                <w:szCs w:val="21"/>
              </w:rPr>
            </w:pPr>
            <w:r w:rsidRPr="00163F5E">
              <w:rPr>
                <w:rFonts w:hint="eastAsia"/>
                <w:szCs w:val="21"/>
              </w:rPr>
              <w:t>中债综合指数收益率</w:t>
            </w:r>
            <w:r w:rsidRPr="00163F5E">
              <w:rPr>
                <w:rFonts w:hint="eastAsia"/>
                <w:szCs w:val="21"/>
              </w:rPr>
              <w:t>*90%+</w:t>
            </w:r>
            <w:r w:rsidRPr="00163F5E">
              <w:rPr>
                <w:rFonts w:hint="eastAsia"/>
                <w:szCs w:val="21"/>
              </w:rPr>
              <w:t>中证</w:t>
            </w:r>
            <w:r w:rsidRPr="00163F5E">
              <w:rPr>
                <w:rFonts w:hint="eastAsia"/>
                <w:szCs w:val="21"/>
              </w:rPr>
              <w:t>800</w:t>
            </w:r>
            <w:r w:rsidRPr="00163F5E">
              <w:rPr>
                <w:rFonts w:hint="eastAsia"/>
                <w:szCs w:val="21"/>
              </w:rPr>
              <w:t>指数收益率</w:t>
            </w:r>
            <w:r w:rsidRPr="00163F5E">
              <w:rPr>
                <w:rFonts w:hint="eastAsia"/>
                <w:szCs w:val="21"/>
              </w:rPr>
              <w:t>*10%</w:t>
            </w:r>
          </w:p>
        </w:tc>
        <w:tc>
          <w:tcPr>
            <w:tcW w:w="3032" w:type="dxa"/>
            <w:shd w:val="clear" w:color="auto" w:fill="auto"/>
            <w:vAlign w:val="center"/>
          </w:tcPr>
          <w:p w:rsidR="00EE1D53" w:rsidRPr="00163F5E" w:rsidRDefault="00EE1D53" w:rsidP="00EE1D53">
            <w:pPr>
              <w:pStyle w:val="af"/>
              <w:adjustRightInd w:val="0"/>
              <w:snapToGrid w:val="0"/>
              <w:spacing w:line="460" w:lineRule="exact"/>
              <w:ind w:firstLineChars="0" w:firstLine="0"/>
              <w:jc w:val="center"/>
              <w:rPr>
                <w:b/>
                <w:szCs w:val="21"/>
              </w:rPr>
            </w:pPr>
            <w:r w:rsidRPr="00163F5E">
              <w:rPr>
                <w:rFonts w:hint="eastAsia"/>
                <w:b/>
                <w:szCs w:val="21"/>
              </w:rPr>
              <w:t>中证纯债债券型基金指数收益率</w:t>
            </w:r>
            <w:r w:rsidRPr="00163F5E">
              <w:rPr>
                <w:b/>
                <w:szCs w:val="21"/>
              </w:rPr>
              <w:t>*85%+</w:t>
            </w:r>
            <w:r w:rsidRPr="00163F5E">
              <w:rPr>
                <w:rFonts w:hint="eastAsia"/>
                <w:b/>
                <w:szCs w:val="21"/>
              </w:rPr>
              <w:t>中证</w:t>
            </w:r>
            <w:r w:rsidRPr="00163F5E">
              <w:rPr>
                <w:b/>
                <w:szCs w:val="21"/>
              </w:rPr>
              <w:t>A500</w:t>
            </w:r>
            <w:r w:rsidRPr="00163F5E">
              <w:rPr>
                <w:rFonts w:hint="eastAsia"/>
                <w:b/>
                <w:szCs w:val="21"/>
              </w:rPr>
              <w:t>指数收益率</w:t>
            </w:r>
            <w:r w:rsidRPr="00163F5E">
              <w:rPr>
                <w:b/>
                <w:szCs w:val="21"/>
              </w:rPr>
              <w:t>*7%+</w:t>
            </w:r>
            <w:r w:rsidRPr="00163F5E">
              <w:rPr>
                <w:rFonts w:hint="eastAsia"/>
                <w:b/>
                <w:szCs w:val="21"/>
              </w:rPr>
              <w:t>上海黄金交易所</w:t>
            </w:r>
            <w:r w:rsidRPr="00163F5E">
              <w:rPr>
                <w:b/>
                <w:szCs w:val="21"/>
              </w:rPr>
              <w:t>AU99.99</w:t>
            </w:r>
            <w:r w:rsidRPr="00163F5E">
              <w:rPr>
                <w:rFonts w:hint="eastAsia"/>
                <w:b/>
                <w:szCs w:val="21"/>
              </w:rPr>
              <w:t>现货实盘合约价格收益率</w:t>
            </w:r>
            <w:r w:rsidRPr="00163F5E">
              <w:rPr>
                <w:b/>
                <w:szCs w:val="21"/>
              </w:rPr>
              <w:t>*3%+</w:t>
            </w:r>
            <w:r w:rsidRPr="00163F5E">
              <w:rPr>
                <w:rFonts w:hint="eastAsia"/>
                <w:b/>
                <w:szCs w:val="21"/>
              </w:rPr>
              <w:t>活期存款基准利率</w:t>
            </w:r>
            <w:r w:rsidRPr="00163F5E">
              <w:rPr>
                <w:b/>
                <w:szCs w:val="21"/>
              </w:rPr>
              <w:t>*5%</w:t>
            </w:r>
          </w:p>
        </w:tc>
      </w:tr>
    </w:tbl>
    <w:p w:rsidR="00494680" w:rsidRPr="00163F5E" w:rsidRDefault="00E449CB">
      <w:pPr>
        <w:adjustRightInd w:val="0"/>
        <w:snapToGrid w:val="0"/>
        <w:spacing w:line="460" w:lineRule="exact"/>
        <w:ind w:firstLineChars="175" w:firstLine="420"/>
        <w:rPr>
          <w:b/>
          <w:bCs/>
          <w:sz w:val="24"/>
        </w:rPr>
      </w:pPr>
      <w:r w:rsidRPr="00163F5E">
        <w:rPr>
          <w:bCs/>
          <w:sz w:val="24"/>
        </w:rPr>
        <w:t>上述基金调整业绩比较基准</w:t>
      </w:r>
      <w:r w:rsidRPr="00163F5E">
        <w:rPr>
          <w:rFonts w:hint="eastAsia"/>
          <w:bCs/>
          <w:sz w:val="24"/>
        </w:rPr>
        <w:t>要素</w:t>
      </w:r>
      <w:r w:rsidRPr="00163F5E">
        <w:rPr>
          <w:bCs/>
          <w:sz w:val="24"/>
        </w:rPr>
        <w:t>的原因</w:t>
      </w:r>
      <w:r w:rsidRPr="00163F5E">
        <w:rPr>
          <w:rFonts w:hint="eastAsia"/>
          <w:bCs/>
          <w:sz w:val="24"/>
        </w:rPr>
        <w:t>、差异</w:t>
      </w:r>
      <w:r w:rsidRPr="00163F5E">
        <w:rPr>
          <w:bCs/>
          <w:sz w:val="24"/>
        </w:rPr>
        <w:t>及</w:t>
      </w:r>
      <w:r w:rsidRPr="00163F5E">
        <w:rPr>
          <w:rFonts w:hint="eastAsia"/>
          <w:bCs/>
          <w:sz w:val="24"/>
        </w:rPr>
        <w:t>影响</w:t>
      </w:r>
      <w:r w:rsidRPr="00163F5E">
        <w:rPr>
          <w:bCs/>
          <w:sz w:val="24"/>
        </w:rPr>
        <w:t>详见附件《</w:t>
      </w:r>
      <w:r w:rsidRPr="00163F5E">
        <w:rPr>
          <w:sz w:val="24"/>
        </w:rPr>
        <w:t>业绩比较基准调整原因及合理性说明》。</w:t>
      </w:r>
    </w:p>
    <w:p w:rsidR="00494680" w:rsidRPr="00163F5E" w:rsidRDefault="00E449CB">
      <w:pPr>
        <w:pStyle w:val="af"/>
        <w:adjustRightInd w:val="0"/>
        <w:snapToGrid w:val="0"/>
        <w:spacing w:line="460" w:lineRule="exact"/>
        <w:ind w:firstLine="482"/>
        <w:rPr>
          <w:b/>
          <w:sz w:val="24"/>
        </w:rPr>
      </w:pPr>
      <w:r w:rsidRPr="00163F5E">
        <w:rPr>
          <w:b/>
          <w:kern w:val="0"/>
          <w:sz w:val="24"/>
        </w:rPr>
        <w:t>二、基金合同</w:t>
      </w:r>
      <w:r w:rsidRPr="00163F5E">
        <w:rPr>
          <w:rFonts w:hint="eastAsia"/>
          <w:b/>
          <w:kern w:val="0"/>
          <w:sz w:val="24"/>
        </w:rPr>
        <w:t>等法律文件</w:t>
      </w:r>
      <w:r w:rsidRPr="00163F5E">
        <w:rPr>
          <w:b/>
          <w:sz w:val="24"/>
        </w:rPr>
        <w:t>修订内容</w:t>
      </w:r>
    </w:p>
    <w:p w:rsidR="00494680" w:rsidRPr="00163F5E" w:rsidRDefault="00E449CB">
      <w:pPr>
        <w:adjustRightInd w:val="0"/>
        <w:snapToGrid w:val="0"/>
        <w:spacing w:line="460" w:lineRule="exact"/>
        <w:ind w:firstLineChars="200" w:firstLine="480"/>
        <w:rPr>
          <w:rFonts w:eastAsiaTheme="minorEastAsia"/>
          <w:sz w:val="24"/>
        </w:rPr>
      </w:pPr>
      <w:r w:rsidRPr="00163F5E">
        <w:rPr>
          <w:sz w:val="24"/>
        </w:rPr>
        <w:t>（一）基金合同具体修订内容包括：在</w:t>
      </w:r>
      <w:r w:rsidRPr="00163F5E">
        <w:rPr>
          <w:rFonts w:hint="eastAsia"/>
          <w:sz w:val="24"/>
        </w:rPr>
        <w:t>“</w:t>
      </w:r>
      <w:r w:rsidRPr="00163F5E">
        <w:rPr>
          <w:sz w:val="24"/>
        </w:rPr>
        <w:t>基金的投资</w:t>
      </w:r>
      <w:r w:rsidRPr="00163F5E">
        <w:rPr>
          <w:rFonts w:hint="eastAsia"/>
          <w:sz w:val="24"/>
        </w:rPr>
        <w:t>”</w:t>
      </w:r>
      <w:r w:rsidRPr="00163F5E">
        <w:rPr>
          <w:sz w:val="24"/>
        </w:rPr>
        <w:t>章节中的</w:t>
      </w:r>
      <w:r w:rsidRPr="00163F5E">
        <w:rPr>
          <w:rFonts w:hint="eastAsia"/>
          <w:sz w:val="24"/>
        </w:rPr>
        <w:t>“</w:t>
      </w:r>
      <w:r w:rsidRPr="00163F5E">
        <w:rPr>
          <w:sz w:val="24"/>
        </w:rPr>
        <w:t>业绩比较基准</w:t>
      </w:r>
      <w:r w:rsidRPr="00163F5E">
        <w:rPr>
          <w:rFonts w:hint="eastAsia"/>
          <w:sz w:val="24"/>
        </w:rPr>
        <w:t>”</w:t>
      </w:r>
      <w:r w:rsidRPr="00163F5E">
        <w:rPr>
          <w:sz w:val="24"/>
        </w:rPr>
        <w:t>部分列明基金调整后的业绩比较基准</w:t>
      </w:r>
      <w:r w:rsidRPr="00163F5E">
        <w:rPr>
          <w:rFonts w:hint="eastAsia"/>
          <w:sz w:val="24"/>
        </w:rPr>
        <w:t>、设定</w:t>
      </w:r>
      <w:r w:rsidRPr="00163F5E">
        <w:rPr>
          <w:sz w:val="24"/>
        </w:rPr>
        <w:t>原因</w:t>
      </w:r>
      <w:r w:rsidRPr="00163F5E">
        <w:rPr>
          <w:rFonts w:hint="eastAsia"/>
          <w:sz w:val="24"/>
        </w:rPr>
        <w:t>（</w:t>
      </w:r>
      <w:r w:rsidRPr="00163F5E">
        <w:rPr>
          <w:sz w:val="24"/>
        </w:rPr>
        <w:t>包括与基金产品投资目标、投资范围、投资策略、投资比例限制的匹配情况</w:t>
      </w:r>
      <w:r w:rsidRPr="00163F5E">
        <w:rPr>
          <w:rFonts w:hint="eastAsia"/>
          <w:sz w:val="24"/>
        </w:rPr>
        <w:t>）、</w:t>
      </w:r>
      <w:r w:rsidRPr="00163F5E">
        <w:rPr>
          <w:sz w:val="24"/>
        </w:rPr>
        <w:t>基准要素</w:t>
      </w:r>
      <w:r w:rsidRPr="00163F5E">
        <w:rPr>
          <w:rFonts w:hint="eastAsia"/>
          <w:sz w:val="24"/>
        </w:rPr>
        <w:t>相关信息（包括</w:t>
      </w:r>
      <w:r w:rsidRPr="00163F5E">
        <w:rPr>
          <w:sz w:val="24"/>
        </w:rPr>
        <w:t>发布机构、代码、查询途径等</w:t>
      </w:r>
      <w:r w:rsidRPr="00163F5E">
        <w:rPr>
          <w:rFonts w:hint="eastAsia"/>
          <w:sz w:val="24"/>
        </w:rPr>
        <w:t>）、</w:t>
      </w:r>
      <w:r w:rsidRPr="00163F5E">
        <w:rPr>
          <w:sz w:val="24"/>
        </w:rPr>
        <w:t>业绩比较基准的计算方法</w:t>
      </w:r>
      <w:r w:rsidRPr="00163F5E">
        <w:rPr>
          <w:rFonts w:hint="eastAsia"/>
          <w:sz w:val="24"/>
        </w:rPr>
        <w:t>、</w:t>
      </w:r>
      <w:r w:rsidRPr="00163F5E">
        <w:rPr>
          <w:sz w:val="24"/>
        </w:rPr>
        <w:t>管理投资偏离业绩比较基准的定性或定量方法</w:t>
      </w:r>
      <w:r w:rsidRPr="00163F5E">
        <w:rPr>
          <w:rFonts w:hint="eastAsia"/>
          <w:sz w:val="24"/>
        </w:rPr>
        <w:t>，以及</w:t>
      </w:r>
      <w:r w:rsidRPr="00163F5E">
        <w:rPr>
          <w:sz w:val="24"/>
        </w:rPr>
        <w:t>未来可能变更业绩比较基准的情形和程序</w:t>
      </w:r>
      <w:r w:rsidRPr="00163F5E">
        <w:rPr>
          <w:rFonts w:hint="eastAsia"/>
          <w:sz w:val="24"/>
        </w:rPr>
        <w:t>。</w:t>
      </w:r>
      <w:r w:rsidRPr="00163F5E">
        <w:rPr>
          <w:rFonts w:eastAsiaTheme="minorEastAsia"/>
          <w:sz w:val="24"/>
        </w:rPr>
        <w:t>基金管理人将</w:t>
      </w:r>
      <w:r w:rsidRPr="00163F5E">
        <w:rPr>
          <w:rFonts w:eastAsiaTheme="minorEastAsia" w:hint="eastAsia"/>
          <w:sz w:val="24"/>
        </w:rPr>
        <w:t>一并修订托管协议（如有），并</w:t>
      </w:r>
      <w:r w:rsidRPr="00163F5E">
        <w:rPr>
          <w:rFonts w:eastAsiaTheme="minorEastAsia"/>
          <w:sz w:val="24"/>
        </w:rPr>
        <w:t>更新招募说明书</w:t>
      </w:r>
      <w:r w:rsidRPr="00163F5E">
        <w:rPr>
          <w:rFonts w:eastAsiaTheme="minorEastAsia" w:hint="eastAsia"/>
          <w:sz w:val="24"/>
        </w:rPr>
        <w:t>、基金产品资料概要</w:t>
      </w:r>
      <w:r w:rsidRPr="00163F5E">
        <w:rPr>
          <w:rFonts w:eastAsiaTheme="minorEastAsia"/>
          <w:sz w:val="24"/>
        </w:rPr>
        <w:t>相关内容。</w:t>
      </w:r>
    </w:p>
    <w:p w:rsidR="00494680" w:rsidRPr="00163F5E" w:rsidRDefault="00E449CB">
      <w:pPr>
        <w:adjustRightInd w:val="0"/>
        <w:snapToGrid w:val="0"/>
        <w:spacing w:line="460" w:lineRule="exact"/>
        <w:ind w:firstLineChars="200" w:firstLine="480"/>
        <w:rPr>
          <w:sz w:val="24"/>
        </w:rPr>
      </w:pPr>
      <w:r w:rsidRPr="00163F5E">
        <w:rPr>
          <w:sz w:val="24"/>
        </w:rPr>
        <w:t>（二）</w:t>
      </w:r>
      <w:r w:rsidRPr="00163F5E">
        <w:rPr>
          <w:rFonts w:hint="eastAsia"/>
          <w:kern w:val="0"/>
          <w:sz w:val="24"/>
        </w:rPr>
        <w:t>本次修订</w:t>
      </w:r>
      <w:r w:rsidRPr="00163F5E">
        <w:rPr>
          <w:kern w:val="0"/>
          <w:sz w:val="24"/>
        </w:rPr>
        <w:t>对基金份额持有人利益无实质性不利影响</w:t>
      </w:r>
      <w:r w:rsidRPr="00163F5E">
        <w:rPr>
          <w:rFonts w:hint="eastAsia"/>
          <w:kern w:val="0"/>
          <w:sz w:val="24"/>
        </w:rPr>
        <w:t>，基金管理人已履行规定的程序，</w:t>
      </w:r>
      <w:r w:rsidRPr="00163F5E">
        <w:rPr>
          <w:kern w:val="0"/>
          <w:sz w:val="24"/>
        </w:rPr>
        <w:t>符合相关法律法规规定和基金合同约定</w:t>
      </w:r>
      <w:r w:rsidRPr="00163F5E">
        <w:rPr>
          <w:rFonts w:hint="eastAsia"/>
          <w:kern w:val="0"/>
          <w:sz w:val="24"/>
        </w:rPr>
        <w:t>，</w:t>
      </w:r>
      <w:r w:rsidRPr="00163F5E">
        <w:rPr>
          <w:sz w:val="24"/>
        </w:rPr>
        <w:t>修订后的基金合同、</w:t>
      </w:r>
      <w:r w:rsidRPr="00163F5E">
        <w:rPr>
          <w:rFonts w:eastAsiaTheme="minorEastAsia" w:hint="eastAsia"/>
          <w:sz w:val="24"/>
        </w:rPr>
        <w:t>托管协议（如有）、</w:t>
      </w:r>
      <w:r w:rsidRPr="00163F5E">
        <w:rPr>
          <w:sz w:val="24"/>
        </w:rPr>
        <w:t>招募说明书（更新）和基金产品资料概要（更新）将在</w:t>
      </w:r>
      <w:r w:rsidRPr="00163F5E">
        <w:rPr>
          <w:rFonts w:hint="eastAsia"/>
          <w:sz w:val="24"/>
        </w:rPr>
        <w:t>基金管理人</w:t>
      </w:r>
      <w:r w:rsidRPr="00163F5E">
        <w:rPr>
          <w:sz w:val="24"/>
        </w:rPr>
        <w:t>网站（</w:t>
      </w:r>
      <w:r w:rsidR="00A17C94" w:rsidRPr="00163F5E">
        <w:rPr>
          <w:sz w:val="24"/>
        </w:rPr>
        <w:t>www.ChinaAMC.com</w:t>
      </w:r>
      <w:r w:rsidRPr="00163F5E">
        <w:rPr>
          <w:sz w:val="24"/>
        </w:rPr>
        <w:t>）和中国证监会基金电子披露网站（</w:t>
      </w:r>
      <w:r w:rsidRPr="00163F5E">
        <w:rPr>
          <w:sz w:val="24"/>
        </w:rPr>
        <w:t>http://eid.csrc.gov.cn/fund</w:t>
      </w:r>
      <w:r w:rsidRPr="00163F5E">
        <w:rPr>
          <w:sz w:val="24"/>
        </w:rPr>
        <w:t>）发布。投资者办理基金交易等相关业务前，应仔细阅读各基金的基金合同、招募说明书、基金产品资料概要、风险提示及相关业务规则和操作指南等文件。</w:t>
      </w:r>
    </w:p>
    <w:p w:rsidR="00494680" w:rsidRPr="00163F5E" w:rsidRDefault="00E449CB">
      <w:pPr>
        <w:autoSpaceDE w:val="0"/>
        <w:autoSpaceDN w:val="0"/>
        <w:adjustRightInd w:val="0"/>
        <w:snapToGrid w:val="0"/>
        <w:spacing w:line="460" w:lineRule="exact"/>
        <w:ind w:firstLineChars="200" w:firstLine="482"/>
        <w:rPr>
          <w:b/>
          <w:sz w:val="24"/>
        </w:rPr>
      </w:pPr>
      <w:r w:rsidRPr="00163F5E">
        <w:rPr>
          <w:b/>
          <w:sz w:val="24"/>
        </w:rPr>
        <w:t>三、上述基金修订后的基金合同</w:t>
      </w:r>
      <w:r w:rsidRPr="00163F5E">
        <w:rPr>
          <w:rFonts w:hint="eastAsia"/>
          <w:b/>
          <w:sz w:val="24"/>
        </w:rPr>
        <w:t>、托管协议（如有）</w:t>
      </w:r>
      <w:r w:rsidR="00E07772" w:rsidRPr="00163F5E">
        <w:rPr>
          <w:rFonts w:hint="eastAsia"/>
          <w:b/>
          <w:sz w:val="24"/>
        </w:rPr>
        <w:t>内容</w:t>
      </w:r>
      <w:r w:rsidRPr="00163F5E">
        <w:rPr>
          <w:b/>
          <w:sz w:val="24"/>
        </w:rPr>
        <w:t>自</w:t>
      </w:r>
      <w:r w:rsidRPr="00163F5E">
        <w:rPr>
          <w:b/>
          <w:sz w:val="24"/>
        </w:rPr>
        <w:t>202</w:t>
      </w:r>
      <w:r w:rsidR="00A17C94" w:rsidRPr="00163F5E">
        <w:rPr>
          <w:b/>
          <w:sz w:val="24"/>
        </w:rPr>
        <w:t>6</w:t>
      </w:r>
      <w:r w:rsidRPr="00163F5E">
        <w:rPr>
          <w:b/>
          <w:sz w:val="24"/>
        </w:rPr>
        <w:t>年</w:t>
      </w:r>
      <w:r w:rsidR="00A17C94" w:rsidRPr="00163F5E">
        <w:rPr>
          <w:b/>
          <w:sz w:val="24"/>
        </w:rPr>
        <w:t>6</w:t>
      </w:r>
      <w:r w:rsidRPr="00163F5E">
        <w:rPr>
          <w:b/>
          <w:sz w:val="24"/>
        </w:rPr>
        <w:t>月</w:t>
      </w:r>
      <w:r w:rsidR="00A17C94" w:rsidRPr="00163F5E">
        <w:rPr>
          <w:b/>
          <w:sz w:val="24"/>
        </w:rPr>
        <w:t>1</w:t>
      </w:r>
      <w:r w:rsidRPr="00163F5E">
        <w:rPr>
          <w:b/>
          <w:sz w:val="24"/>
        </w:rPr>
        <w:t>日起生效。</w:t>
      </w:r>
    </w:p>
    <w:p w:rsidR="00494680" w:rsidRPr="00163F5E" w:rsidRDefault="00E449CB">
      <w:pPr>
        <w:pStyle w:val="af"/>
        <w:adjustRightInd w:val="0"/>
        <w:snapToGrid w:val="0"/>
        <w:spacing w:line="460" w:lineRule="exact"/>
        <w:ind w:firstLine="482"/>
        <w:rPr>
          <w:b/>
          <w:sz w:val="24"/>
        </w:rPr>
      </w:pPr>
      <w:r w:rsidRPr="00163F5E">
        <w:rPr>
          <w:b/>
          <w:sz w:val="24"/>
        </w:rPr>
        <w:t>四、其他事项</w:t>
      </w:r>
    </w:p>
    <w:p w:rsidR="00494680" w:rsidRPr="00163F5E" w:rsidRDefault="00E449CB">
      <w:pPr>
        <w:pStyle w:val="af"/>
        <w:adjustRightInd w:val="0"/>
        <w:snapToGrid w:val="0"/>
        <w:spacing w:line="460" w:lineRule="exact"/>
        <w:ind w:rightChars="40" w:right="84" w:firstLine="480"/>
        <w:rPr>
          <w:sz w:val="24"/>
        </w:rPr>
      </w:pPr>
      <w:r w:rsidRPr="00163F5E">
        <w:rPr>
          <w:rFonts w:hint="eastAsia"/>
          <w:sz w:val="24"/>
        </w:rPr>
        <w:t>（一）</w:t>
      </w:r>
      <w:r w:rsidRPr="00163F5E">
        <w:rPr>
          <w:sz w:val="24"/>
        </w:rPr>
        <w:t>投资者可通过以下途径咨询有关详情</w:t>
      </w:r>
    </w:p>
    <w:p w:rsidR="00494680" w:rsidRPr="00163F5E" w:rsidRDefault="006E561B">
      <w:pPr>
        <w:pStyle w:val="af"/>
        <w:adjustRightInd w:val="0"/>
        <w:snapToGrid w:val="0"/>
        <w:spacing w:line="460" w:lineRule="exact"/>
        <w:ind w:rightChars="40" w:right="84" w:firstLine="480"/>
        <w:rPr>
          <w:sz w:val="24"/>
        </w:rPr>
      </w:pPr>
      <w:r w:rsidRPr="00163F5E">
        <w:rPr>
          <w:rFonts w:hint="eastAsia"/>
          <w:sz w:val="24"/>
        </w:rPr>
        <w:t>基金管理人</w:t>
      </w:r>
      <w:r w:rsidR="00E449CB" w:rsidRPr="00163F5E">
        <w:rPr>
          <w:sz w:val="24"/>
        </w:rPr>
        <w:t>客户服务电话：</w:t>
      </w:r>
      <w:r w:rsidR="00A17C94" w:rsidRPr="00163F5E">
        <w:rPr>
          <w:sz w:val="24"/>
        </w:rPr>
        <w:t>400-818-6666</w:t>
      </w:r>
    </w:p>
    <w:p w:rsidR="00494680" w:rsidRPr="00163F5E" w:rsidRDefault="006E561B">
      <w:pPr>
        <w:pStyle w:val="af"/>
        <w:adjustRightInd w:val="0"/>
        <w:snapToGrid w:val="0"/>
        <w:spacing w:line="460" w:lineRule="exact"/>
        <w:ind w:rightChars="40" w:right="84" w:firstLine="480"/>
        <w:rPr>
          <w:sz w:val="24"/>
        </w:rPr>
      </w:pPr>
      <w:r w:rsidRPr="00163F5E">
        <w:rPr>
          <w:rFonts w:hint="eastAsia"/>
          <w:sz w:val="24"/>
        </w:rPr>
        <w:t>基金管理人</w:t>
      </w:r>
      <w:r w:rsidR="00E449CB" w:rsidRPr="00163F5E">
        <w:rPr>
          <w:sz w:val="24"/>
        </w:rPr>
        <w:t>网址：</w:t>
      </w:r>
      <w:r w:rsidR="00A17C94" w:rsidRPr="00163F5E">
        <w:rPr>
          <w:sz w:val="24"/>
        </w:rPr>
        <w:t>www.ChinaAMC.com</w:t>
      </w:r>
    </w:p>
    <w:p w:rsidR="00494680" w:rsidRPr="00163F5E" w:rsidRDefault="00E449CB">
      <w:pPr>
        <w:pStyle w:val="af"/>
        <w:adjustRightInd w:val="0"/>
        <w:snapToGrid w:val="0"/>
        <w:spacing w:line="460" w:lineRule="exact"/>
        <w:ind w:rightChars="40" w:right="84" w:firstLine="480"/>
        <w:rPr>
          <w:sz w:val="24"/>
        </w:rPr>
      </w:pPr>
      <w:r w:rsidRPr="00163F5E">
        <w:rPr>
          <w:rFonts w:hint="eastAsia"/>
          <w:sz w:val="24"/>
        </w:rPr>
        <w:t>（二）</w:t>
      </w:r>
      <w:r w:rsidRPr="00163F5E">
        <w:rPr>
          <w:sz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w:t>
      </w:r>
      <w:r w:rsidRPr="00163F5E">
        <w:rPr>
          <w:sz w:val="24"/>
        </w:rPr>
        <w:t>“</w:t>
      </w:r>
      <w:r w:rsidRPr="00163F5E">
        <w:rPr>
          <w:sz w:val="24"/>
        </w:rPr>
        <w:t>买者自负</w:t>
      </w:r>
      <w:r w:rsidRPr="00163F5E">
        <w:rPr>
          <w:sz w:val="24"/>
        </w:rPr>
        <w:t>”</w:t>
      </w:r>
      <w:r w:rsidRPr="00163F5E">
        <w:rPr>
          <w:sz w:val="24"/>
        </w:rPr>
        <w:t>原则，在投资者作出投资决策后，基金运营状况与基金净值变化引致的投资风险，由投资者自行负责。</w:t>
      </w:r>
    </w:p>
    <w:p w:rsidR="00494680" w:rsidRPr="00163F5E" w:rsidRDefault="00E449CB">
      <w:pPr>
        <w:adjustRightInd w:val="0"/>
        <w:snapToGrid w:val="0"/>
        <w:spacing w:line="460" w:lineRule="exact"/>
        <w:ind w:firstLineChars="175" w:firstLine="420"/>
        <w:rPr>
          <w:sz w:val="24"/>
        </w:rPr>
      </w:pPr>
      <w:r w:rsidRPr="00163F5E">
        <w:rPr>
          <w:sz w:val="24"/>
        </w:rPr>
        <w:t>特此公告。</w:t>
      </w:r>
    </w:p>
    <w:p w:rsidR="00494680" w:rsidRPr="00163F5E" w:rsidRDefault="00494680">
      <w:pPr>
        <w:adjustRightInd w:val="0"/>
        <w:snapToGrid w:val="0"/>
        <w:spacing w:line="460" w:lineRule="exact"/>
        <w:ind w:firstLineChars="175" w:firstLine="420"/>
        <w:rPr>
          <w:sz w:val="24"/>
        </w:rPr>
      </w:pPr>
    </w:p>
    <w:p w:rsidR="00A17C94" w:rsidRPr="00163F5E" w:rsidRDefault="00A17C94" w:rsidP="00A17C94">
      <w:pPr>
        <w:tabs>
          <w:tab w:val="left" w:pos="10440"/>
        </w:tabs>
        <w:snapToGrid w:val="0"/>
        <w:spacing w:line="360" w:lineRule="auto"/>
        <w:jc w:val="right"/>
        <w:rPr>
          <w:sz w:val="24"/>
          <w:szCs w:val="22"/>
        </w:rPr>
      </w:pPr>
      <w:r w:rsidRPr="00163F5E">
        <w:rPr>
          <w:rFonts w:hAnsi="宋体" w:hint="eastAsia"/>
          <w:sz w:val="24"/>
        </w:rPr>
        <w:t>华夏基金管理有限公司</w:t>
      </w:r>
    </w:p>
    <w:p w:rsidR="00A17C94" w:rsidRPr="00163F5E" w:rsidRDefault="00A17C94" w:rsidP="00A17C94">
      <w:pPr>
        <w:ind w:firstLine="480"/>
        <w:jc w:val="right"/>
        <w:rPr>
          <w:rFonts w:hAnsi="宋体"/>
          <w:kern w:val="0"/>
          <w:sz w:val="24"/>
        </w:rPr>
      </w:pPr>
      <w:r w:rsidRPr="00163F5E">
        <w:rPr>
          <w:rFonts w:ascii="宋体" w:hAnsi="宋体" w:hint="eastAsia"/>
          <w:sz w:val="24"/>
        </w:rPr>
        <w:t>二○二六</w:t>
      </w:r>
      <w:r w:rsidRPr="00163F5E">
        <w:rPr>
          <w:rFonts w:hAnsi="宋体" w:hint="eastAsia"/>
          <w:sz w:val="24"/>
        </w:rPr>
        <w:t>年五月一日</w:t>
      </w:r>
    </w:p>
    <w:bookmarkEnd w:id="1"/>
    <w:bookmarkEnd w:id="2"/>
    <w:bookmarkEnd w:id="3"/>
    <w:bookmarkEnd w:id="4"/>
    <w:p w:rsidR="00494680" w:rsidRPr="00163F5E" w:rsidRDefault="00494680">
      <w:pPr>
        <w:pStyle w:val="af"/>
        <w:adjustRightInd w:val="0"/>
        <w:snapToGrid w:val="0"/>
        <w:spacing w:line="460" w:lineRule="exact"/>
        <w:ind w:right="240" w:firstLineChars="1500" w:firstLine="3600"/>
        <w:jc w:val="right"/>
        <w:rPr>
          <w:sz w:val="24"/>
        </w:rPr>
      </w:pPr>
    </w:p>
    <w:p w:rsidR="00494680" w:rsidRPr="00163F5E" w:rsidRDefault="00494680">
      <w:pPr>
        <w:pStyle w:val="af"/>
        <w:adjustRightInd w:val="0"/>
        <w:snapToGrid w:val="0"/>
        <w:spacing w:line="460" w:lineRule="exact"/>
        <w:ind w:right="240" w:firstLineChars="1500" w:firstLine="3600"/>
        <w:jc w:val="right"/>
        <w:rPr>
          <w:sz w:val="24"/>
        </w:rPr>
      </w:pPr>
    </w:p>
    <w:p w:rsidR="00794FF0" w:rsidRPr="00163F5E" w:rsidRDefault="00E449CB">
      <w:pPr>
        <w:adjustRightInd w:val="0"/>
        <w:snapToGrid w:val="0"/>
        <w:spacing w:line="460" w:lineRule="exact"/>
        <w:ind w:right="240" w:firstLine="480"/>
        <w:jc w:val="left"/>
        <w:rPr>
          <w:rStyle w:val="1Char"/>
          <w:color w:val="auto"/>
        </w:rPr>
      </w:pPr>
      <w:r w:rsidRPr="00163F5E">
        <w:rPr>
          <w:rStyle w:val="1Char"/>
          <w:color w:val="auto"/>
        </w:rPr>
        <w:t>附：</w:t>
      </w:r>
      <w:r w:rsidR="00794FF0" w:rsidRPr="00163F5E">
        <w:rPr>
          <w:rStyle w:val="1Char"/>
          <w:rFonts w:hint="eastAsia"/>
          <w:color w:val="auto"/>
        </w:rPr>
        <w:t>《</w:t>
      </w:r>
      <w:r w:rsidRPr="00163F5E">
        <w:rPr>
          <w:rStyle w:val="1Char"/>
          <w:color w:val="auto"/>
        </w:rPr>
        <w:t>业绩比较基准调整原因及合理性说明</w:t>
      </w:r>
      <w:r w:rsidR="00794FF0" w:rsidRPr="00163F5E">
        <w:rPr>
          <w:rStyle w:val="1Char"/>
          <w:rFonts w:hint="eastAsia"/>
          <w:color w:val="auto"/>
        </w:rPr>
        <w:t>》</w:t>
      </w:r>
    </w:p>
    <w:p w:rsidR="00794FF0" w:rsidRPr="00163F5E" w:rsidRDefault="00794FF0">
      <w:pPr>
        <w:widowControl/>
        <w:jc w:val="left"/>
        <w:rPr>
          <w:rStyle w:val="1Char"/>
          <w:color w:val="auto"/>
        </w:rPr>
      </w:pPr>
      <w:r w:rsidRPr="00163F5E">
        <w:rPr>
          <w:rStyle w:val="1Char"/>
          <w:color w:val="auto"/>
        </w:rPr>
        <w:br w:type="page"/>
      </w:r>
    </w:p>
    <w:p w:rsidR="00494680" w:rsidRPr="00163F5E" w:rsidRDefault="00794FF0">
      <w:pPr>
        <w:adjustRightInd w:val="0"/>
        <w:snapToGrid w:val="0"/>
        <w:spacing w:line="460" w:lineRule="exact"/>
        <w:ind w:right="240" w:firstLine="480"/>
        <w:jc w:val="left"/>
        <w:rPr>
          <w:b/>
          <w:sz w:val="24"/>
        </w:rPr>
      </w:pPr>
      <w:r w:rsidRPr="00163F5E">
        <w:rPr>
          <w:rStyle w:val="1Char"/>
          <w:color w:val="auto"/>
        </w:rPr>
        <w:t>附：</w:t>
      </w:r>
      <w:r w:rsidR="00675C39" w:rsidRPr="00163F5E">
        <w:rPr>
          <w:rStyle w:val="1Char"/>
          <w:rFonts w:hint="eastAsia"/>
          <w:color w:val="auto"/>
        </w:rPr>
        <w:t>《</w:t>
      </w:r>
      <w:r w:rsidRPr="00163F5E">
        <w:rPr>
          <w:rStyle w:val="1Char"/>
          <w:color w:val="auto"/>
        </w:rPr>
        <w:t>业绩比较基准调整原因及合理性说明</w:t>
      </w:r>
      <w:r w:rsidR="00675C39" w:rsidRPr="00163F5E">
        <w:rPr>
          <w:rStyle w:val="1Char"/>
          <w:rFonts w:hint="eastAsia"/>
          <w:color w:val="auto"/>
        </w:rPr>
        <w:t>》</w:t>
      </w:r>
    </w:p>
    <w:tbl>
      <w:tblPr>
        <w:tblStyle w:val="ac"/>
        <w:tblW w:w="5123" w:type="pct"/>
        <w:jc w:val="center"/>
        <w:tblLook w:val="04A0"/>
      </w:tblPr>
      <w:tblGrid>
        <w:gridCol w:w="723"/>
        <w:gridCol w:w="2681"/>
        <w:gridCol w:w="5328"/>
      </w:tblGrid>
      <w:tr w:rsidR="00163F5E" w:rsidRPr="00163F5E" w:rsidTr="006A5784">
        <w:trPr>
          <w:trHeight w:val="376"/>
          <w:jc w:val="center"/>
        </w:trPr>
        <w:tc>
          <w:tcPr>
            <w:tcW w:w="414" w:type="pct"/>
            <w:vAlign w:val="center"/>
          </w:tcPr>
          <w:p w:rsidR="00CD20D1" w:rsidRPr="00163F5E" w:rsidRDefault="00CD20D1" w:rsidP="00AC21DA">
            <w:pPr>
              <w:pStyle w:val="af"/>
              <w:spacing w:line="360" w:lineRule="auto"/>
              <w:ind w:firstLineChars="0" w:firstLine="0"/>
              <w:jc w:val="center"/>
              <w:rPr>
                <w:szCs w:val="21"/>
              </w:rPr>
            </w:pPr>
            <w:r w:rsidRPr="00163F5E">
              <w:rPr>
                <w:szCs w:val="21"/>
              </w:rPr>
              <w:t>序号</w:t>
            </w:r>
          </w:p>
        </w:tc>
        <w:tc>
          <w:tcPr>
            <w:tcW w:w="1535" w:type="pct"/>
          </w:tcPr>
          <w:p w:rsidR="00CD20D1" w:rsidRPr="00163F5E" w:rsidRDefault="00CD20D1" w:rsidP="00AC21DA">
            <w:pPr>
              <w:pStyle w:val="af"/>
              <w:spacing w:line="360" w:lineRule="auto"/>
              <w:ind w:firstLineChars="0" w:firstLine="0"/>
              <w:jc w:val="center"/>
              <w:rPr>
                <w:szCs w:val="21"/>
              </w:rPr>
            </w:pPr>
            <w:r w:rsidRPr="00163F5E">
              <w:rPr>
                <w:szCs w:val="21"/>
              </w:rPr>
              <w:t>基金全称</w:t>
            </w:r>
          </w:p>
        </w:tc>
        <w:tc>
          <w:tcPr>
            <w:tcW w:w="3051" w:type="pct"/>
          </w:tcPr>
          <w:p w:rsidR="00CD20D1" w:rsidRPr="00163F5E" w:rsidRDefault="00CD20D1" w:rsidP="00AC21DA">
            <w:pPr>
              <w:pStyle w:val="af"/>
              <w:spacing w:line="360" w:lineRule="auto"/>
              <w:ind w:firstLineChars="0" w:firstLine="0"/>
              <w:jc w:val="center"/>
              <w:rPr>
                <w:szCs w:val="21"/>
              </w:rPr>
            </w:pPr>
            <w:r w:rsidRPr="00163F5E">
              <w:rPr>
                <w:szCs w:val="21"/>
              </w:rPr>
              <w:t>业绩比较基准调整原因及合理性说明</w:t>
            </w:r>
          </w:p>
        </w:tc>
      </w:tr>
      <w:tr w:rsidR="00163F5E" w:rsidRPr="00163F5E" w:rsidTr="006A5784">
        <w:trPr>
          <w:trHeight w:val="370"/>
          <w:jc w:val="center"/>
        </w:trPr>
        <w:tc>
          <w:tcPr>
            <w:tcW w:w="414" w:type="pct"/>
            <w:vAlign w:val="center"/>
          </w:tcPr>
          <w:p w:rsidR="00CD20D1" w:rsidRPr="00163F5E" w:rsidRDefault="00CD20D1" w:rsidP="00CD20D1">
            <w:pPr>
              <w:pStyle w:val="af"/>
              <w:spacing w:line="360" w:lineRule="auto"/>
              <w:ind w:firstLineChars="0" w:firstLine="0"/>
              <w:jc w:val="center"/>
              <w:rPr>
                <w:szCs w:val="21"/>
              </w:rPr>
            </w:pPr>
            <w:r w:rsidRPr="00163F5E">
              <w:rPr>
                <w:szCs w:val="21"/>
              </w:rPr>
              <w:t>1</w:t>
            </w:r>
          </w:p>
        </w:tc>
        <w:tc>
          <w:tcPr>
            <w:tcW w:w="1535" w:type="pct"/>
            <w:shd w:val="clear" w:color="auto" w:fill="auto"/>
            <w:vAlign w:val="center"/>
          </w:tcPr>
          <w:p w:rsidR="00CD20D1" w:rsidRPr="00163F5E" w:rsidRDefault="00CD20D1" w:rsidP="00CD20D1">
            <w:pPr>
              <w:pStyle w:val="af"/>
              <w:spacing w:line="360" w:lineRule="auto"/>
              <w:ind w:firstLineChars="0" w:firstLine="0"/>
              <w:jc w:val="center"/>
              <w:rPr>
                <w:szCs w:val="21"/>
              </w:rPr>
            </w:pPr>
            <w:r w:rsidRPr="00163F5E">
              <w:rPr>
                <w:szCs w:val="21"/>
              </w:rPr>
              <w:t>华夏消费升级灵活配置混合型证券投资基金</w:t>
            </w:r>
          </w:p>
        </w:tc>
        <w:tc>
          <w:tcPr>
            <w:tcW w:w="3051" w:type="pct"/>
          </w:tcPr>
          <w:p w:rsidR="00CD20D1" w:rsidRPr="00163F5E" w:rsidRDefault="0078325E" w:rsidP="006E2E27">
            <w:pPr>
              <w:pStyle w:val="af"/>
              <w:spacing w:line="360" w:lineRule="auto"/>
              <w:ind w:firstLineChars="0" w:firstLine="0"/>
              <w:rPr>
                <w:szCs w:val="21"/>
              </w:rPr>
            </w:pPr>
            <w:r w:rsidRPr="00163F5E">
              <w:rPr>
                <w:szCs w:val="21"/>
              </w:rPr>
              <w:t>本</w:t>
            </w:r>
            <w:r w:rsidR="00C03240" w:rsidRPr="00163F5E">
              <w:rPr>
                <w:szCs w:val="21"/>
              </w:rPr>
              <w:t>基金调整业绩比较基准的要素权重，以使新业绩比较基准代表性更强。</w:t>
            </w:r>
            <w:r w:rsidRPr="00163F5E">
              <w:rPr>
                <w:szCs w:val="21"/>
              </w:rPr>
              <w:t>本基金主要投资于</w:t>
            </w:r>
            <w:r w:rsidRPr="00163F5E">
              <w:rPr>
                <w:szCs w:val="21"/>
              </w:rPr>
              <w:t>A</w:t>
            </w:r>
            <w:r w:rsidRPr="00163F5E">
              <w:rPr>
                <w:szCs w:val="21"/>
              </w:rPr>
              <w:t>股股票、债券等资产，调整后的</w:t>
            </w:r>
            <w:r w:rsidR="006E2E27" w:rsidRPr="00163F5E">
              <w:rPr>
                <w:szCs w:val="21"/>
              </w:rPr>
              <w:t>A</w:t>
            </w:r>
            <w:r w:rsidR="006E2E27" w:rsidRPr="00163F5E">
              <w:rPr>
                <w:szCs w:val="21"/>
              </w:rPr>
              <w:t>股股票资产所对应的要素权重由</w:t>
            </w:r>
            <w:r w:rsidR="006E2E27" w:rsidRPr="00163F5E">
              <w:rPr>
                <w:szCs w:val="21"/>
              </w:rPr>
              <w:t>50%</w:t>
            </w:r>
            <w:r w:rsidR="006E2E27" w:rsidRPr="00163F5E">
              <w:rPr>
                <w:szCs w:val="21"/>
              </w:rPr>
              <w:t>提高至</w:t>
            </w:r>
            <w:r w:rsidR="006E2E27" w:rsidRPr="00163F5E">
              <w:rPr>
                <w:szCs w:val="21"/>
              </w:rPr>
              <w:t>90%</w:t>
            </w:r>
            <w:r w:rsidR="006E2E27" w:rsidRPr="00163F5E">
              <w:rPr>
                <w:szCs w:val="21"/>
              </w:rPr>
              <w:t>，调整后的债券资产所对应的要素权重相应由</w:t>
            </w:r>
            <w:r w:rsidR="006E2E27" w:rsidRPr="00163F5E">
              <w:rPr>
                <w:szCs w:val="21"/>
              </w:rPr>
              <w:t>50%</w:t>
            </w:r>
            <w:r w:rsidR="006E2E27" w:rsidRPr="00163F5E">
              <w:rPr>
                <w:szCs w:val="21"/>
              </w:rPr>
              <w:t>调整至</w:t>
            </w:r>
            <w:r w:rsidR="006E2E27" w:rsidRPr="00163F5E">
              <w:rPr>
                <w:szCs w:val="21"/>
              </w:rPr>
              <w:t>10%</w:t>
            </w:r>
            <w:r w:rsidR="00D65526" w:rsidRPr="00163F5E">
              <w:rPr>
                <w:szCs w:val="21"/>
              </w:rPr>
              <w:t>。</w:t>
            </w:r>
            <w:r w:rsidR="006E2E27" w:rsidRPr="00163F5E">
              <w:rPr>
                <w:szCs w:val="21"/>
              </w:rPr>
              <w:br/>
            </w:r>
            <w:r w:rsidR="006E2E27" w:rsidRPr="00163F5E">
              <w:rPr>
                <w:szCs w:val="21"/>
              </w:rPr>
              <w:t>调整后的新</w:t>
            </w:r>
            <w:r w:rsidRPr="00163F5E">
              <w:rPr>
                <w:szCs w:val="21"/>
              </w:rPr>
              <w:t>要素权重更符合基金所投资主要资产类别</w:t>
            </w:r>
            <w:r w:rsidR="006E2E27" w:rsidRPr="00163F5E">
              <w:rPr>
                <w:szCs w:val="21"/>
              </w:rPr>
              <w:t>的</w:t>
            </w:r>
            <w:r w:rsidRPr="00163F5E">
              <w:rPr>
                <w:szCs w:val="21"/>
              </w:rPr>
              <w:t>过往实际投资运作情况</w:t>
            </w:r>
            <w:r w:rsidR="00D65526" w:rsidRPr="00163F5E">
              <w:rPr>
                <w:szCs w:val="21"/>
              </w:rPr>
              <w:t>。</w:t>
            </w:r>
            <w:r w:rsidR="006E2E27" w:rsidRPr="00163F5E">
              <w:rPr>
                <w:szCs w:val="21"/>
              </w:rPr>
              <w:t>本次调整业绩比较基准对基金产品投资运作及基金份额持有人利益无实质性不利影响。</w:t>
            </w:r>
          </w:p>
        </w:tc>
      </w:tr>
      <w:tr w:rsidR="00163F5E" w:rsidRPr="00163F5E" w:rsidTr="006A5784">
        <w:trPr>
          <w:trHeight w:val="370"/>
          <w:jc w:val="center"/>
        </w:trPr>
        <w:tc>
          <w:tcPr>
            <w:tcW w:w="414" w:type="pct"/>
            <w:vAlign w:val="center"/>
          </w:tcPr>
          <w:p w:rsidR="00CD20D1" w:rsidRPr="00163F5E" w:rsidRDefault="00CD20D1" w:rsidP="00CD20D1">
            <w:pPr>
              <w:pStyle w:val="af"/>
              <w:spacing w:line="360" w:lineRule="auto"/>
              <w:ind w:firstLineChars="0" w:firstLine="0"/>
              <w:jc w:val="center"/>
              <w:rPr>
                <w:szCs w:val="21"/>
              </w:rPr>
            </w:pPr>
            <w:r w:rsidRPr="00163F5E">
              <w:rPr>
                <w:szCs w:val="21"/>
              </w:rPr>
              <w:t>2</w:t>
            </w:r>
          </w:p>
        </w:tc>
        <w:tc>
          <w:tcPr>
            <w:tcW w:w="1535" w:type="pct"/>
            <w:shd w:val="clear" w:color="auto" w:fill="auto"/>
            <w:vAlign w:val="center"/>
          </w:tcPr>
          <w:p w:rsidR="00CD20D1" w:rsidRPr="00163F5E" w:rsidRDefault="00CD20D1" w:rsidP="00CD20D1">
            <w:pPr>
              <w:pStyle w:val="af"/>
              <w:spacing w:line="360" w:lineRule="auto"/>
              <w:ind w:firstLineChars="0" w:firstLine="0"/>
              <w:jc w:val="center"/>
              <w:rPr>
                <w:szCs w:val="21"/>
              </w:rPr>
            </w:pPr>
            <w:r w:rsidRPr="00163F5E">
              <w:rPr>
                <w:szCs w:val="21"/>
              </w:rPr>
              <w:t>华夏医疗健康混合型发起式证券投资基金</w:t>
            </w:r>
          </w:p>
        </w:tc>
        <w:tc>
          <w:tcPr>
            <w:tcW w:w="3051" w:type="pct"/>
          </w:tcPr>
          <w:p w:rsidR="00CD20D1" w:rsidRPr="00163F5E" w:rsidRDefault="006D2F23" w:rsidP="00C03240">
            <w:pPr>
              <w:pStyle w:val="af"/>
              <w:spacing w:line="360" w:lineRule="auto"/>
              <w:ind w:firstLineChars="0" w:firstLine="0"/>
              <w:rPr>
                <w:szCs w:val="21"/>
              </w:rPr>
            </w:pPr>
            <w:r w:rsidRPr="00163F5E">
              <w:rPr>
                <w:szCs w:val="21"/>
              </w:rPr>
              <w:t>本基金调整业绩比较基准的要素权重，以使新业绩比较基准代表性更强。本基金主要投资于</w:t>
            </w:r>
            <w:r w:rsidRPr="00163F5E">
              <w:rPr>
                <w:szCs w:val="21"/>
              </w:rPr>
              <w:t>A</w:t>
            </w:r>
            <w:r w:rsidRPr="00163F5E">
              <w:rPr>
                <w:szCs w:val="21"/>
              </w:rPr>
              <w:t>股股票、债券等资产，调整后的</w:t>
            </w:r>
            <w:r w:rsidRPr="00163F5E">
              <w:rPr>
                <w:szCs w:val="21"/>
              </w:rPr>
              <w:t>A</w:t>
            </w:r>
            <w:r w:rsidRPr="00163F5E">
              <w:rPr>
                <w:szCs w:val="21"/>
              </w:rPr>
              <w:t>股股票资产所对应的要素权重由</w:t>
            </w:r>
            <w:r w:rsidRPr="00163F5E">
              <w:rPr>
                <w:szCs w:val="21"/>
              </w:rPr>
              <w:t>65%</w:t>
            </w:r>
            <w:r w:rsidRPr="00163F5E">
              <w:rPr>
                <w:szCs w:val="21"/>
              </w:rPr>
              <w:t>提高至</w:t>
            </w:r>
            <w:r w:rsidRPr="00163F5E">
              <w:rPr>
                <w:szCs w:val="21"/>
              </w:rPr>
              <w:t>90%</w:t>
            </w:r>
            <w:r w:rsidRPr="00163F5E">
              <w:rPr>
                <w:szCs w:val="21"/>
              </w:rPr>
              <w:t>，调整后的债券资产所对应的要素权重相应由</w:t>
            </w:r>
            <w:r w:rsidRPr="00163F5E">
              <w:rPr>
                <w:szCs w:val="21"/>
              </w:rPr>
              <w:t>35%</w:t>
            </w:r>
            <w:r w:rsidRPr="00163F5E">
              <w:rPr>
                <w:szCs w:val="21"/>
              </w:rPr>
              <w:t>调整至</w:t>
            </w:r>
            <w:r w:rsidRPr="00163F5E">
              <w:rPr>
                <w:szCs w:val="21"/>
              </w:rPr>
              <w:t>10%</w:t>
            </w:r>
            <w:r w:rsidR="00D65526" w:rsidRPr="00163F5E">
              <w:rPr>
                <w:szCs w:val="21"/>
              </w:rPr>
              <w:t>。</w:t>
            </w:r>
            <w:r w:rsidRPr="00163F5E">
              <w:rPr>
                <w:szCs w:val="21"/>
              </w:rPr>
              <w:br/>
            </w:r>
            <w:r w:rsidRPr="00163F5E">
              <w:rPr>
                <w:szCs w:val="21"/>
              </w:rPr>
              <w:t>调整后的新要素权重更符合基金所投资主要资产类别的过往实际投资运作情况</w:t>
            </w:r>
            <w:r w:rsidR="00D65526" w:rsidRPr="00163F5E">
              <w:rPr>
                <w:szCs w:val="21"/>
              </w:rPr>
              <w:t>。</w:t>
            </w:r>
            <w:r w:rsidRPr="00163F5E">
              <w:rPr>
                <w:szCs w:val="21"/>
              </w:rPr>
              <w:t>本次调整业绩比较基准对基金产品投资运作及基金份额持有人利益无实质性不利影响。</w:t>
            </w:r>
          </w:p>
        </w:tc>
      </w:tr>
      <w:tr w:rsidR="00163F5E" w:rsidRPr="00163F5E" w:rsidTr="006A5784">
        <w:trPr>
          <w:trHeight w:val="370"/>
          <w:jc w:val="center"/>
        </w:trPr>
        <w:tc>
          <w:tcPr>
            <w:tcW w:w="414" w:type="pct"/>
            <w:vAlign w:val="center"/>
          </w:tcPr>
          <w:p w:rsidR="00CD20D1" w:rsidRPr="00163F5E" w:rsidRDefault="00CD20D1" w:rsidP="00CD20D1">
            <w:pPr>
              <w:pStyle w:val="af"/>
              <w:spacing w:line="360" w:lineRule="auto"/>
              <w:ind w:firstLineChars="0" w:firstLine="0"/>
              <w:jc w:val="center"/>
              <w:rPr>
                <w:szCs w:val="21"/>
              </w:rPr>
            </w:pPr>
            <w:r w:rsidRPr="00163F5E">
              <w:rPr>
                <w:szCs w:val="21"/>
              </w:rPr>
              <w:t>3</w:t>
            </w:r>
          </w:p>
        </w:tc>
        <w:tc>
          <w:tcPr>
            <w:tcW w:w="1535" w:type="pct"/>
            <w:shd w:val="clear" w:color="auto" w:fill="auto"/>
            <w:vAlign w:val="center"/>
          </w:tcPr>
          <w:p w:rsidR="00CD20D1" w:rsidRPr="00163F5E" w:rsidRDefault="00CD20D1" w:rsidP="00CD20D1">
            <w:pPr>
              <w:pStyle w:val="af"/>
              <w:spacing w:line="360" w:lineRule="auto"/>
              <w:ind w:firstLineChars="0" w:firstLine="0"/>
              <w:jc w:val="center"/>
              <w:rPr>
                <w:szCs w:val="21"/>
              </w:rPr>
            </w:pPr>
            <w:r w:rsidRPr="00163F5E">
              <w:rPr>
                <w:szCs w:val="21"/>
              </w:rPr>
              <w:t>华夏逸享健康混合型证券投资基金</w:t>
            </w:r>
          </w:p>
        </w:tc>
        <w:tc>
          <w:tcPr>
            <w:tcW w:w="3051" w:type="pct"/>
          </w:tcPr>
          <w:p w:rsidR="00A0274F" w:rsidRPr="00163F5E" w:rsidRDefault="00D65526" w:rsidP="00D65526">
            <w:pPr>
              <w:pStyle w:val="af"/>
              <w:spacing w:line="360" w:lineRule="auto"/>
              <w:ind w:firstLineChars="0" w:firstLine="0"/>
              <w:rPr>
                <w:szCs w:val="21"/>
              </w:rPr>
            </w:pPr>
            <w:r w:rsidRPr="00163F5E">
              <w:rPr>
                <w:szCs w:val="21"/>
              </w:rPr>
              <w:t>本基金调整业绩比较基准的要素权重，以使新业绩比较基准代表性更强。本基金主要投资于</w:t>
            </w:r>
            <w:r w:rsidRPr="00163F5E">
              <w:rPr>
                <w:szCs w:val="21"/>
              </w:rPr>
              <w:t>A</w:t>
            </w:r>
            <w:r w:rsidRPr="00163F5E">
              <w:rPr>
                <w:szCs w:val="21"/>
              </w:rPr>
              <w:t>股股票、港股通股票、债券等资产，调整后的</w:t>
            </w:r>
            <w:r w:rsidRPr="00163F5E">
              <w:rPr>
                <w:szCs w:val="21"/>
              </w:rPr>
              <w:t>A</w:t>
            </w:r>
            <w:r w:rsidRPr="00163F5E">
              <w:rPr>
                <w:szCs w:val="21"/>
              </w:rPr>
              <w:t>股股票资产所对应的要素权重由</w:t>
            </w:r>
            <w:r w:rsidRPr="00163F5E">
              <w:rPr>
                <w:szCs w:val="21"/>
              </w:rPr>
              <w:t>60%</w:t>
            </w:r>
            <w:r w:rsidRPr="00163F5E">
              <w:rPr>
                <w:szCs w:val="21"/>
              </w:rPr>
              <w:t>提高至</w:t>
            </w:r>
            <w:r w:rsidRPr="00163F5E">
              <w:rPr>
                <w:szCs w:val="21"/>
              </w:rPr>
              <w:t>70%</w:t>
            </w:r>
            <w:r w:rsidRPr="00163F5E">
              <w:rPr>
                <w:szCs w:val="21"/>
              </w:rPr>
              <w:t>，港股通股票资产所对应的要素权重保持不变，即调整后的股票资产整体所对应的要素权重由</w:t>
            </w:r>
            <w:r w:rsidRPr="00163F5E">
              <w:rPr>
                <w:szCs w:val="21"/>
              </w:rPr>
              <w:t>80%</w:t>
            </w:r>
            <w:r w:rsidRPr="00163F5E">
              <w:rPr>
                <w:szCs w:val="21"/>
              </w:rPr>
              <w:t>提高至</w:t>
            </w:r>
            <w:r w:rsidRPr="00163F5E">
              <w:rPr>
                <w:szCs w:val="21"/>
              </w:rPr>
              <w:t>90%</w:t>
            </w:r>
            <w:r w:rsidRPr="00163F5E">
              <w:rPr>
                <w:szCs w:val="21"/>
              </w:rPr>
              <w:t>；调整后的债券资产所对应的要素权重相应由</w:t>
            </w:r>
            <w:r w:rsidR="006E5DA7" w:rsidRPr="00163F5E">
              <w:rPr>
                <w:szCs w:val="21"/>
              </w:rPr>
              <w:t>20</w:t>
            </w:r>
            <w:r w:rsidRPr="00163F5E">
              <w:rPr>
                <w:szCs w:val="21"/>
              </w:rPr>
              <w:t>%</w:t>
            </w:r>
            <w:r w:rsidRPr="00163F5E">
              <w:rPr>
                <w:szCs w:val="21"/>
              </w:rPr>
              <w:t>调整至</w:t>
            </w:r>
            <w:r w:rsidRPr="00163F5E">
              <w:rPr>
                <w:szCs w:val="21"/>
              </w:rPr>
              <w:t>10%</w:t>
            </w:r>
            <w:r w:rsidR="00A0274F" w:rsidRPr="00163F5E">
              <w:rPr>
                <w:szCs w:val="21"/>
              </w:rPr>
              <w:t>。</w:t>
            </w:r>
          </w:p>
          <w:p w:rsidR="00CD20D1" w:rsidRPr="00163F5E" w:rsidRDefault="00D65526" w:rsidP="00D65526">
            <w:pPr>
              <w:pStyle w:val="af"/>
              <w:spacing w:line="360" w:lineRule="auto"/>
              <w:ind w:firstLineChars="0" w:firstLine="0"/>
              <w:rPr>
                <w:szCs w:val="21"/>
              </w:rPr>
            </w:pPr>
            <w:r w:rsidRPr="00163F5E">
              <w:rPr>
                <w:szCs w:val="21"/>
              </w:rPr>
              <w:t>调整后的新要素权重更符合基金所投资主要资产类别的过往实际投资运作情况。本次调整业绩比较基准对基金产品投资运作及基金份额持有人利益无实质性不利影响。</w:t>
            </w:r>
          </w:p>
        </w:tc>
      </w:tr>
      <w:tr w:rsidR="00163F5E" w:rsidRPr="00163F5E" w:rsidTr="006A5784">
        <w:trPr>
          <w:trHeight w:val="370"/>
          <w:jc w:val="center"/>
        </w:trPr>
        <w:tc>
          <w:tcPr>
            <w:tcW w:w="414" w:type="pct"/>
            <w:vAlign w:val="center"/>
          </w:tcPr>
          <w:p w:rsidR="00CD20D1" w:rsidRPr="00163F5E" w:rsidRDefault="00CD20D1" w:rsidP="00CD20D1">
            <w:pPr>
              <w:pStyle w:val="af"/>
              <w:spacing w:line="360" w:lineRule="auto"/>
              <w:ind w:firstLineChars="0" w:firstLine="0"/>
              <w:jc w:val="center"/>
              <w:rPr>
                <w:szCs w:val="21"/>
              </w:rPr>
            </w:pPr>
            <w:r w:rsidRPr="00163F5E">
              <w:rPr>
                <w:szCs w:val="21"/>
              </w:rPr>
              <w:t>4</w:t>
            </w:r>
          </w:p>
        </w:tc>
        <w:tc>
          <w:tcPr>
            <w:tcW w:w="1535" w:type="pct"/>
            <w:shd w:val="clear" w:color="auto" w:fill="auto"/>
            <w:vAlign w:val="center"/>
          </w:tcPr>
          <w:p w:rsidR="00CD20D1" w:rsidRPr="00163F5E" w:rsidRDefault="00CD20D1" w:rsidP="00CD20D1">
            <w:pPr>
              <w:pStyle w:val="af"/>
              <w:spacing w:line="360" w:lineRule="auto"/>
              <w:ind w:firstLineChars="0" w:firstLine="0"/>
              <w:jc w:val="center"/>
              <w:rPr>
                <w:szCs w:val="21"/>
              </w:rPr>
            </w:pPr>
            <w:r w:rsidRPr="00163F5E">
              <w:rPr>
                <w:szCs w:val="21"/>
              </w:rPr>
              <w:t>华夏智造升级混合型证券投资基金</w:t>
            </w:r>
          </w:p>
        </w:tc>
        <w:tc>
          <w:tcPr>
            <w:tcW w:w="3051" w:type="pct"/>
          </w:tcPr>
          <w:p w:rsidR="00CD20D1" w:rsidRPr="00163F5E" w:rsidRDefault="00A0274F" w:rsidP="00C03240">
            <w:pPr>
              <w:pStyle w:val="af"/>
              <w:spacing w:line="360" w:lineRule="auto"/>
              <w:ind w:firstLineChars="0" w:firstLine="0"/>
              <w:rPr>
                <w:szCs w:val="21"/>
              </w:rPr>
            </w:pPr>
            <w:r w:rsidRPr="00163F5E">
              <w:rPr>
                <w:szCs w:val="21"/>
              </w:rPr>
              <w:t>本基金调整业绩比较基准的要素权重、更换港股股票部分的基准要素，以使新业绩比较基准代表性更强。本基金主要投资于</w:t>
            </w:r>
            <w:r w:rsidRPr="00163F5E">
              <w:rPr>
                <w:szCs w:val="21"/>
              </w:rPr>
              <w:t>A</w:t>
            </w:r>
            <w:r w:rsidRPr="00163F5E">
              <w:rPr>
                <w:szCs w:val="21"/>
              </w:rPr>
              <w:t>股股票、港股通股票、债券等资产，调整后的</w:t>
            </w:r>
            <w:r w:rsidRPr="00163F5E">
              <w:rPr>
                <w:szCs w:val="21"/>
              </w:rPr>
              <w:t>A</w:t>
            </w:r>
            <w:r w:rsidRPr="00163F5E">
              <w:rPr>
                <w:szCs w:val="21"/>
              </w:rPr>
              <w:t>股股票资产所对应的要素权重由</w:t>
            </w:r>
            <w:r w:rsidRPr="00163F5E">
              <w:rPr>
                <w:szCs w:val="21"/>
              </w:rPr>
              <w:t>60%</w:t>
            </w:r>
            <w:r w:rsidRPr="00163F5E">
              <w:rPr>
                <w:szCs w:val="21"/>
              </w:rPr>
              <w:t>提高至</w:t>
            </w:r>
            <w:r w:rsidRPr="00163F5E">
              <w:rPr>
                <w:szCs w:val="21"/>
              </w:rPr>
              <w:t>80%</w:t>
            </w:r>
            <w:r w:rsidRPr="00163F5E">
              <w:rPr>
                <w:szCs w:val="21"/>
              </w:rPr>
              <w:t>，调整后的港股通股票资产所对应的要素权重由</w:t>
            </w:r>
            <w:r w:rsidRPr="00163F5E">
              <w:rPr>
                <w:szCs w:val="21"/>
              </w:rPr>
              <w:t>20%</w:t>
            </w:r>
            <w:r w:rsidRPr="00163F5E">
              <w:rPr>
                <w:szCs w:val="21"/>
              </w:rPr>
              <w:t>调整至</w:t>
            </w:r>
            <w:r w:rsidRPr="00163F5E">
              <w:rPr>
                <w:szCs w:val="21"/>
              </w:rPr>
              <w:t>10%</w:t>
            </w:r>
            <w:r w:rsidRPr="00163F5E">
              <w:rPr>
                <w:szCs w:val="21"/>
              </w:rPr>
              <w:t>，即调整后的股票资产整体所对应的要素权重由</w:t>
            </w:r>
            <w:r w:rsidRPr="00163F5E">
              <w:rPr>
                <w:szCs w:val="21"/>
              </w:rPr>
              <w:t>80%</w:t>
            </w:r>
            <w:r w:rsidRPr="00163F5E">
              <w:rPr>
                <w:szCs w:val="21"/>
              </w:rPr>
              <w:t>提高至</w:t>
            </w:r>
            <w:r w:rsidRPr="00163F5E">
              <w:rPr>
                <w:szCs w:val="21"/>
              </w:rPr>
              <w:t>90%</w:t>
            </w:r>
            <w:r w:rsidRPr="00163F5E">
              <w:rPr>
                <w:szCs w:val="21"/>
              </w:rPr>
              <w:t>；调整后的债券资产所对应的要素权重相应由</w:t>
            </w:r>
            <w:r w:rsidRPr="00163F5E">
              <w:rPr>
                <w:szCs w:val="21"/>
              </w:rPr>
              <w:t>20%</w:t>
            </w:r>
            <w:r w:rsidRPr="00163F5E">
              <w:rPr>
                <w:szCs w:val="21"/>
              </w:rPr>
              <w:t>调整至</w:t>
            </w:r>
            <w:r w:rsidRPr="00163F5E">
              <w:rPr>
                <w:szCs w:val="21"/>
              </w:rPr>
              <w:t>10%</w:t>
            </w:r>
            <w:r w:rsidRPr="00163F5E">
              <w:rPr>
                <w:szCs w:val="21"/>
              </w:rPr>
              <w:t>。</w:t>
            </w:r>
          </w:p>
          <w:p w:rsidR="00A0274F" w:rsidRPr="00163F5E" w:rsidRDefault="00A0274F" w:rsidP="00C03240">
            <w:pPr>
              <w:pStyle w:val="af"/>
              <w:spacing w:line="360" w:lineRule="auto"/>
              <w:ind w:firstLineChars="0" w:firstLine="0"/>
              <w:rPr>
                <w:szCs w:val="21"/>
              </w:rPr>
            </w:pPr>
            <w:r w:rsidRPr="00163F5E">
              <w:rPr>
                <w:szCs w:val="21"/>
              </w:rPr>
              <w:t>本基金的股票资产主要投向智造升级主题相关股票，综合考虑基准指数与产品定位、投资风格与主题库的匹配度，同时兼顾考虑基准指数的表征性、认可度，以及指数主题界定、市值覆盖、行业与个股分布等，本基金将港股股票部分的基准要素由中证港股通综合指数更换为中证港股通工业综合指数（人民币）</w:t>
            </w:r>
            <w:r w:rsidR="001A4553" w:rsidRPr="00163F5E">
              <w:rPr>
                <w:szCs w:val="21"/>
              </w:rPr>
              <w:t>，即由非行业主题指数更换为与基金主题匹配的行业主题指数。</w:t>
            </w:r>
          </w:p>
          <w:p w:rsidR="00A0274F" w:rsidRPr="00163F5E" w:rsidRDefault="00A0274F" w:rsidP="00C03240">
            <w:pPr>
              <w:pStyle w:val="af"/>
              <w:spacing w:line="360" w:lineRule="auto"/>
              <w:ind w:firstLineChars="0" w:firstLine="0"/>
              <w:rPr>
                <w:szCs w:val="21"/>
              </w:rPr>
            </w:pPr>
            <w:r w:rsidRPr="00163F5E">
              <w:rPr>
                <w:szCs w:val="21"/>
              </w:rPr>
              <w:t>调整后的新要素权重更符合基金所投资主要资产类别的过往实际投资运作情况，调整后的新要素</w:t>
            </w:r>
            <w:r w:rsidR="009267C1" w:rsidRPr="00163F5E">
              <w:rPr>
                <w:szCs w:val="21"/>
              </w:rPr>
              <w:t>也更匹配基金的主题界定。</w:t>
            </w:r>
            <w:r w:rsidRPr="00163F5E">
              <w:rPr>
                <w:szCs w:val="21"/>
              </w:rPr>
              <w:t>本次调整业绩比较基准对基金产品投资运作及基金份额持有人利益无实质性不利影响。</w:t>
            </w:r>
          </w:p>
        </w:tc>
      </w:tr>
      <w:tr w:rsidR="00163F5E" w:rsidRPr="00163F5E" w:rsidTr="006A5784">
        <w:trPr>
          <w:trHeight w:val="370"/>
          <w:jc w:val="center"/>
        </w:trPr>
        <w:tc>
          <w:tcPr>
            <w:tcW w:w="414" w:type="pct"/>
            <w:vAlign w:val="center"/>
          </w:tcPr>
          <w:p w:rsidR="00A7500D" w:rsidRPr="00163F5E" w:rsidRDefault="00A7500D" w:rsidP="00A7500D">
            <w:pPr>
              <w:pStyle w:val="af"/>
              <w:spacing w:line="360" w:lineRule="auto"/>
              <w:ind w:firstLineChars="0" w:firstLine="0"/>
              <w:jc w:val="center"/>
              <w:rPr>
                <w:szCs w:val="21"/>
              </w:rPr>
            </w:pPr>
            <w:r w:rsidRPr="00163F5E">
              <w:rPr>
                <w:szCs w:val="21"/>
              </w:rPr>
              <w:t>5</w:t>
            </w:r>
          </w:p>
        </w:tc>
        <w:tc>
          <w:tcPr>
            <w:tcW w:w="1535" w:type="pct"/>
            <w:shd w:val="clear" w:color="auto" w:fill="auto"/>
            <w:vAlign w:val="center"/>
          </w:tcPr>
          <w:p w:rsidR="00A7500D" w:rsidRPr="00163F5E" w:rsidRDefault="00A7500D" w:rsidP="00A7500D">
            <w:pPr>
              <w:pStyle w:val="af"/>
              <w:spacing w:line="360" w:lineRule="auto"/>
              <w:ind w:firstLineChars="0" w:firstLine="0"/>
              <w:jc w:val="center"/>
              <w:rPr>
                <w:szCs w:val="21"/>
              </w:rPr>
            </w:pPr>
            <w:r w:rsidRPr="00163F5E">
              <w:rPr>
                <w:szCs w:val="21"/>
              </w:rPr>
              <w:t>华夏先进制造龙头混合型证券投资基金</w:t>
            </w:r>
          </w:p>
        </w:tc>
        <w:tc>
          <w:tcPr>
            <w:tcW w:w="3051" w:type="pct"/>
          </w:tcPr>
          <w:p w:rsidR="00A7500D" w:rsidRPr="00163F5E" w:rsidRDefault="00A7500D" w:rsidP="00A7500D">
            <w:pPr>
              <w:pStyle w:val="af"/>
              <w:spacing w:line="360" w:lineRule="auto"/>
              <w:ind w:firstLineChars="0" w:firstLine="0"/>
              <w:rPr>
                <w:szCs w:val="21"/>
              </w:rPr>
            </w:pPr>
            <w:r w:rsidRPr="00163F5E">
              <w:rPr>
                <w:szCs w:val="21"/>
              </w:rPr>
              <w:t>本基金调整业绩比较基准的要素权重、更换股票部分的基准要素，以使新业绩比较基准代表性更强。本基金主要投资于</w:t>
            </w:r>
            <w:r w:rsidRPr="00163F5E">
              <w:rPr>
                <w:szCs w:val="21"/>
              </w:rPr>
              <w:t>A</w:t>
            </w:r>
            <w:r w:rsidRPr="00163F5E">
              <w:rPr>
                <w:szCs w:val="21"/>
              </w:rPr>
              <w:t>股股票、港股通股票、债券等资产，调整后的</w:t>
            </w:r>
            <w:r w:rsidRPr="00163F5E">
              <w:rPr>
                <w:szCs w:val="21"/>
              </w:rPr>
              <w:t>A</w:t>
            </w:r>
            <w:r w:rsidRPr="00163F5E">
              <w:rPr>
                <w:szCs w:val="21"/>
              </w:rPr>
              <w:t>股股票资产所对应的要素权重由</w:t>
            </w:r>
            <w:r w:rsidRPr="00163F5E">
              <w:rPr>
                <w:szCs w:val="21"/>
              </w:rPr>
              <w:t>60%</w:t>
            </w:r>
            <w:r w:rsidRPr="00163F5E">
              <w:rPr>
                <w:szCs w:val="21"/>
              </w:rPr>
              <w:t>提高至</w:t>
            </w:r>
            <w:r w:rsidRPr="00163F5E">
              <w:rPr>
                <w:szCs w:val="21"/>
              </w:rPr>
              <w:t>80%</w:t>
            </w:r>
            <w:r w:rsidRPr="00163F5E">
              <w:rPr>
                <w:szCs w:val="21"/>
              </w:rPr>
              <w:t>，调整后的港股通股票资产所对应的要素权重由</w:t>
            </w:r>
            <w:r w:rsidRPr="00163F5E">
              <w:rPr>
                <w:szCs w:val="21"/>
              </w:rPr>
              <w:t>20%</w:t>
            </w:r>
            <w:r w:rsidRPr="00163F5E">
              <w:rPr>
                <w:szCs w:val="21"/>
              </w:rPr>
              <w:t>调整至</w:t>
            </w:r>
            <w:r w:rsidRPr="00163F5E">
              <w:rPr>
                <w:szCs w:val="21"/>
              </w:rPr>
              <w:t>10%</w:t>
            </w:r>
            <w:r w:rsidRPr="00163F5E">
              <w:rPr>
                <w:szCs w:val="21"/>
              </w:rPr>
              <w:t>，即调整后的股票资产整体所对应的要素权重由</w:t>
            </w:r>
            <w:r w:rsidRPr="00163F5E">
              <w:rPr>
                <w:szCs w:val="21"/>
              </w:rPr>
              <w:t>80%</w:t>
            </w:r>
            <w:r w:rsidRPr="00163F5E">
              <w:rPr>
                <w:szCs w:val="21"/>
              </w:rPr>
              <w:t>提高至</w:t>
            </w:r>
            <w:r w:rsidRPr="00163F5E">
              <w:rPr>
                <w:szCs w:val="21"/>
              </w:rPr>
              <w:t>90%</w:t>
            </w:r>
            <w:r w:rsidRPr="00163F5E">
              <w:rPr>
                <w:szCs w:val="21"/>
              </w:rPr>
              <w:t>；调整后的债券资产所对应的要素权重相应由</w:t>
            </w:r>
            <w:r w:rsidRPr="00163F5E">
              <w:rPr>
                <w:szCs w:val="21"/>
              </w:rPr>
              <w:t>20%</w:t>
            </w:r>
            <w:r w:rsidRPr="00163F5E">
              <w:rPr>
                <w:szCs w:val="21"/>
              </w:rPr>
              <w:t>调整至</w:t>
            </w:r>
            <w:r w:rsidRPr="00163F5E">
              <w:rPr>
                <w:szCs w:val="21"/>
              </w:rPr>
              <w:t>10%</w:t>
            </w:r>
            <w:r w:rsidRPr="00163F5E">
              <w:rPr>
                <w:szCs w:val="21"/>
              </w:rPr>
              <w:t>。</w:t>
            </w:r>
          </w:p>
          <w:p w:rsidR="00A7500D" w:rsidRPr="00163F5E" w:rsidRDefault="00A7500D" w:rsidP="00A7500D">
            <w:pPr>
              <w:pStyle w:val="af"/>
              <w:spacing w:line="360" w:lineRule="auto"/>
              <w:ind w:firstLineChars="0" w:firstLine="0"/>
              <w:rPr>
                <w:szCs w:val="21"/>
              </w:rPr>
            </w:pPr>
            <w:r w:rsidRPr="00163F5E">
              <w:rPr>
                <w:szCs w:val="21"/>
              </w:rPr>
              <w:t>本基金的股票资产主要投向先进制造龙头主题相关股票，综合考虑基准指数与产品定位、投资风格与主题库的匹配度，同时兼顾考虑基准指数的表征性、认可度，以及指数主题界定、市值覆盖、行业与个股分布等，本基金将</w:t>
            </w:r>
            <w:r w:rsidR="00DE2536" w:rsidRPr="00163F5E">
              <w:rPr>
                <w:szCs w:val="21"/>
              </w:rPr>
              <w:t>A</w:t>
            </w:r>
            <w:r w:rsidR="00DE2536" w:rsidRPr="00163F5E">
              <w:rPr>
                <w:szCs w:val="21"/>
              </w:rPr>
              <w:t>股股票部分的基准要素由中证</w:t>
            </w:r>
            <w:r w:rsidR="00DE2536" w:rsidRPr="00163F5E">
              <w:rPr>
                <w:szCs w:val="21"/>
              </w:rPr>
              <w:t>800</w:t>
            </w:r>
            <w:r w:rsidR="00DE2536" w:rsidRPr="00163F5E">
              <w:rPr>
                <w:szCs w:val="21"/>
              </w:rPr>
              <w:t>指数更换为中证高端装备制造指数，将</w:t>
            </w:r>
            <w:r w:rsidRPr="00163F5E">
              <w:rPr>
                <w:szCs w:val="21"/>
              </w:rPr>
              <w:t>港股股票部分的基准要素由中证港股通综合指数更换为中证港股通工业综合指数（人民币）</w:t>
            </w:r>
            <w:r w:rsidR="00753DD8" w:rsidRPr="00163F5E">
              <w:rPr>
                <w:szCs w:val="21"/>
              </w:rPr>
              <w:t>，即由非行业主题指数更换为与基金主题匹配的行业主题指数。</w:t>
            </w:r>
          </w:p>
          <w:p w:rsidR="00A7500D" w:rsidRPr="00163F5E" w:rsidRDefault="00A7500D" w:rsidP="00A7500D">
            <w:pPr>
              <w:pStyle w:val="af"/>
              <w:spacing w:line="360" w:lineRule="auto"/>
              <w:ind w:firstLineChars="0" w:firstLine="0"/>
              <w:rPr>
                <w:szCs w:val="21"/>
              </w:rPr>
            </w:pPr>
            <w:r w:rsidRPr="00163F5E">
              <w:rPr>
                <w:szCs w:val="21"/>
              </w:rPr>
              <w:t>调整后的新要素权重更符合基金所投资主要资产类别的过往实际投资运作情况，调整后的新要素也更匹配基金的主题界定。本次调整业绩比较基准对基金产品投资运作及基金份额持有人利益无实质性不利影响。</w:t>
            </w:r>
          </w:p>
        </w:tc>
      </w:tr>
      <w:tr w:rsidR="00163F5E" w:rsidRPr="00163F5E" w:rsidTr="006A5784">
        <w:trPr>
          <w:trHeight w:val="370"/>
          <w:jc w:val="center"/>
        </w:trPr>
        <w:tc>
          <w:tcPr>
            <w:tcW w:w="414" w:type="pct"/>
            <w:vAlign w:val="center"/>
          </w:tcPr>
          <w:p w:rsidR="00A7500D" w:rsidRPr="00163F5E" w:rsidRDefault="00A7500D" w:rsidP="00A7500D">
            <w:pPr>
              <w:pStyle w:val="af"/>
              <w:spacing w:line="360" w:lineRule="auto"/>
              <w:ind w:firstLineChars="0" w:firstLine="0"/>
              <w:jc w:val="center"/>
              <w:rPr>
                <w:szCs w:val="21"/>
              </w:rPr>
            </w:pPr>
            <w:r w:rsidRPr="00163F5E">
              <w:rPr>
                <w:szCs w:val="21"/>
              </w:rPr>
              <w:t>6</w:t>
            </w:r>
          </w:p>
        </w:tc>
        <w:tc>
          <w:tcPr>
            <w:tcW w:w="1535" w:type="pct"/>
            <w:shd w:val="clear" w:color="auto" w:fill="auto"/>
            <w:vAlign w:val="center"/>
          </w:tcPr>
          <w:p w:rsidR="00A7500D" w:rsidRPr="00163F5E" w:rsidRDefault="00A7500D" w:rsidP="00A7500D">
            <w:pPr>
              <w:pStyle w:val="af"/>
              <w:spacing w:line="360" w:lineRule="auto"/>
              <w:ind w:firstLineChars="0" w:firstLine="0"/>
              <w:jc w:val="center"/>
              <w:rPr>
                <w:szCs w:val="21"/>
              </w:rPr>
            </w:pPr>
            <w:r w:rsidRPr="00163F5E">
              <w:rPr>
                <w:szCs w:val="21"/>
              </w:rPr>
              <w:t>华夏软件龙头混合型发起式证券投资基金</w:t>
            </w:r>
          </w:p>
        </w:tc>
        <w:tc>
          <w:tcPr>
            <w:tcW w:w="3051" w:type="pct"/>
          </w:tcPr>
          <w:p w:rsidR="00663502" w:rsidRPr="00163F5E" w:rsidRDefault="00663502" w:rsidP="00663502">
            <w:pPr>
              <w:pStyle w:val="af"/>
              <w:spacing w:line="360" w:lineRule="auto"/>
              <w:ind w:firstLineChars="0" w:firstLine="0"/>
              <w:rPr>
                <w:szCs w:val="21"/>
              </w:rPr>
            </w:pPr>
            <w:r w:rsidRPr="00163F5E">
              <w:rPr>
                <w:szCs w:val="21"/>
              </w:rPr>
              <w:t>本基金调整业绩比较基准的要素权重、更换港股股票部分的基准要素，以使新业绩比较基准代表性更强。本基金主要投资于</w:t>
            </w:r>
            <w:r w:rsidRPr="00163F5E">
              <w:rPr>
                <w:szCs w:val="21"/>
              </w:rPr>
              <w:t>A</w:t>
            </w:r>
            <w:r w:rsidRPr="00163F5E">
              <w:rPr>
                <w:szCs w:val="21"/>
              </w:rPr>
              <w:t>股股票、港股通股票、债券等资产，调整后的港股通股票资产所对应的要素权重由</w:t>
            </w:r>
            <w:r w:rsidRPr="00163F5E">
              <w:rPr>
                <w:szCs w:val="21"/>
              </w:rPr>
              <w:t>10%</w:t>
            </w:r>
            <w:r w:rsidRPr="00163F5E">
              <w:rPr>
                <w:szCs w:val="21"/>
              </w:rPr>
              <w:t>提高至</w:t>
            </w:r>
            <w:r w:rsidRPr="00163F5E">
              <w:rPr>
                <w:szCs w:val="21"/>
              </w:rPr>
              <w:t>20%</w:t>
            </w:r>
            <w:r w:rsidRPr="00163F5E">
              <w:rPr>
                <w:szCs w:val="21"/>
              </w:rPr>
              <w:t>，</w:t>
            </w:r>
            <w:r w:rsidRPr="00163F5E">
              <w:rPr>
                <w:szCs w:val="21"/>
              </w:rPr>
              <w:t>A</w:t>
            </w:r>
            <w:r w:rsidRPr="00163F5E">
              <w:rPr>
                <w:szCs w:val="21"/>
              </w:rPr>
              <w:t>股股票资产所对应的要素权重保持不变，即调整后的股票资产整体所对应的要素权重由</w:t>
            </w:r>
            <w:r w:rsidRPr="00163F5E">
              <w:rPr>
                <w:szCs w:val="21"/>
              </w:rPr>
              <w:t>80%</w:t>
            </w:r>
            <w:r w:rsidRPr="00163F5E">
              <w:rPr>
                <w:szCs w:val="21"/>
              </w:rPr>
              <w:t>提高至</w:t>
            </w:r>
            <w:r w:rsidRPr="00163F5E">
              <w:rPr>
                <w:szCs w:val="21"/>
              </w:rPr>
              <w:t>90%</w:t>
            </w:r>
            <w:r w:rsidRPr="00163F5E">
              <w:rPr>
                <w:szCs w:val="21"/>
              </w:rPr>
              <w:t>；调整后的债券资产所对应的要素权重相应由</w:t>
            </w:r>
            <w:r w:rsidRPr="00163F5E">
              <w:rPr>
                <w:szCs w:val="21"/>
              </w:rPr>
              <w:t>20%</w:t>
            </w:r>
            <w:r w:rsidRPr="00163F5E">
              <w:rPr>
                <w:szCs w:val="21"/>
              </w:rPr>
              <w:t>调整至</w:t>
            </w:r>
            <w:r w:rsidRPr="00163F5E">
              <w:rPr>
                <w:szCs w:val="21"/>
              </w:rPr>
              <w:t>10%</w:t>
            </w:r>
            <w:r w:rsidRPr="00163F5E">
              <w:rPr>
                <w:szCs w:val="21"/>
              </w:rPr>
              <w:t>。</w:t>
            </w:r>
          </w:p>
          <w:p w:rsidR="009C1004" w:rsidRPr="00163F5E" w:rsidRDefault="009C1004" w:rsidP="00663502">
            <w:pPr>
              <w:pStyle w:val="af"/>
              <w:spacing w:line="360" w:lineRule="auto"/>
              <w:ind w:firstLineChars="0" w:firstLine="0"/>
              <w:rPr>
                <w:szCs w:val="21"/>
              </w:rPr>
            </w:pPr>
            <w:r w:rsidRPr="00163F5E">
              <w:rPr>
                <w:szCs w:val="21"/>
              </w:rPr>
              <w:t>本基金的股票资产主要投向</w:t>
            </w:r>
            <w:r w:rsidR="00655691" w:rsidRPr="00163F5E">
              <w:rPr>
                <w:szCs w:val="21"/>
              </w:rPr>
              <w:t>软件龙头主题相关股票</w:t>
            </w:r>
            <w:r w:rsidRPr="00163F5E">
              <w:rPr>
                <w:szCs w:val="21"/>
              </w:rPr>
              <w:t>，综合考虑基准指数与产品定位、投资风格与主题库的匹配度，同时兼顾考虑基准指数的表征性、认可度，以及指数主题界定、市值覆盖、行业与个股分布等，本基金将港股股票部分的基准要素由中证港股通综合指数更换为</w:t>
            </w:r>
            <w:r w:rsidR="00655691" w:rsidRPr="00163F5E">
              <w:rPr>
                <w:szCs w:val="21"/>
              </w:rPr>
              <w:t>恒生科技指数</w:t>
            </w:r>
            <w:r w:rsidR="00854ABA" w:rsidRPr="00163F5E">
              <w:rPr>
                <w:szCs w:val="21"/>
              </w:rPr>
              <w:t>，即由非行业主题指数更换为与基金主题匹配的行业主题指数。</w:t>
            </w:r>
          </w:p>
          <w:p w:rsidR="00A7500D" w:rsidRPr="00163F5E" w:rsidRDefault="000F4371" w:rsidP="00663502">
            <w:pPr>
              <w:pStyle w:val="af"/>
              <w:spacing w:line="360" w:lineRule="auto"/>
              <w:ind w:firstLineChars="0" w:firstLine="0"/>
              <w:rPr>
                <w:szCs w:val="21"/>
              </w:rPr>
            </w:pPr>
            <w:r w:rsidRPr="00163F5E">
              <w:rPr>
                <w:szCs w:val="21"/>
              </w:rPr>
              <w:t>调整后的新要素权重更符合基金所投资主要资产类别的过往实际投资运作情况，调整后的新要素也更匹配基金的主题界定。本次调整业绩比较基准对基金产品投资运作及基金份额持有人利益无实质性不利影响。</w:t>
            </w:r>
          </w:p>
        </w:tc>
      </w:tr>
      <w:tr w:rsidR="00163F5E" w:rsidRPr="00163F5E" w:rsidTr="006A5784">
        <w:trPr>
          <w:trHeight w:val="370"/>
          <w:jc w:val="center"/>
        </w:trPr>
        <w:tc>
          <w:tcPr>
            <w:tcW w:w="414" w:type="pct"/>
            <w:vAlign w:val="center"/>
          </w:tcPr>
          <w:p w:rsidR="00A7500D" w:rsidRPr="00163F5E" w:rsidRDefault="00A7500D" w:rsidP="00A7500D">
            <w:pPr>
              <w:pStyle w:val="af"/>
              <w:spacing w:line="360" w:lineRule="auto"/>
              <w:ind w:firstLineChars="0" w:firstLine="0"/>
              <w:jc w:val="center"/>
              <w:rPr>
                <w:szCs w:val="21"/>
              </w:rPr>
            </w:pPr>
            <w:r w:rsidRPr="00163F5E">
              <w:rPr>
                <w:szCs w:val="21"/>
              </w:rPr>
              <w:t>7</w:t>
            </w:r>
          </w:p>
        </w:tc>
        <w:tc>
          <w:tcPr>
            <w:tcW w:w="1535" w:type="pct"/>
            <w:shd w:val="clear" w:color="auto" w:fill="auto"/>
            <w:vAlign w:val="center"/>
          </w:tcPr>
          <w:p w:rsidR="00A7500D" w:rsidRPr="00163F5E" w:rsidRDefault="00A7500D" w:rsidP="00A7500D">
            <w:pPr>
              <w:pStyle w:val="af"/>
              <w:spacing w:line="360" w:lineRule="auto"/>
              <w:ind w:firstLineChars="0" w:firstLine="0"/>
              <w:jc w:val="center"/>
              <w:rPr>
                <w:szCs w:val="21"/>
              </w:rPr>
            </w:pPr>
            <w:r w:rsidRPr="00163F5E">
              <w:rPr>
                <w:szCs w:val="21"/>
              </w:rPr>
              <w:t>华夏清洁能源龙头混合型发起式证券投资基金</w:t>
            </w:r>
          </w:p>
        </w:tc>
        <w:tc>
          <w:tcPr>
            <w:tcW w:w="3051" w:type="pct"/>
          </w:tcPr>
          <w:p w:rsidR="0043058F" w:rsidRPr="00163F5E" w:rsidRDefault="0043058F" w:rsidP="0043058F">
            <w:pPr>
              <w:pStyle w:val="af"/>
              <w:spacing w:line="360" w:lineRule="auto"/>
              <w:ind w:firstLineChars="0" w:firstLine="0"/>
              <w:rPr>
                <w:szCs w:val="21"/>
              </w:rPr>
            </w:pPr>
            <w:r w:rsidRPr="00163F5E">
              <w:rPr>
                <w:szCs w:val="21"/>
              </w:rPr>
              <w:t>本基金调整业绩比较基准的要素权重、更换港股股票部分的基准要素，以使新业绩比较基准代表性更强。本基金主要投资于</w:t>
            </w:r>
            <w:r w:rsidRPr="00163F5E">
              <w:rPr>
                <w:szCs w:val="21"/>
              </w:rPr>
              <w:t>A</w:t>
            </w:r>
            <w:r w:rsidRPr="00163F5E">
              <w:rPr>
                <w:szCs w:val="21"/>
              </w:rPr>
              <w:t>股股票、港股通股票、债券等资产，调整后的</w:t>
            </w:r>
            <w:r w:rsidRPr="00163F5E">
              <w:rPr>
                <w:szCs w:val="21"/>
              </w:rPr>
              <w:t>A</w:t>
            </w:r>
            <w:r w:rsidRPr="00163F5E">
              <w:rPr>
                <w:szCs w:val="21"/>
              </w:rPr>
              <w:t>股股票资产所对应的要素权重由</w:t>
            </w:r>
            <w:r w:rsidRPr="00163F5E">
              <w:rPr>
                <w:szCs w:val="21"/>
              </w:rPr>
              <w:t>60%</w:t>
            </w:r>
            <w:r w:rsidRPr="00163F5E">
              <w:rPr>
                <w:szCs w:val="21"/>
              </w:rPr>
              <w:t>提高至</w:t>
            </w:r>
            <w:r w:rsidRPr="00163F5E">
              <w:rPr>
                <w:szCs w:val="21"/>
              </w:rPr>
              <w:t>80%</w:t>
            </w:r>
            <w:r w:rsidRPr="00163F5E">
              <w:rPr>
                <w:szCs w:val="21"/>
              </w:rPr>
              <w:t>，调整后的港股通股票资产所对应的要素权重由</w:t>
            </w:r>
            <w:r w:rsidRPr="00163F5E">
              <w:rPr>
                <w:szCs w:val="21"/>
              </w:rPr>
              <w:t>20%</w:t>
            </w:r>
            <w:r w:rsidRPr="00163F5E">
              <w:rPr>
                <w:szCs w:val="21"/>
              </w:rPr>
              <w:t>调整至</w:t>
            </w:r>
            <w:r w:rsidRPr="00163F5E">
              <w:rPr>
                <w:szCs w:val="21"/>
              </w:rPr>
              <w:t>10%</w:t>
            </w:r>
            <w:r w:rsidRPr="00163F5E">
              <w:rPr>
                <w:szCs w:val="21"/>
              </w:rPr>
              <w:t>，即调整后的股票资产整体所对应的要素权重由</w:t>
            </w:r>
            <w:r w:rsidRPr="00163F5E">
              <w:rPr>
                <w:szCs w:val="21"/>
              </w:rPr>
              <w:t>80%</w:t>
            </w:r>
            <w:r w:rsidRPr="00163F5E">
              <w:rPr>
                <w:szCs w:val="21"/>
              </w:rPr>
              <w:t>提高至</w:t>
            </w:r>
            <w:r w:rsidRPr="00163F5E">
              <w:rPr>
                <w:szCs w:val="21"/>
              </w:rPr>
              <w:t>90%</w:t>
            </w:r>
            <w:r w:rsidRPr="00163F5E">
              <w:rPr>
                <w:szCs w:val="21"/>
              </w:rPr>
              <w:t>；调整后的债券资产所对应的要素权重相应由</w:t>
            </w:r>
            <w:r w:rsidRPr="00163F5E">
              <w:rPr>
                <w:szCs w:val="21"/>
              </w:rPr>
              <w:t>20%</w:t>
            </w:r>
            <w:r w:rsidRPr="00163F5E">
              <w:rPr>
                <w:szCs w:val="21"/>
              </w:rPr>
              <w:t>调整至</w:t>
            </w:r>
            <w:r w:rsidRPr="00163F5E">
              <w:rPr>
                <w:szCs w:val="21"/>
              </w:rPr>
              <w:t>10%</w:t>
            </w:r>
            <w:r w:rsidRPr="00163F5E">
              <w:rPr>
                <w:szCs w:val="21"/>
              </w:rPr>
              <w:t>。</w:t>
            </w:r>
          </w:p>
          <w:p w:rsidR="00854ABA" w:rsidRPr="00163F5E" w:rsidRDefault="0043058F" w:rsidP="00854ABA">
            <w:pPr>
              <w:pStyle w:val="af"/>
              <w:spacing w:line="360" w:lineRule="auto"/>
              <w:ind w:firstLineChars="0" w:firstLine="0"/>
              <w:rPr>
                <w:szCs w:val="21"/>
              </w:rPr>
            </w:pPr>
            <w:r w:rsidRPr="00163F5E">
              <w:rPr>
                <w:szCs w:val="21"/>
              </w:rPr>
              <w:t>本基金的股票资产主要投向清洁能源龙头主题相关股票，综合考虑基准指数与产品定位、投资风格与主题库的匹配度，同时兼顾考虑基准指数的表征性、认可度，以及指数主题界定、市值覆盖、行业与个股分布等，本基金将港股股票部分的基准要素由中证港股通综合指数更换为</w:t>
            </w:r>
            <w:r w:rsidR="00886389" w:rsidRPr="00163F5E">
              <w:rPr>
                <w:szCs w:val="21"/>
              </w:rPr>
              <w:t>国证港股通新能源指数（人民币）</w:t>
            </w:r>
            <w:r w:rsidR="00854ABA" w:rsidRPr="00163F5E">
              <w:rPr>
                <w:szCs w:val="21"/>
              </w:rPr>
              <w:t>，即由非行业主题指数更换为与基金主题匹配的行业主题指数。</w:t>
            </w:r>
          </w:p>
          <w:p w:rsidR="00A7500D" w:rsidRPr="00163F5E" w:rsidRDefault="0043058F" w:rsidP="00854ABA">
            <w:pPr>
              <w:pStyle w:val="af"/>
              <w:spacing w:line="360" w:lineRule="auto"/>
              <w:ind w:firstLineChars="0" w:firstLine="0"/>
              <w:rPr>
                <w:szCs w:val="21"/>
              </w:rPr>
            </w:pPr>
            <w:r w:rsidRPr="00163F5E">
              <w:rPr>
                <w:szCs w:val="21"/>
              </w:rPr>
              <w:t>调整后的新要素权重更符合基金所投资主要资产类别的过往实际投资运作情况，调整后的新要素也更匹配基金的主题界定。本次调整业绩比较基准对基金产品投资运作及基金份额持有人利益无实质性不利影响。</w:t>
            </w:r>
          </w:p>
        </w:tc>
      </w:tr>
      <w:tr w:rsidR="00163F5E" w:rsidRPr="00163F5E" w:rsidTr="006A5784">
        <w:trPr>
          <w:trHeight w:val="370"/>
          <w:jc w:val="center"/>
        </w:trPr>
        <w:tc>
          <w:tcPr>
            <w:tcW w:w="414" w:type="pct"/>
            <w:vAlign w:val="center"/>
          </w:tcPr>
          <w:p w:rsidR="00A7500D" w:rsidRPr="00163F5E" w:rsidRDefault="00A7500D" w:rsidP="00A7500D">
            <w:pPr>
              <w:pStyle w:val="af"/>
              <w:spacing w:line="360" w:lineRule="auto"/>
              <w:ind w:firstLineChars="0" w:firstLine="0"/>
              <w:jc w:val="center"/>
              <w:rPr>
                <w:szCs w:val="21"/>
              </w:rPr>
            </w:pPr>
            <w:r w:rsidRPr="00163F5E">
              <w:rPr>
                <w:szCs w:val="21"/>
              </w:rPr>
              <w:t>8</w:t>
            </w:r>
          </w:p>
        </w:tc>
        <w:tc>
          <w:tcPr>
            <w:tcW w:w="1535" w:type="pct"/>
            <w:shd w:val="clear" w:color="auto" w:fill="auto"/>
            <w:vAlign w:val="center"/>
          </w:tcPr>
          <w:p w:rsidR="00A7500D" w:rsidRPr="00163F5E" w:rsidRDefault="00A7500D" w:rsidP="00A7500D">
            <w:pPr>
              <w:pStyle w:val="af"/>
              <w:spacing w:line="360" w:lineRule="auto"/>
              <w:ind w:firstLineChars="0" w:firstLine="0"/>
              <w:jc w:val="center"/>
              <w:rPr>
                <w:szCs w:val="21"/>
              </w:rPr>
            </w:pPr>
            <w:r w:rsidRPr="00163F5E">
              <w:rPr>
                <w:szCs w:val="21"/>
              </w:rPr>
              <w:t>华夏科技前沿</w:t>
            </w:r>
            <w:r w:rsidRPr="00163F5E">
              <w:rPr>
                <w:szCs w:val="21"/>
              </w:rPr>
              <w:t>6</w:t>
            </w:r>
            <w:r w:rsidRPr="00163F5E">
              <w:rPr>
                <w:szCs w:val="21"/>
              </w:rPr>
              <w:t>个月定期开放混合型证券投资基金</w:t>
            </w:r>
          </w:p>
        </w:tc>
        <w:tc>
          <w:tcPr>
            <w:tcW w:w="3051" w:type="pct"/>
          </w:tcPr>
          <w:p w:rsidR="00647A18" w:rsidRPr="00163F5E" w:rsidRDefault="00647A18" w:rsidP="00B358B3">
            <w:pPr>
              <w:pStyle w:val="af"/>
              <w:spacing w:line="360" w:lineRule="auto"/>
              <w:ind w:firstLineChars="0" w:firstLine="0"/>
              <w:rPr>
                <w:szCs w:val="21"/>
              </w:rPr>
            </w:pPr>
            <w:r w:rsidRPr="00163F5E">
              <w:rPr>
                <w:szCs w:val="21"/>
              </w:rPr>
              <w:t>本基金调整业绩比较基准的要素权重、更换股票部分的基准要素，以使新业绩比较基准代表性更强。本基金主要投资于</w:t>
            </w:r>
            <w:r w:rsidRPr="00163F5E">
              <w:rPr>
                <w:szCs w:val="21"/>
              </w:rPr>
              <w:t>A</w:t>
            </w:r>
            <w:r w:rsidRPr="00163F5E">
              <w:rPr>
                <w:szCs w:val="21"/>
              </w:rPr>
              <w:t>股股票、港股通股票、债券等资产，调整后的</w:t>
            </w:r>
            <w:r w:rsidR="00B358B3" w:rsidRPr="00163F5E">
              <w:rPr>
                <w:szCs w:val="21"/>
              </w:rPr>
              <w:t>港股通股票资产所对应的要素权重由</w:t>
            </w:r>
            <w:r w:rsidR="006E5DA7" w:rsidRPr="00163F5E">
              <w:rPr>
                <w:szCs w:val="21"/>
              </w:rPr>
              <w:t>15</w:t>
            </w:r>
            <w:r w:rsidR="00B358B3" w:rsidRPr="00163F5E">
              <w:rPr>
                <w:szCs w:val="21"/>
              </w:rPr>
              <w:t>%</w:t>
            </w:r>
            <w:r w:rsidR="00B358B3" w:rsidRPr="00163F5E">
              <w:rPr>
                <w:szCs w:val="21"/>
              </w:rPr>
              <w:t>提高至</w:t>
            </w:r>
            <w:r w:rsidR="00B358B3" w:rsidRPr="00163F5E">
              <w:rPr>
                <w:szCs w:val="21"/>
              </w:rPr>
              <w:t>25%</w:t>
            </w:r>
            <w:r w:rsidR="00B358B3" w:rsidRPr="00163F5E">
              <w:rPr>
                <w:szCs w:val="21"/>
              </w:rPr>
              <w:t>，</w:t>
            </w:r>
            <w:r w:rsidRPr="00163F5E">
              <w:rPr>
                <w:szCs w:val="21"/>
              </w:rPr>
              <w:t>A</w:t>
            </w:r>
            <w:r w:rsidRPr="00163F5E">
              <w:rPr>
                <w:szCs w:val="21"/>
              </w:rPr>
              <w:t>股股票资产所对应的要素权重</w:t>
            </w:r>
            <w:r w:rsidR="00B358B3" w:rsidRPr="00163F5E">
              <w:rPr>
                <w:szCs w:val="21"/>
              </w:rPr>
              <w:t>保持不变</w:t>
            </w:r>
            <w:r w:rsidRPr="00163F5E">
              <w:rPr>
                <w:szCs w:val="21"/>
              </w:rPr>
              <w:t>，即调整后的股票资产整体所对应的要素权重由</w:t>
            </w:r>
            <w:r w:rsidRPr="00163F5E">
              <w:rPr>
                <w:szCs w:val="21"/>
              </w:rPr>
              <w:t>8</w:t>
            </w:r>
            <w:r w:rsidR="006E5DA7" w:rsidRPr="00163F5E">
              <w:rPr>
                <w:szCs w:val="21"/>
              </w:rPr>
              <w:t>0</w:t>
            </w:r>
            <w:r w:rsidRPr="00163F5E">
              <w:rPr>
                <w:szCs w:val="21"/>
              </w:rPr>
              <w:t>%</w:t>
            </w:r>
            <w:r w:rsidRPr="00163F5E">
              <w:rPr>
                <w:szCs w:val="21"/>
              </w:rPr>
              <w:t>提高至</w:t>
            </w:r>
            <w:r w:rsidRPr="00163F5E">
              <w:rPr>
                <w:szCs w:val="21"/>
              </w:rPr>
              <w:t>90%</w:t>
            </w:r>
            <w:r w:rsidRPr="00163F5E">
              <w:rPr>
                <w:szCs w:val="21"/>
              </w:rPr>
              <w:t>；调整后的债券资产所对应的要素权重相应由</w:t>
            </w:r>
            <w:r w:rsidR="006E5DA7" w:rsidRPr="00163F5E">
              <w:rPr>
                <w:szCs w:val="21"/>
              </w:rPr>
              <w:t>20</w:t>
            </w:r>
            <w:r w:rsidRPr="00163F5E">
              <w:rPr>
                <w:szCs w:val="21"/>
              </w:rPr>
              <w:t>%</w:t>
            </w:r>
            <w:r w:rsidRPr="00163F5E">
              <w:rPr>
                <w:szCs w:val="21"/>
              </w:rPr>
              <w:t>调整至</w:t>
            </w:r>
            <w:r w:rsidRPr="00163F5E">
              <w:rPr>
                <w:szCs w:val="21"/>
              </w:rPr>
              <w:t>10%</w:t>
            </w:r>
            <w:r w:rsidRPr="00163F5E">
              <w:rPr>
                <w:szCs w:val="21"/>
              </w:rPr>
              <w:t>。</w:t>
            </w:r>
          </w:p>
          <w:p w:rsidR="00EA44E7" w:rsidRPr="00163F5E" w:rsidRDefault="00647A18" w:rsidP="00B358B3">
            <w:pPr>
              <w:pStyle w:val="af"/>
              <w:spacing w:line="360" w:lineRule="auto"/>
              <w:ind w:firstLineChars="0" w:firstLine="0"/>
              <w:rPr>
                <w:szCs w:val="21"/>
              </w:rPr>
            </w:pPr>
            <w:r w:rsidRPr="00163F5E">
              <w:rPr>
                <w:szCs w:val="21"/>
              </w:rPr>
              <w:t>本基金的股票资产主要投向</w:t>
            </w:r>
            <w:r w:rsidR="00711699" w:rsidRPr="00163F5E">
              <w:rPr>
                <w:szCs w:val="21"/>
              </w:rPr>
              <w:t>科技前沿主题相关</w:t>
            </w:r>
            <w:r w:rsidRPr="00163F5E">
              <w:rPr>
                <w:szCs w:val="21"/>
              </w:rPr>
              <w:t>股票，综合考虑基准指数与产品定位、投资风格与主题库的匹配度，同时兼顾考虑基准指数的表征性、认可度，以及指数主题界定、市值覆盖、行业与个股分布等，本基金将</w:t>
            </w:r>
            <w:r w:rsidRPr="00163F5E">
              <w:rPr>
                <w:szCs w:val="21"/>
              </w:rPr>
              <w:t>A</w:t>
            </w:r>
            <w:r w:rsidRPr="00163F5E">
              <w:rPr>
                <w:szCs w:val="21"/>
              </w:rPr>
              <w:t>股股票部分的基准要素由</w:t>
            </w:r>
            <w:r w:rsidR="004E4883" w:rsidRPr="00163F5E">
              <w:rPr>
                <w:szCs w:val="21"/>
              </w:rPr>
              <w:t>中证科技龙头指数</w:t>
            </w:r>
            <w:r w:rsidRPr="00163F5E">
              <w:rPr>
                <w:szCs w:val="21"/>
              </w:rPr>
              <w:t>更换为</w:t>
            </w:r>
            <w:r w:rsidR="00EA44E7" w:rsidRPr="00163F5E">
              <w:rPr>
                <w:szCs w:val="21"/>
              </w:rPr>
              <w:t>相近特征的</w:t>
            </w:r>
            <w:r w:rsidR="004E4883" w:rsidRPr="00163F5E">
              <w:rPr>
                <w:szCs w:val="21"/>
              </w:rPr>
              <w:t>中国战略新兴产业成份指数</w:t>
            </w:r>
            <w:r w:rsidR="0053213B" w:rsidRPr="00163F5E">
              <w:rPr>
                <w:szCs w:val="21"/>
              </w:rPr>
              <w:t>。中国战略新兴产业成份指数选取节能环保产业、新一代信息技术产业、生物产业、高端装备制造产业、新能源产业、新材料产业、新能源汽车产业、数字创意产业、高技术服务业等领域具有代表性的</w:t>
            </w:r>
            <w:r w:rsidR="0053213B" w:rsidRPr="00163F5E">
              <w:rPr>
                <w:szCs w:val="21"/>
              </w:rPr>
              <w:t>100</w:t>
            </w:r>
            <w:r w:rsidR="0053213B" w:rsidRPr="00163F5E">
              <w:rPr>
                <w:szCs w:val="21"/>
              </w:rPr>
              <w:t>只上市公司证券作为指数样本，与原基准要素中证科技龙头指数</w:t>
            </w:r>
            <w:r w:rsidR="005724EF" w:rsidRPr="00163F5E">
              <w:rPr>
                <w:szCs w:val="21"/>
              </w:rPr>
              <w:t>相比，</w:t>
            </w:r>
            <w:r w:rsidR="0053213B" w:rsidRPr="00163F5E">
              <w:rPr>
                <w:szCs w:val="21"/>
              </w:rPr>
              <w:t>该指数覆盖的行业及成份股更多，与本基金界定的科技前沿主题更匹配。</w:t>
            </w:r>
            <w:r w:rsidR="00EA44E7" w:rsidRPr="00163F5E">
              <w:rPr>
                <w:szCs w:val="21"/>
              </w:rPr>
              <w:t>同时，</w:t>
            </w:r>
            <w:r w:rsidR="0053213B" w:rsidRPr="00163F5E">
              <w:rPr>
                <w:szCs w:val="21"/>
              </w:rPr>
              <w:t>本基金</w:t>
            </w:r>
            <w:r w:rsidRPr="00163F5E">
              <w:rPr>
                <w:szCs w:val="21"/>
              </w:rPr>
              <w:t>将港股股票部分的基准要素由中证港股通综合指数更换为</w:t>
            </w:r>
            <w:r w:rsidR="00160C50" w:rsidRPr="00163F5E">
              <w:rPr>
                <w:szCs w:val="21"/>
              </w:rPr>
              <w:t>恒生科技指数</w:t>
            </w:r>
            <w:r w:rsidR="00EA44E7" w:rsidRPr="00163F5E">
              <w:rPr>
                <w:szCs w:val="21"/>
              </w:rPr>
              <w:t>，即由非行业主题指数更换为与基金主题匹配的行业主题指数。</w:t>
            </w:r>
          </w:p>
          <w:p w:rsidR="00A7500D" w:rsidRPr="00163F5E" w:rsidRDefault="00647A18" w:rsidP="00647A18">
            <w:pPr>
              <w:pStyle w:val="af"/>
              <w:spacing w:line="360" w:lineRule="auto"/>
              <w:ind w:firstLineChars="0" w:firstLine="0"/>
              <w:rPr>
                <w:szCs w:val="21"/>
              </w:rPr>
            </w:pPr>
            <w:r w:rsidRPr="00163F5E">
              <w:rPr>
                <w:szCs w:val="21"/>
              </w:rPr>
              <w:t>调整后的新要素权重更符合基金所投资主要资产类别的过往实际投资运作情况，调整后的新要素也更匹配基金的主题界定。本次调整业绩比较基准对基金产品投资运作及基金份额持有人利益无实质性不利影响。</w:t>
            </w:r>
          </w:p>
        </w:tc>
      </w:tr>
      <w:tr w:rsidR="00163F5E" w:rsidRPr="00163F5E" w:rsidTr="006A5784">
        <w:trPr>
          <w:trHeight w:val="370"/>
          <w:jc w:val="center"/>
        </w:trPr>
        <w:tc>
          <w:tcPr>
            <w:tcW w:w="414" w:type="pct"/>
            <w:vAlign w:val="center"/>
          </w:tcPr>
          <w:p w:rsidR="00FF26C3" w:rsidRPr="00163F5E" w:rsidRDefault="00FF26C3" w:rsidP="00FF26C3">
            <w:pPr>
              <w:pStyle w:val="af"/>
              <w:spacing w:line="360" w:lineRule="auto"/>
              <w:ind w:firstLineChars="0" w:firstLine="0"/>
              <w:jc w:val="center"/>
              <w:rPr>
                <w:szCs w:val="21"/>
              </w:rPr>
            </w:pPr>
            <w:r w:rsidRPr="00163F5E">
              <w:rPr>
                <w:szCs w:val="21"/>
              </w:rPr>
              <w:t>9</w:t>
            </w:r>
          </w:p>
        </w:tc>
        <w:tc>
          <w:tcPr>
            <w:tcW w:w="1535" w:type="pct"/>
            <w:shd w:val="clear" w:color="auto" w:fill="auto"/>
            <w:vAlign w:val="center"/>
          </w:tcPr>
          <w:p w:rsidR="00FF26C3" w:rsidRPr="00163F5E" w:rsidRDefault="00FF26C3" w:rsidP="00FF26C3">
            <w:pPr>
              <w:pStyle w:val="af"/>
              <w:spacing w:line="360" w:lineRule="auto"/>
              <w:ind w:firstLineChars="0" w:firstLine="0"/>
              <w:jc w:val="center"/>
              <w:rPr>
                <w:szCs w:val="21"/>
              </w:rPr>
            </w:pPr>
            <w:r w:rsidRPr="00163F5E">
              <w:rPr>
                <w:szCs w:val="21"/>
              </w:rPr>
              <w:t>华夏科技创新混合型证券投资基金</w:t>
            </w:r>
          </w:p>
        </w:tc>
        <w:tc>
          <w:tcPr>
            <w:tcW w:w="3051" w:type="pct"/>
          </w:tcPr>
          <w:p w:rsidR="00FF26C3" w:rsidRPr="00163F5E" w:rsidRDefault="00B202EF" w:rsidP="00FF26C3">
            <w:pPr>
              <w:pStyle w:val="af"/>
              <w:spacing w:line="360" w:lineRule="auto"/>
              <w:ind w:firstLineChars="0" w:firstLine="0"/>
              <w:rPr>
                <w:szCs w:val="21"/>
              </w:rPr>
            </w:pPr>
            <w:r w:rsidRPr="00163F5E">
              <w:rPr>
                <w:szCs w:val="21"/>
              </w:rPr>
              <w:t>本基金在业绩比较基准中增加表征港股股票</w:t>
            </w:r>
            <w:r w:rsidR="00982027" w:rsidRPr="00163F5E">
              <w:rPr>
                <w:szCs w:val="21"/>
              </w:rPr>
              <w:t>资产</w:t>
            </w:r>
            <w:r w:rsidRPr="00163F5E">
              <w:rPr>
                <w:szCs w:val="21"/>
              </w:rPr>
              <w:t>部分的基准要素，并相应调整业绩比较基准的要素权重，以使新业绩比较基准代表性更强。本基金主要投资于</w:t>
            </w:r>
            <w:r w:rsidRPr="00163F5E">
              <w:rPr>
                <w:szCs w:val="21"/>
              </w:rPr>
              <w:t>A</w:t>
            </w:r>
            <w:r w:rsidRPr="00163F5E">
              <w:rPr>
                <w:szCs w:val="21"/>
              </w:rPr>
              <w:t>股股票、港股通股票、债券等资产，原业绩比较基准未包含港股通股票资产部分的基准要素，调整后的业绩比较基准中增加了表征该部分股票资产的基准要素并将其所对应的要素权重设置为</w:t>
            </w:r>
            <w:r w:rsidRPr="00163F5E">
              <w:rPr>
                <w:szCs w:val="21"/>
              </w:rPr>
              <w:t>20%</w:t>
            </w:r>
            <w:r w:rsidRPr="00163F5E">
              <w:rPr>
                <w:szCs w:val="21"/>
              </w:rPr>
              <w:t>，</w:t>
            </w:r>
            <w:r w:rsidRPr="00163F5E">
              <w:rPr>
                <w:szCs w:val="21"/>
              </w:rPr>
              <w:t>A</w:t>
            </w:r>
            <w:r w:rsidRPr="00163F5E">
              <w:rPr>
                <w:szCs w:val="21"/>
              </w:rPr>
              <w:t>股股票资产所对应的要素权重保持不变，即调整后的股票资产整体所对应的要素权重由</w:t>
            </w:r>
            <w:r w:rsidRPr="00163F5E">
              <w:rPr>
                <w:szCs w:val="21"/>
              </w:rPr>
              <w:t>70%</w:t>
            </w:r>
            <w:r w:rsidRPr="00163F5E">
              <w:rPr>
                <w:szCs w:val="21"/>
              </w:rPr>
              <w:t>提高至</w:t>
            </w:r>
            <w:r w:rsidRPr="00163F5E">
              <w:rPr>
                <w:szCs w:val="21"/>
              </w:rPr>
              <w:t>90%</w:t>
            </w:r>
            <w:r w:rsidRPr="00163F5E">
              <w:rPr>
                <w:szCs w:val="21"/>
              </w:rPr>
              <w:t>；调整后的债券资产所对应的要素权重相应由</w:t>
            </w:r>
            <w:r w:rsidRPr="00163F5E">
              <w:rPr>
                <w:szCs w:val="21"/>
              </w:rPr>
              <w:t>30%</w:t>
            </w:r>
            <w:r w:rsidRPr="00163F5E">
              <w:rPr>
                <w:szCs w:val="21"/>
              </w:rPr>
              <w:t>调整至</w:t>
            </w:r>
            <w:r w:rsidRPr="00163F5E">
              <w:rPr>
                <w:szCs w:val="21"/>
              </w:rPr>
              <w:t>10%</w:t>
            </w:r>
            <w:r w:rsidRPr="00163F5E">
              <w:rPr>
                <w:szCs w:val="21"/>
              </w:rPr>
              <w:t>。</w:t>
            </w:r>
          </w:p>
          <w:p w:rsidR="00B202EF" w:rsidRPr="00163F5E" w:rsidRDefault="00B202EF" w:rsidP="00FF26C3">
            <w:pPr>
              <w:pStyle w:val="af"/>
              <w:spacing w:line="360" w:lineRule="auto"/>
              <w:ind w:firstLineChars="0" w:firstLine="0"/>
              <w:rPr>
                <w:szCs w:val="21"/>
              </w:rPr>
            </w:pPr>
            <w:r w:rsidRPr="00163F5E">
              <w:rPr>
                <w:szCs w:val="21"/>
              </w:rPr>
              <w:t>本基金的股票资产主要投向科技创新主题相关股票，综合考虑基准指数与产品定位、投资风格与主题库的匹配度，同时兼顾考虑基准指数的表征性、认可度，以及指数主题界定、市值覆盖、行业与个股分布等，本基金选取中证港股通科技指数（人民币）作为港股股票部分的基准要素。</w:t>
            </w:r>
          </w:p>
          <w:p w:rsidR="00B202EF" w:rsidRPr="00163F5E" w:rsidRDefault="00B202EF" w:rsidP="00FF26C3">
            <w:pPr>
              <w:pStyle w:val="af"/>
              <w:spacing w:line="360" w:lineRule="auto"/>
              <w:ind w:firstLineChars="0" w:firstLine="0"/>
              <w:rPr>
                <w:szCs w:val="21"/>
              </w:rPr>
            </w:pPr>
            <w:r w:rsidRPr="00163F5E">
              <w:rPr>
                <w:szCs w:val="21"/>
              </w:rPr>
              <w:t>调整后的新要素及要素权重更符合基金所投资主要资产类别的过往实际投资运作情况，且新要素与基金主题界定匹配。本次调整业绩比较基准对基金产品投资运作及基金份额持有人利益无实质性不利影响。</w:t>
            </w:r>
          </w:p>
        </w:tc>
      </w:tr>
      <w:tr w:rsidR="00163F5E" w:rsidRPr="00163F5E" w:rsidTr="006A5784">
        <w:trPr>
          <w:trHeight w:val="370"/>
          <w:jc w:val="center"/>
        </w:trPr>
        <w:tc>
          <w:tcPr>
            <w:tcW w:w="414" w:type="pct"/>
            <w:vAlign w:val="center"/>
          </w:tcPr>
          <w:p w:rsidR="00EE1D53" w:rsidRPr="00163F5E" w:rsidRDefault="00EE1D53" w:rsidP="00EE1D53">
            <w:pPr>
              <w:pStyle w:val="af"/>
              <w:spacing w:line="360" w:lineRule="auto"/>
              <w:ind w:firstLineChars="0" w:firstLine="0"/>
              <w:jc w:val="center"/>
              <w:rPr>
                <w:szCs w:val="21"/>
              </w:rPr>
            </w:pPr>
            <w:r w:rsidRPr="00163F5E">
              <w:rPr>
                <w:szCs w:val="21"/>
              </w:rPr>
              <w:t>10</w:t>
            </w:r>
          </w:p>
        </w:tc>
        <w:tc>
          <w:tcPr>
            <w:tcW w:w="1535" w:type="pct"/>
            <w:shd w:val="clear" w:color="auto" w:fill="auto"/>
            <w:vAlign w:val="center"/>
          </w:tcPr>
          <w:p w:rsidR="00EE1D53" w:rsidRPr="00163F5E" w:rsidRDefault="00EE1D53" w:rsidP="00EE1D53">
            <w:pPr>
              <w:pStyle w:val="af"/>
              <w:spacing w:line="360" w:lineRule="auto"/>
              <w:ind w:firstLineChars="0" w:firstLine="0"/>
              <w:jc w:val="center"/>
              <w:rPr>
                <w:szCs w:val="21"/>
              </w:rPr>
            </w:pPr>
            <w:r w:rsidRPr="00163F5E">
              <w:rPr>
                <w:szCs w:val="21"/>
              </w:rPr>
              <w:t>华夏医药量化选股混合型证券投资基金</w:t>
            </w:r>
          </w:p>
        </w:tc>
        <w:tc>
          <w:tcPr>
            <w:tcW w:w="3051" w:type="pct"/>
          </w:tcPr>
          <w:p w:rsidR="00EE1D53" w:rsidRPr="00163F5E" w:rsidRDefault="00982027" w:rsidP="00EE1D53">
            <w:pPr>
              <w:pStyle w:val="af"/>
              <w:spacing w:line="360" w:lineRule="auto"/>
              <w:ind w:firstLineChars="0" w:firstLine="0"/>
              <w:rPr>
                <w:szCs w:val="21"/>
              </w:rPr>
            </w:pPr>
            <w:r w:rsidRPr="00163F5E">
              <w:rPr>
                <w:szCs w:val="21"/>
              </w:rPr>
              <w:t>本基金在业绩比较基准中增加表征债券资产部分的基准要素，并相应调整业绩比较基准的要素权重，以使新业绩比较基准代表性更强。本基金主要投资于</w:t>
            </w:r>
            <w:r w:rsidRPr="00163F5E">
              <w:rPr>
                <w:szCs w:val="21"/>
              </w:rPr>
              <w:t>A</w:t>
            </w:r>
            <w:r w:rsidRPr="00163F5E">
              <w:rPr>
                <w:szCs w:val="21"/>
              </w:rPr>
              <w:t>股股票、港股通股票、债券等资产，并可持有一定比例的现金类资产，原业绩比较基准未包含债券资产部分的基准要素，调整后的业绩比较基准中增加了表征该部分资产的基准要素并将其所对应的要素权重设置为</w:t>
            </w:r>
            <w:r w:rsidRPr="00163F5E">
              <w:rPr>
                <w:szCs w:val="21"/>
              </w:rPr>
              <w:t>5%</w:t>
            </w:r>
            <w:r w:rsidRPr="00163F5E">
              <w:rPr>
                <w:szCs w:val="21"/>
              </w:rPr>
              <w:t>；调整后的现金类资产所对应的要素权重相应由</w:t>
            </w:r>
            <w:r w:rsidRPr="00163F5E">
              <w:rPr>
                <w:szCs w:val="21"/>
              </w:rPr>
              <w:t>10%</w:t>
            </w:r>
            <w:r w:rsidRPr="00163F5E">
              <w:rPr>
                <w:szCs w:val="21"/>
              </w:rPr>
              <w:t>调整至</w:t>
            </w:r>
            <w:r w:rsidRPr="00163F5E">
              <w:rPr>
                <w:szCs w:val="21"/>
              </w:rPr>
              <w:t>5%</w:t>
            </w:r>
            <w:r w:rsidRPr="00163F5E">
              <w:rPr>
                <w:szCs w:val="21"/>
              </w:rPr>
              <w:t>；</w:t>
            </w:r>
            <w:r w:rsidRPr="00163F5E">
              <w:rPr>
                <w:szCs w:val="21"/>
              </w:rPr>
              <w:t>A</w:t>
            </w:r>
            <w:r w:rsidRPr="00163F5E">
              <w:rPr>
                <w:szCs w:val="21"/>
              </w:rPr>
              <w:t>股股票资产、港股通股票资产所对应的要素权重均保持不变，即股票资产整体所对应的要素权重仍为</w:t>
            </w:r>
            <w:r w:rsidRPr="00163F5E">
              <w:rPr>
                <w:szCs w:val="21"/>
              </w:rPr>
              <w:t>90%</w:t>
            </w:r>
            <w:r w:rsidRPr="00163F5E">
              <w:rPr>
                <w:szCs w:val="21"/>
              </w:rPr>
              <w:t>。</w:t>
            </w:r>
          </w:p>
          <w:p w:rsidR="00710A2A" w:rsidRPr="00163F5E" w:rsidRDefault="00710A2A" w:rsidP="00EE1D53">
            <w:pPr>
              <w:pStyle w:val="af"/>
              <w:spacing w:line="360" w:lineRule="auto"/>
              <w:ind w:firstLineChars="0" w:firstLine="0"/>
              <w:rPr>
                <w:szCs w:val="21"/>
              </w:rPr>
            </w:pPr>
            <w:r w:rsidRPr="00163F5E">
              <w:rPr>
                <w:szCs w:val="21"/>
              </w:rPr>
              <w:t>本基金的债券资产采用全市场策略，综合考虑基准指数与产品定位和投资风格的匹配度，同时兼顾考虑基准指数的表征性、认可度，以及基准指数券种、久期、信用等级分布特征等，选取中债</w:t>
            </w:r>
            <w:r w:rsidRPr="00163F5E">
              <w:rPr>
                <w:szCs w:val="21"/>
              </w:rPr>
              <w:t>-</w:t>
            </w:r>
            <w:r w:rsidRPr="00163F5E">
              <w:rPr>
                <w:szCs w:val="21"/>
              </w:rPr>
              <w:t>综合全价（总值）指数作为债券资产部分的基准要素。</w:t>
            </w:r>
          </w:p>
          <w:p w:rsidR="00710A2A" w:rsidRPr="00163F5E" w:rsidRDefault="00710A2A" w:rsidP="00EE1D53">
            <w:pPr>
              <w:pStyle w:val="af"/>
              <w:spacing w:line="360" w:lineRule="auto"/>
              <w:ind w:firstLineChars="0" w:firstLine="0"/>
              <w:rPr>
                <w:szCs w:val="21"/>
              </w:rPr>
            </w:pPr>
            <w:r w:rsidRPr="00163F5E">
              <w:rPr>
                <w:szCs w:val="21"/>
              </w:rPr>
              <w:t>调整后的新要素及要素权重更符合基金所投资主要资产类别的过往实际投资运作情况，且新要素与基金合同定位匹配。本次调整业绩比较基准对基金产品投资运作及基金份额持有人利益无实质性不利影响。</w:t>
            </w:r>
          </w:p>
        </w:tc>
      </w:tr>
      <w:tr w:rsidR="00163F5E" w:rsidRPr="00163F5E" w:rsidTr="006A5784">
        <w:trPr>
          <w:trHeight w:val="370"/>
          <w:jc w:val="center"/>
        </w:trPr>
        <w:tc>
          <w:tcPr>
            <w:tcW w:w="414" w:type="pct"/>
            <w:vAlign w:val="center"/>
          </w:tcPr>
          <w:p w:rsidR="00EE1D53" w:rsidRPr="00163F5E" w:rsidRDefault="00EE1D53" w:rsidP="00EE1D53">
            <w:pPr>
              <w:pStyle w:val="af"/>
              <w:spacing w:line="360" w:lineRule="auto"/>
              <w:ind w:firstLineChars="0" w:firstLine="0"/>
              <w:jc w:val="center"/>
              <w:rPr>
                <w:szCs w:val="21"/>
              </w:rPr>
            </w:pPr>
            <w:bookmarkStart w:id="5" w:name="_Hlk228114876"/>
            <w:r w:rsidRPr="00163F5E">
              <w:rPr>
                <w:szCs w:val="21"/>
              </w:rPr>
              <w:t>11</w:t>
            </w:r>
          </w:p>
        </w:tc>
        <w:tc>
          <w:tcPr>
            <w:tcW w:w="1535" w:type="pct"/>
            <w:shd w:val="clear" w:color="auto" w:fill="auto"/>
            <w:vAlign w:val="center"/>
          </w:tcPr>
          <w:p w:rsidR="00EE1D53" w:rsidRPr="00163F5E" w:rsidRDefault="00EE1D53" w:rsidP="00EE1D53">
            <w:pPr>
              <w:pStyle w:val="af"/>
              <w:spacing w:line="360" w:lineRule="auto"/>
              <w:ind w:firstLineChars="0" w:firstLine="0"/>
              <w:jc w:val="center"/>
              <w:rPr>
                <w:szCs w:val="21"/>
              </w:rPr>
            </w:pPr>
            <w:r w:rsidRPr="00163F5E">
              <w:rPr>
                <w:szCs w:val="21"/>
              </w:rPr>
              <w:t>华夏兴华混合型证券投资基金</w:t>
            </w:r>
          </w:p>
        </w:tc>
        <w:tc>
          <w:tcPr>
            <w:tcW w:w="3051" w:type="pct"/>
          </w:tcPr>
          <w:p w:rsidR="008A098C" w:rsidRPr="00163F5E" w:rsidRDefault="002407C8" w:rsidP="00EE1D53">
            <w:pPr>
              <w:pStyle w:val="af"/>
              <w:spacing w:line="360" w:lineRule="auto"/>
              <w:ind w:firstLineChars="0" w:firstLine="0"/>
              <w:rPr>
                <w:szCs w:val="21"/>
              </w:rPr>
            </w:pPr>
            <w:r w:rsidRPr="00163F5E">
              <w:rPr>
                <w:szCs w:val="21"/>
              </w:rPr>
              <w:t>本基金调整业绩比较基准的要素权重、更换</w:t>
            </w:r>
            <w:r w:rsidRPr="00163F5E">
              <w:rPr>
                <w:szCs w:val="21"/>
              </w:rPr>
              <w:t>A</w:t>
            </w:r>
            <w:r w:rsidRPr="00163F5E">
              <w:rPr>
                <w:szCs w:val="21"/>
              </w:rPr>
              <w:t>股股票部分的基准要素，以使新业绩比较基准代表性更强。本基金主要投资于</w:t>
            </w:r>
            <w:r w:rsidRPr="00163F5E">
              <w:rPr>
                <w:szCs w:val="21"/>
              </w:rPr>
              <w:t>A</w:t>
            </w:r>
            <w:r w:rsidRPr="00163F5E">
              <w:rPr>
                <w:szCs w:val="21"/>
              </w:rPr>
              <w:t>股股票、债券等资产，调整后的</w:t>
            </w:r>
            <w:r w:rsidRPr="00163F5E">
              <w:rPr>
                <w:szCs w:val="21"/>
              </w:rPr>
              <w:t>A</w:t>
            </w:r>
            <w:r w:rsidRPr="00163F5E">
              <w:rPr>
                <w:szCs w:val="21"/>
              </w:rPr>
              <w:t>股股票资产所对应的要素权重由</w:t>
            </w:r>
            <w:r w:rsidRPr="00163F5E">
              <w:rPr>
                <w:szCs w:val="21"/>
              </w:rPr>
              <w:t>70%</w:t>
            </w:r>
            <w:r w:rsidRPr="00163F5E">
              <w:rPr>
                <w:szCs w:val="21"/>
              </w:rPr>
              <w:t>提高至</w:t>
            </w:r>
            <w:r w:rsidRPr="00163F5E">
              <w:rPr>
                <w:szCs w:val="21"/>
              </w:rPr>
              <w:t>85%</w:t>
            </w:r>
            <w:r w:rsidRPr="00163F5E">
              <w:rPr>
                <w:szCs w:val="21"/>
              </w:rPr>
              <w:t>，调整后的债券资产所对应的要素权重相应由</w:t>
            </w:r>
            <w:r w:rsidRPr="00163F5E">
              <w:rPr>
                <w:szCs w:val="21"/>
              </w:rPr>
              <w:t>30%</w:t>
            </w:r>
            <w:r w:rsidRPr="00163F5E">
              <w:rPr>
                <w:szCs w:val="21"/>
              </w:rPr>
              <w:t>调整至</w:t>
            </w:r>
            <w:r w:rsidRPr="00163F5E">
              <w:rPr>
                <w:szCs w:val="21"/>
              </w:rPr>
              <w:t>15%</w:t>
            </w:r>
            <w:r w:rsidRPr="00163F5E">
              <w:rPr>
                <w:szCs w:val="21"/>
              </w:rPr>
              <w:t>。</w:t>
            </w:r>
          </w:p>
          <w:p w:rsidR="008A098C" w:rsidRPr="00163F5E" w:rsidRDefault="0088619A" w:rsidP="008A098C">
            <w:pPr>
              <w:pStyle w:val="af"/>
              <w:spacing w:line="360" w:lineRule="auto"/>
              <w:ind w:firstLineChars="0" w:firstLine="0"/>
              <w:rPr>
                <w:szCs w:val="21"/>
              </w:rPr>
            </w:pPr>
            <w:r w:rsidRPr="00163F5E">
              <w:rPr>
                <w:szCs w:val="21"/>
              </w:rPr>
              <w:t>本基金的股票资产采用全市场选股策略，重点关注具有可持续增长潜力的优势个股</w:t>
            </w:r>
            <w:r w:rsidR="008A098C" w:rsidRPr="00163F5E">
              <w:rPr>
                <w:szCs w:val="21"/>
              </w:rPr>
              <w:t>。</w:t>
            </w:r>
            <w:r w:rsidRPr="00163F5E">
              <w:rPr>
                <w:szCs w:val="21"/>
              </w:rPr>
              <w:t>综合考虑基准指数与产品定位和投资风格的匹配度，同时兼顾考虑基准指数的表征性、认可度，以及指数盘别</w:t>
            </w:r>
            <w:r w:rsidRPr="00163F5E">
              <w:rPr>
                <w:szCs w:val="21"/>
              </w:rPr>
              <w:t>/</w:t>
            </w:r>
            <w:r w:rsidRPr="00163F5E">
              <w:rPr>
                <w:szCs w:val="21"/>
              </w:rPr>
              <w:t>市值覆盖、风格特征、行业与个股分布等，</w:t>
            </w:r>
            <w:r w:rsidR="008A098C" w:rsidRPr="00163F5E">
              <w:rPr>
                <w:szCs w:val="21"/>
              </w:rPr>
              <w:t>本基金将</w:t>
            </w:r>
            <w:r w:rsidR="008A098C" w:rsidRPr="00163F5E">
              <w:rPr>
                <w:szCs w:val="21"/>
              </w:rPr>
              <w:t>A</w:t>
            </w:r>
            <w:r w:rsidR="008A098C" w:rsidRPr="00163F5E">
              <w:rPr>
                <w:szCs w:val="21"/>
              </w:rPr>
              <w:t>股股票部分的基准要素由沪深</w:t>
            </w:r>
            <w:r w:rsidR="008A098C" w:rsidRPr="00163F5E">
              <w:rPr>
                <w:szCs w:val="21"/>
              </w:rPr>
              <w:t>300</w:t>
            </w:r>
            <w:r w:rsidR="008A098C" w:rsidRPr="00163F5E">
              <w:rPr>
                <w:szCs w:val="21"/>
              </w:rPr>
              <w:t>指数更换为中证</w:t>
            </w:r>
            <w:r w:rsidR="008A098C" w:rsidRPr="00163F5E">
              <w:rPr>
                <w:szCs w:val="21"/>
              </w:rPr>
              <w:t>A500</w:t>
            </w:r>
            <w:r w:rsidR="008A098C" w:rsidRPr="00163F5E">
              <w:rPr>
                <w:szCs w:val="21"/>
              </w:rPr>
              <w:t>指数。中证</w:t>
            </w:r>
            <w:r w:rsidR="008A098C" w:rsidRPr="00163F5E">
              <w:rPr>
                <w:szCs w:val="21"/>
              </w:rPr>
              <w:t>A500</w:t>
            </w:r>
            <w:r w:rsidR="008A098C" w:rsidRPr="00163F5E">
              <w:rPr>
                <w:szCs w:val="21"/>
              </w:rPr>
              <w:t>指数从各行业选取市值较大、流动性较好的</w:t>
            </w:r>
            <w:r w:rsidR="008A098C" w:rsidRPr="00163F5E">
              <w:rPr>
                <w:szCs w:val="21"/>
              </w:rPr>
              <w:t>500</w:t>
            </w:r>
            <w:r w:rsidR="008A098C" w:rsidRPr="00163F5E">
              <w:rPr>
                <w:szCs w:val="21"/>
              </w:rPr>
              <w:t>只证券作为指数样本，反映各行业最具代表性上市公司证券的整体表现，与原基准要素沪深</w:t>
            </w:r>
            <w:r w:rsidR="008A098C" w:rsidRPr="00163F5E">
              <w:rPr>
                <w:szCs w:val="21"/>
              </w:rPr>
              <w:t>300</w:t>
            </w:r>
            <w:r w:rsidR="008A098C" w:rsidRPr="00163F5E">
              <w:rPr>
                <w:szCs w:val="21"/>
              </w:rPr>
              <w:t>指数相比，该指数</w:t>
            </w:r>
            <w:r w:rsidR="00620411" w:rsidRPr="00163F5E">
              <w:rPr>
                <w:rFonts w:hint="eastAsia"/>
                <w:szCs w:val="21"/>
              </w:rPr>
              <w:t>具有</w:t>
            </w:r>
            <w:r w:rsidR="008A098C" w:rsidRPr="00163F5E">
              <w:rPr>
                <w:szCs w:val="21"/>
              </w:rPr>
              <w:t>市值覆盖大中盘结合、行业分布相对更均衡等特征，与基金的投资风格等更匹配。</w:t>
            </w:r>
          </w:p>
          <w:p w:rsidR="0088619A" w:rsidRPr="00163F5E" w:rsidRDefault="008A098C" w:rsidP="008A098C">
            <w:pPr>
              <w:pStyle w:val="af"/>
              <w:spacing w:line="360" w:lineRule="auto"/>
              <w:ind w:firstLineChars="0" w:firstLine="0"/>
              <w:rPr>
                <w:szCs w:val="21"/>
              </w:rPr>
            </w:pPr>
            <w:r w:rsidRPr="00163F5E">
              <w:rPr>
                <w:szCs w:val="21"/>
              </w:rPr>
              <w:t>调整后的新要素权重更符合基金所投资主要资产类别的过往实际投资运作情况，调整后的新要素也更符合基金产品定位、投资风格等。本次调整业绩比较基准对基金产品投资运作及基金份额持有人利益无实质性不利影响。</w:t>
            </w:r>
          </w:p>
        </w:tc>
      </w:tr>
      <w:bookmarkEnd w:id="5"/>
      <w:tr w:rsidR="00163F5E" w:rsidRPr="00163F5E" w:rsidTr="006A5784">
        <w:trPr>
          <w:trHeight w:val="370"/>
          <w:jc w:val="center"/>
        </w:trPr>
        <w:tc>
          <w:tcPr>
            <w:tcW w:w="414" w:type="pct"/>
            <w:vAlign w:val="center"/>
          </w:tcPr>
          <w:p w:rsidR="00EE1D53" w:rsidRPr="00163F5E" w:rsidRDefault="00EE1D53" w:rsidP="00EE1D53">
            <w:pPr>
              <w:pStyle w:val="af"/>
              <w:spacing w:line="360" w:lineRule="auto"/>
              <w:ind w:firstLineChars="0" w:firstLine="0"/>
              <w:jc w:val="center"/>
              <w:rPr>
                <w:szCs w:val="21"/>
              </w:rPr>
            </w:pPr>
            <w:r w:rsidRPr="00163F5E">
              <w:rPr>
                <w:szCs w:val="21"/>
              </w:rPr>
              <w:t>12</w:t>
            </w:r>
          </w:p>
        </w:tc>
        <w:tc>
          <w:tcPr>
            <w:tcW w:w="1535" w:type="pct"/>
            <w:shd w:val="clear" w:color="auto" w:fill="auto"/>
            <w:vAlign w:val="center"/>
          </w:tcPr>
          <w:p w:rsidR="00EE1D53" w:rsidRPr="00163F5E" w:rsidRDefault="00EE1D53" w:rsidP="00EE1D53">
            <w:pPr>
              <w:pStyle w:val="af"/>
              <w:spacing w:line="360" w:lineRule="auto"/>
              <w:ind w:firstLineChars="0" w:firstLine="0"/>
              <w:jc w:val="center"/>
              <w:rPr>
                <w:szCs w:val="21"/>
              </w:rPr>
            </w:pPr>
            <w:r w:rsidRPr="00163F5E">
              <w:rPr>
                <w:szCs w:val="21"/>
              </w:rPr>
              <w:t>华夏量化选股股票型证券投资基金</w:t>
            </w:r>
          </w:p>
        </w:tc>
        <w:tc>
          <w:tcPr>
            <w:tcW w:w="3051" w:type="pct"/>
          </w:tcPr>
          <w:p w:rsidR="00734268" w:rsidRPr="00163F5E" w:rsidRDefault="00F533ED" w:rsidP="00CC17EA">
            <w:pPr>
              <w:pStyle w:val="af"/>
              <w:spacing w:line="360" w:lineRule="auto"/>
              <w:ind w:firstLineChars="0" w:firstLine="0"/>
              <w:rPr>
                <w:szCs w:val="21"/>
              </w:rPr>
            </w:pPr>
            <w:r w:rsidRPr="00163F5E">
              <w:rPr>
                <w:szCs w:val="21"/>
              </w:rPr>
              <w:t>本基金在业绩比较基准中增加表征港股股票资产部分的基准要素，并相应调整业绩比较基准的要素权重，以使新业绩比较基准代表性更强。本基金主要投资于</w:t>
            </w:r>
            <w:r w:rsidRPr="00163F5E">
              <w:rPr>
                <w:szCs w:val="21"/>
              </w:rPr>
              <w:t>A</w:t>
            </w:r>
            <w:r w:rsidRPr="00163F5E">
              <w:rPr>
                <w:szCs w:val="21"/>
              </w:rPr>
              <w:t>股股票、港股通股票等资产，原业绩比较基准未包含港股通股票资产部分的基准要素，调整后的业绩比较基准中增加了表征该部分股票资产的基准要素并将其所对应的要素权重设置为</w:t>
            </w:r>
            <w:r w:rsidR="00734268" w:rsidRPr="00163F5E">
              <w:rPr>
                <w:szCs w:val="21"/>
              </w:rPr>
              <w:t>15</w:t>
            </w:r>
            <w:r w:rsidRPr="00163F5E">
              <w:rPr>
                <w:szCs w:val="21"/>
              </w:rPr>
              <w:t>%</w:t>
            </w:r>
            <w:r w:rsidRPr="00163F5E">
              <w:rPr>
                <w:szCs w:val="21"/>
              </w:rPr>
              <w:t>，</w:t>
            </w:r>
            <w:r w:rsidRPr="00163F5E">
              <w:rPr>
                <w:szCs w:val="21"/>
              </w:rPr>
              <w:t>A</w:t>
            </w:r>
            <w:r w:rsidRPr="00163F5E">
              <w:rPr>
                <w:szCs w:val="21"/>
              </w:rPr>
              <w:t>股股票资产所对应的要素权重</w:t>
            </w:r>
            <w:r w:rsidR="00734268" w:rsidRPr="00163F5E">
              <w:rPr>
                <w:szCs w:val="21"/>
              </w:rPr>
              <w:t>相应由</w:t>
            </w:r>
            <w:r w:rsidR="00734268" w:rsidRPr="00163F5E">
              <w:rPr>
                <w:szCs w:val="21"/>
              </w:rPr>
              <w:t>95%</w:t>
            </w:r>
            <w:r w:rsidR="00734268" w:rsidRPr="00163F5E">
              <w:rPr>
                <w:szCs w:val="21"/>
              </w:rPr>
              <w:t>调整至</w:t>
            </w:r>
            <w:r w:rsidR="00734268" w:rsidRPr="00163F5E">
              <w:rPr>
                <w:szCs w:val="21"/>
              </w:rPr>
              <w:t>80%</w:t>
            </w:r>
            <w:r w:rsidR="00734268" w:rsidRPr="00163F5E">
              <w:rPr>
                <w:szCs w:val="21"/>
              </w:rPr>
              <w:t>，调整后的股票资产整体所对应的要素权重仍为</w:t>
            </w:r>
            <w:r w:rsidR="00734268" w:rsidRPr="00163F5E">
              <w:rPr>
                <w:szCs w:val="21"/>
              </w:rPr>
              <w:t>95%</w:t>
            </w:r>
            <w:r w:rsidR="00734268" w:rsidRPr="00163F5E">
              <w:rPr>
                <w:szCs w:val="21"/>
              </w:rPr>
              <w:t>。</w:t>
            </w:r>
          </w:p>
          <w:p w:rsidR="00734268" w:rsidRPr="00163F5E" w:rsidRDefault="00734268" w:rsidP="00CC17EA">
            <w:pPr>
              <w:pStyle w:val="af"/>
              <w:spacing w:line="360" w:lineRule="auto"/>
              <w:ind w:firstLineChars="0" w:firstLine="0"/>
              <w:rPr>
                <w:szCs w:val="21"/>
              </w:rPr>
            </w:pPr>
            <w:r w:rsidRPr="00163F5E">
              <w:rPr>
                <w:szCs w:val="21"/>
              </w:rPr>
              <w:t>本基金的股票资产采用全市场选股策略，基于基本面研究逻辑，构建模块化投资流程和量化模型进行股票投资，</w:t>
            </w:r>
            <w:r w:rsidRPr="00163F5E">
              <w:rPr>
                <w:bCs/>
                <w:szCs w:val="21"/>
              </w:rPr>
              <w:t>挖掘</w:t>
            </w:r>
            <w:r w:rsidRPr="00163F5E">
              <w:rPr>
                <w:bCs/>
                <w:szCs w:val="21"/>
              </w:rPr>
              <w:t>A</w:t>
            </w:r>
            <w:r w:rsidRPr="00163F5E">
              <w:rPr>
                <w:bCs/>
                <w:szCs w:val="21"/>
              </w:rPr>
              <w:t>股与港股通范围内的优质公司</w:t>
            </w:r>
            <w:r w:rsidRPr="00163F5E">
              <w:rPr>
                <w:szCs w:val="21"/>
              </w:rPr>
              <w:t>。综合考虑基准指数与产品定位和投资风格的匹配度，同时兼顾考虑基准指数的表征性、认可度，以及指数盘别</w:t>
            </w:r>
            <w:r w:rsidRPr="00163F5E">
              <w:rPr>
                <w:szCs w:val="21"/>
              </w:rPr>
              <w:t>/</w:t>
            </w:r>
            <w:r w:rsidRPr="00163F5E">
              <w:rPr>
                <w:szCs w:val="21"/>
              </w:rPr>
              <w:t>市值覆盖、风格特征、行业与个股分布等，本基金选取中证港股通综合指数（人民币）作为港股股票部分的基准要素，并将</w:t>
            </w:r>
            <w:r w:rsidRPr="00163F5E">
              <w:rPr>
                <w:szCs w:val="21"/>
              </w:rPr>
              <w:t>A</w:t>
            </w:r>
            <w:r w:rsidRPr="00163F5E">
              <w:rPr>
                <w:szCs w:val="21"/>
              </w:rPr>
              <w:t>股股票部分的基准要素由沪深</w:t>
            </w:r>
            <w:r w:rsidRPr="00163F5E">
              <w:rPr>
                <w:szCs w:val="21"/>
              </w:rPr>
              <w:t>300</w:t>
            </w:r>
            <w:r w:rsidRPr="00163F5E">
              <w:rPr>
                <w:szCs w:val="21"/>
              </w:rPr>
              <w:t>指数更换为中证</w:t>
            </w:r>
            <w:r w:rsidRPr="00163F5E">
              <w:rPr>
                <w:szCs w:val="21"/>
              </w:rPr>
              <w:t>800</w:t>
            </w:r>
            <w:r w:rsidRPr="00163F5E">
              <w:rPr>
                <w:szCs w:val="21"/>
              </w:rPr>
              <w:t>指数。中证</w:t>
            </w:r>
            <w:r w:rsidRPr="00163F5E">
              <w:rPr>
                <w:szCs w:val="21"/>
              </w:rPr>
              <w:t>800</w:t>
            </w:r>
            <w:r w:rsidRPr="00163F5E">
              <w:rPr>
                <w:szCs w:val="21"/>
              </w:rPr>
              <w:t>指数由沪深市场市值较大、流动性较好的</w:t>
            </w:r>
            <w:r w:rsidRPr="00163F5E">
              <w:rPr>
                <w:szCs w:val="21"/>
              </w:rPr>
              <w:t>800</w:t>
            </w:r>
            <w:r w:rsidRPr="00163F5E">
              <w:rPr>
                <w:szCs w:val="21"/>
              </w:rPr>
              <w:t>只股票构成，反映沪深市场大中盘上市公司证券的整体表现，与原基准要素沪深</w:t>
            </w:r>
            <w:r w:rsidRPr="00163F5E">
              <w:rPr>
                <w:szCs w:val="21"/>
              </w:rPr>
              <w:t>300</w:t>
            </w:r>
            <w:r w:rsidRPr="00163F5E">
              <w:rPr>
                <w:szCs w:val="21"/>
              </w:rPr>
              <w:t>指数相比，该指数</w:t>
            </w:r>
            <w:r w:rsidR="00620411" w:rsidRPr="00163F5E">
              <w:rPr>
                <w:rFonts w:hint="eastAsia"/>
                <w:szCs w:val="21"/>
              </w:rPr>
              <w:t>具有</w:t>
            </w:r>
            <w:r w:rsidRPr="00163F5E">
              <w:rPr>
                <w:szCs w:val="21"/>
              </w:rPr>
              <w:t>成份股数量更多、市值覆盖大中盘结合等特征，与基金的投资风格等更匹配。</w:t>
            </w:r>
          </w:p>
          <w:p w:rsidR="00EE1D53" w:rsidRPr="00163F5E" w:rsidRDefault="00F533ED" w:rsidP="00F533ED">
            <w:pPr>
              <w:pStyle w:val="af"/>
              <w:spacing w:line="360" w:lineRule="auto"/>
              <w:ind w:firstLineChars="0" w:firstLine="0"/>
              <w:rPr>
                <w:szCs w:val="21"/>
              </w:rPr>
            </w:pPr>
            <w:r w:rsidRPr="00163F5E">
              <w:rPr>
                <w:szCs w:val="21"/>
              </w:rPr>
              <w:t>调整后的新要素及要素权重更符合基金所投资主要资产类别的过往实际投资运作情况，</w:t>
            </w:r>
            <w:r w:rsidR="00734268" w:rsidRPr="00163F5E">
              <w:rPr>
                <w:szCs w:val="21"/>
              </w:rPr>
              <w:t>调整后的新要素也更符合基金产品定位、投资风格等</w:t>
            </w:r>
            <w:r w:rsidRPr="00163F5E">
              <w:rPr>
                <w:szCs w:val="21"/>
              </w:rPr>
              <w:t>。本次调整业绩比较基准对基金产品投资运作及基金份额持有人利益无实质性不利影响。</w:t>
            </w:r>
          </w:p>
        </w:tc>
      </w:tr>
      <w:tr w:rsidR="00163F5E" w:rsidRPr="00163F5E" w:rsidTr="006A5784">
        <w:trPr>
          <w:trHeight w:val="370"/>
          <w:jc w:val="center"/>
        </w:trPr>
        <w:tc>
          <w:tcPr>
            <w:tcW w:w="414" w:type="pct"/>
            <w:vAlign w:val="center"/>
          </w:tcPr>
          <w:p w:rsidR="00F27F17" w:rsidRPr="00163F5E" w:rsidRDefault="00E468B4" w:rsidP="00F27F17">
            <w:pPr>
              <w:pStyle w:val="af"/>
              <w:spacing w:line="360" w:lineRule="auto"/>
              <w:ind w:firstLineChars="0" w:firstLine="0"/>
              <w:jc w:val="center"/>
              <w:rPr>
                <w:szCs w:val="21"/>
              </w:rPr>
            </w:pPr>
            <w:r w:rsidRPr="00163F5E">
              <w:rPr>
                <w:rFonts w:hint="eastAsia"/>
                <w:szCs w:val="21"/>
              </w:rPr>
              <w:t>1</w:t>
            </w:r>
            <w:r w:rsidRPr="00163F5E">
              <w:rPr>
                <w:szCs w:val="21"/>
              </w:rPr>
              <w:t>3</w:t>
            </w:r>
          </w:p>
        </w:tc>
        <w:tc>
          <w:tcPr>
            <w:tcW w:w="1535" w:type="pct"/>
            <w:shd w:val="clear" w:color="auto" w:fill="auto"/>
            <w:vAlign w:val="center"/>
          </w:tcPr>
          <w:p w:rsidR="00F27F17" w:rsidRPr="00163F5E" w:rsidRDefault="00F27F17" w:rsidP="00F27F17">
            <w:pPr>
              <w:pStyle w:val="af"/>
              <w:spacing w:line="360" w:lineRule="auto"/>
              <w:ind w:firstLineChars="0" w:firstLine="0"/>
              <w:jc w:val="center"/>
              <w:rPr>
                <w:szCs w:val="21"/>
              </w:rPr>
            </w:pPr>
            <w:bookmarkStart w:id="6" w:name="_Hlk228034944"/>
            <w:r w:rsidRPr="00163F5E">
              <w:rPr>
                <w:szCs w:val="21"/>
              </w:rPr>
              <w:t>华夏鼎兴债券型证券投资基金</w:t>
            </w:r>
            <w:bookmarkEnd w:id="6"/>
          </w:p>
        </w:tc>
        <w:tc>
          <w:tcPr>
            <w:tcW w:w="3051" w:type="pct"/>
          </w:tcPr>
          <w:p w:rsidR="00F27F17" w:rsidRPr="00163F5E" w:rsidRDefault="00F27F17" w:rsidP="00F27F17">
            <w:pPr>
              <w:pStyle w:val="af"/>
              <w:spacing w:line="360" w:lineRule="auto"/>
              <w:ind w:firstLineChars="0" w:firstLine="0"/>
              <w:rPr>
                <w:szCs w:val="21"/>
              </w:rPr>
            </w:pPr>
            <w:r w:rsidRPr="00163F5E">
              <w:rPr>
                <w:szCs w:val="21"/>
              </w:rPr>
              <w:t>本基金更换基准要素，以使新业绩比较基准代表性更强。本基金主要投资于债券等资产，在债券类资产上通过债券类属配置策略、久期管理策略、收益率曲线策略等进行投资组合管理，预期组合整体关注中短久期配置。本基金将基准要素由中债综合指数（规范表达为中债</w:t>
            </w:r>
            <w:r w:rsidRPr="00163F5E">
              <w:rPr>
                <w:szCs w:val="21"/>
              </w:rPr>
              <w:t>-</w:t>
            </w:r>
            <w:r w:rsidRPr="00163F5E">
              <w:rPr>
                <w:szCs w:val="21"/>
              </w:rPr>
              <w:t>综合全价（总值）指数）更换为中债</w:t>
            </w:r>
            <w:r w:rsidRPr="00163F5E">
              <w:rPr>
                <w:szCs w:val="21"/>
              </w:rPr>
              <w:t>-</w:t>
            </w:r>
            <w:r w:rsidRPr="00163F5E">
              <w:rPr>
                <w:szCs w:val="21"/>
              </w:rPr>
              <w:t>综合全价（</w:t>
            </w:r>
            <w:r w:rsidRPr="00163F5E">
              <w:rPr>
                <w:szCs w:val="21"/>
              </w:rPr>
              <w:t>1-3</w:t>
            </w:r>
            <w:r w:rsidRPr="00163F5E">
              <w:rPr>
                <w:szCs w:val="21"/>
              </w:rPr>
              <w:t>年）指数。中债</w:t>
            </w:r>
            <w:r w:rsidRPr="00163F5E">
              <w:rPr>
                <w:szCs w:val="21"/>
              </w:rPr>
              <w:t>-</w:t>
            </w:r>
            <w:r w:rsidRPr="00163F5E">
              <w:rPr>
                <w:szCs w:val="21"/>
              </w:rPr>
              <w:t>综合指数反映境内人民币债券市场整体表现，其中中债</w:t>
            </w:r>
            <w:r w:rsidRPr="00163F5E">
              <w:rPr>
                <w:szCs w:val="21"/>
              </w:rPr>
              <w:t>-</w:t>
            </w:r>
            <w:r w:rsidRPr="00163F5E">
              <w:rPr>
                <w:szCs w:val="21"/>
              </w:rPr>
              <w:t>综合全价（</w:t>
            </w:r>
            <w:r w:rsidRPr="00163F5E">
              <w:rPr>
                <w:szCs w:val="21"/>
              </w:rPr>
              <w:t>1-3</w:t>
            </w:r>
            <w:r w:rsidRPr="00163F5E">
              <w:rPr>
                <w:szCs w:val="21"/>
              </w:rPr>
              <w:t>年）指数是中债</w:t>
            </w:r>
            <w:r w:rsidRPr="00163F5E">
              <w:rPr>
                <w:szCs w:val="21"/>
              </w:rPr>
              <w:t>-</w:t>
            </w:r>
            <w:r w:rsidRPr="00163F5E">
              <w:rPr>
                <w:szCs w:val="21"/>
              </w:rPr>
              <w:t>综合指数成份券待偿期在</w:t>
            </w:r>
            <w:r w:rsidRPr="00163F5E">
              <w:rPr>
                <w:szCs w:val="21"/>
              </w:rPr>
              <w:t>1-3</w:t>
            </w:r>
            <w:r w:rsidRPr="00163F5E">
              <w:rPr>
                <w:szCs w:val="21"/>
              </w:rPr>
              <w:t>年（含</w:t>
            </w:r>
            <w:r w:rsidRPr="00163F5E">
              <w:rPr>
                <w:szCs w:val="21"/>
              </w:rPr>
              <w:t>1</w:t>
            </w:r>
            <w:r w:rsidRPr="00163F5E">
              <w:rPr>
                <w:szCs w:val="21"/>
              </w:rPr>
              <w:t>年）的子指数，反映境内人民币中短久期债券市场整体表现</w:t>
            </w:r>
            <w:r w:rsidR="00426195" w:rsidRPr="00163F5E">
              <w:rPr>
                <w:szCs w:val="21"/>
              </w:rPr>
              <w:t>，更适合作为本基金的业绩比较基准要素</w:t>
            </w:r>
            <w:r w:rsidRPr="00163F5E">
              <w:rPr>
                <w:szCs w:val="21"/>
              </w:rPr>
              <w:t>。</w:t>
            </w:r>
          </w:p>
          <w:p w:rsidR="00F27F17" w:rsidRPr="00163F5E" w:rsidRDefault="00F27F17" w:rsidP="00F27F17">
            <w:pPr>
              <w:pStyle w:val="af"/>
              <w:spacing w:line="360" w:lineRule="auto"/>
              <w:ind w:firstLineChars="0" w:firstLine="0"/>
              <w:rPr>
                <w:szCs w:val="21"/>
              </w:rPr>
            </w:pPr>
            <w:r w:rsidRPr="00163F5E">
              <w:rPr>
                <w:szCs w:val="21"/>
              </w:rPr>
              <w:t>本基金调整后的新要素更符合基金所投资主要资产类别的过往实际投资运作情况，也更符合基金产品定位、投资风格等。本次调整业绩比较基准对基金产品投资运作及基金份额持有人利益无实质性不利影响。</w:t>
            </w:r>
          </w:p>
        </w:tc>
      </w:tr>
      <w:tr w:rsidR="00163F5E" w:rsidRPr="00163F5E" w:rsidTr="006A5784">
        <w:trPr>
          <w:trHeight w:val="370"/>
          <w:jc w:val="center"/>
        </w:trPr>
        <w:tc>
          <w:tcPr>
            <w:tcW w:w="414" w:type="pct"/>
            <w:vAlign w:val="center"/>
          </w:tcPr>
          <w:p w:rsidR="00F27F17" w:rsidRPr="00163F5E" w:rsidRDefault="00E468B4" w:rsidP="00F27F17">
            <w:pPr>
              <w:pStyle w:val="af"/>
              <w:spacing w:line="360" w:lineRule="auto"/>
              <w:ind w:firstLineChars="0" w:firstLine="0"/>
              <w:jc w:val="center"/>
              <w:rPr>
                <w:szCs w:val="21"/>
              </w:rPr>
            </w:pPr>
            <w:r w:rsidRPr="00163F5E">
              <w:rPr>
                <w:rFonts w:hint="eastAsia"/>
                <w:szCs w:val="21"/>
              </w:rPr>
              <w:t>1</w:t>
            </w:r>
            <w:r w:rsidRPr="00163F5E">
              <w:rPr>
                <w:szCs w:val="21"/>
              </w:rPr>
              <w:t>4</w:t>
            </w:r>
          </w:p>
        </w:tc>
        <w:tc>
          <w:tcPr>
            <w:tcW w:w="1535" w:type="pct"/>
            <w:shd w:val="clear" w:color="auto" w:fill="auto"/>
            <w:vAlign w:val="center"/>
          </w:tcPr>
          <w:p w:rsidR="00F27F17" w:rsidRPr="00163F5E" w:rsidRDefault="00F27F17" w:rsidP="00F27F17">
            <w:pPr>
              <w:pStyle w:val="af"/>
              <w:spacing w:line="360" w:lineRule="auto"/>
              <w:ind w:firstLineChars="0" w:firstLine="0"/>
              <w:jc w:val="center"/>
              <w:rPr>
                <w:szCs w:val="21"/>
              </w:rPr>
            </w:pPr>
            <w:bookmarkStart w:id="7" w:name="_Hlk228034980"/>
            <w:r w:rsidRPr="00163F5E">
              <w:rPr>
                <w:szCs w:val="21"/>
              </w:rPr>
              <w:t>华夏鼎业三个月定期开放债券型证券投资基金</w:t>
            </w:r>
            <w:bookmarkEnd w:id="7"/>
          </w:p>
        </w:tc>
        <w:tc>
          <w:tcPr>
            <w:tcW w:w="3051" w:type="pct"/>
          </w:tcPr>
          <w:p w:rsidR="00F27F17" w:rsidRPr="00163F5E" w:rsidRDefault="00F27F17" w:rsidP="00F27F17">
            <w:pPr>
              <w:pStyle w:val="af"/>
              <w:spacing w:line="360" w:lineRule="auto"/>
              <w:ind w:firstLineChars="0" w:firstLine="0"/>
              <w:rPr>
                <w:szCs w:val="21"/>
              </w:rPr>
            </w:pPr>
            <w:r w:rsidRPr="00163F5E">
              <w:rPr>
                <w:szCs w:val="21"/>
              </w:rPr>
              <w:t>本基金更换基准要素，以使新业绩比较基准代表性更强。本基金主要投资于债券等资产，在债券类资产上通过债券类属配置策略、久期管理策略、收益率曲线策略等进行投资组合管理，预期组合整体关注中短久期配置。本基金将基准要素由中债综合指数（规范表达为中债</w:t>
            </w:r>
            <w:r w:rsidRPr="00163F5E">
              <w:rPr>
                <w:szCs w:val="21"/>
              </w:rPr>
              <w:t>-</w:t>
            </w:r>
            <w:r w:rsidRPr="00163F5E">
              <w:rPr>
                <w:szCs w:val="21"/>
              </w:rPr>
              <w:t>综合全价（总值）指数）更换为中债</w:t>
            </w:r>
            <w:r w:rsidRPr="00163F5E">
              <w:rPr>
                <w:szCs w:val="21"/>
              </w:rPr>
              <w:t>-</w:t>
            </w:r>
            <w:r w:rsidRPr="00163F5E">
              <w:rPr>
                <w:szCs w:val="21"/>
              </w:rPr>
              <w:t>综合全价（</w:t>
            </w:r>
            <w:r w:rsidRPr="00163F5E">
              <w:rPr>
                <w:szCs w:val="21"/>
              </w:rPr>
              <w:t>1-3</w:t>
            </w:r>
            <w:r w:rsidRPr="00163F5E">
              <w:rPr>
                <w:szCs w:val="21"/>
              </w:rPr>
              <w:t>年）指数。中债</w:t>
            </w:r>
            <w:r w:rsidRPr="00163F5E">
              <w:rPr>
                <w:szCs w:val="21"/>
              </w:rPr>
              <w:t>-</w:t>
            </w:r>
            <w:r w:rsidRPr="00163F5E">
              <w:rPr>
                <w:szCs w:val="21"/>
              </w:rPr>
              <w:t>综合指数反映境内人民币债券市场整体表现，其中中债</w:t>
            </w:r>
            <w:r w:rsidRPr="00163F5E">
              <w:rPr>
                <w:szCs w:val="21"/>
              </w:rPr>
              <w:t>-</w:t>
            </w:r>
            <w:r w:rsidRPr="00163F5E">
              <w:rPr>
                <w:szCs w:val="21"/>
              </w:rPr>
              <w:t>综合全价（</w:t>
            </w:r>
            <w:r w:rsidRPr="00163F5E">
              <w:rPr>
                <w:szCs w:val="21"/>
              </w:rPr>
              <w:t>1-3</w:t>
            </w:r>
            <w:r w:rsidRPr="00163F5E">
              <w:rPr>
                <w:szCs w:val="21"/>
              </w:rPr>
              <w:t>年）指数是中债</w:t>
            </w:r>
            <w:r w:rsidRPr="00163F5E">
              <w:rPr>
                <w:szCs w:val="21"/>
              </w:rPr>
              <w:t>-</w:t>
            </w:r>
            <w:r w:rsidRPr="00163F5E">
              <w:rPr>
                <w:szCs w:val="21"/>
              </w:rPr>
              <w:t>综合指数成份券待偿期在</w:t>
            </w:r>
            <w:r w:rsidRPr="00163F5E">
              <w:rPr>
                <w:szCs w:val="21"/>
              </w:rPr>
              <w:t>1-3</w:t>
            </w:r>
            <w:r w:rsidRPr="00163F5E">
              <w:rPr>
                <w:szCs w:val="21"/>
              </w:rPr>
              <w:t>年（含</w:t>
            </w:r>
            <w:r w:rsidRPr="00163F5E">
              <w:rPr>
                <w:szCs w:val="21"/>
              </w:rPr>
              <w:t>1</w:t>
            </w:r>
            <w:r w:rsidRPr="00163F5E">
              <w:rPr>
                <w:szCs w:val="21"/>
              </w:rPr>
              <w:t>年）的子指数，反映境内人民币中短久期债券市场整体表现</w:t>
            </w:r>
            <w:r w:rsidR="00426195" w:rsidRPr="00163F5E">
              <w:rPr>
                <w:szCs w:val="21"/>
              </w:rPr>
              <w:t>，更适合作为本基金的业绩比较基准要素</w:t>
            </w:r>
            <w:r w:rsidRPr="00163F5E">
              <w:rPr>
                <w:szCs w:val="21"/>
              </w:rPr>
              <w:t>。</w:t>
            </w:r>
          </w:p>
          <w:p w:rsidR="00F27F17" w:rsidRPr="00163F5E" w:rsidRDefault="00F27F17" w:rsidP="00F27F17">
            <w:pPr>
              <w:pStyle w:val="af"/>
              <w:spacing w:line="360" w:lineRule="auto"/>
              <w:ind w:firstLineChars="0" w:firstLine="0"/>
              <w:rPr>
                <w:szCs w:val="21"/>
              </w:rPr>
            </w:pPr>
            <w:r w:rsidRPr="00163F5E">
              <w:rPr>
                <w:szCs w:val="21"/>
              </w:rPr>
              <w:t>本基金调整后的新要素更符合基金所投资主要资产类别的过往实际投资运作情况，也更符合基金产品定位、投资风格等。本次调整业绩比较基准对基金产品投资运作及基金份额持有人利益无实质性不利影响。</w:t>
            </w:r>
          </w:p>
        </w:tc>
      </w:tr>
      <w:tr w:rsidR="00163F5E" w:rsidRPr="00163F5E" w:rsidTr="006A5784">
        <w:trPr>
          <w:trHeight w:val="370"/>
          <w:jc w:val="center"/>
        </w:trPr>
        <w:tc>
          <w:tcPr>
            <w:tcW w:w="414" w:type="pct"/>
            <w:vAlign w:val="center"/>
          </w:tcPr>
          <w:p w:rsidR="00F27F17" w:rsidRPr="00163F5E" w:rsidRDefault="00E468B4" w:rsidP="00F27F17">
            <w:pPr>
              <w:pStyle w:val="af"/>
              <w:spacing w:line="360" w:lineRule="auto"/>
              <w:ind w:firstLineChars="0" w:firstLine="0"/>
              <w:jc w:val="center"/>
              <w:rPr>
                <w:szCs w:val="21"/>
              </w:rPr>
            </w:pPr>
            <w:bookmarkStart w:id="8" w:name="_Hlk228114901"/>
            <w:r w:rsidRPr="00163F5E">
              <w:rPr>
                <w:rFonts w:hint="eastAsia"/>
                <w:szCs w:val="21"/>
              </w:rPr>
              <w:t>1</w:t>
            </w:r>
            <w:r w:rsidRPr="00163F5E">
              <w:rPr>
                <w:szCs w:val="21"/>
              </w:rPr>
              <w:t>5</w:t>
            </w:r>
          </w:p>
        </w:tc>
        <w:tc>
          <w:tcPr>
            <w:tcW w:w="1535" w:type="pct"/>
            <w:shd w:val="clear" w:color="auto" w:fill="auto"/>
            <w:vAlign w:val="center"/>
          </w:tcPr>
          <w:p w:rsidR="00F27F17" w:rsidRPr="00163F5E" w:rsidRDefault="00F27F17" w:rsidP="00F27F17">
            <w:pPr>
              <w:pStyle w:val="af"/>
              <w:spacing w:line="360" w:lineRule="auto"/>
              <w:ind w:firstLineChars="0" w:firstLine="0"/>
              <w:jc w:val="center"/>
              <w:rPr>
                <w:szCs w:val="21"/>
              </w:rPr>
            </w:pPr>
            <w:bookmarkStart w:id="9" w:name="_Hlk228035104"/>
            <w:r w:rsidRPr="00163F5E">
              <w:rPr>
                <w:szCs w:val="21"/>
              </w:rPr>
              <w:t>华夏信盈一年持有期债券型证券投资基金</w:t>
            </w:r>
            <w:bookmarkEnd w:id="9"/>
          </w:p>
        </w:tc>
        <w:tc>
          <w:tcPr>
            <w:tcW w:w="3051" w:type="pct"/>
          </w:tcPr>
          <w:p w:rsidR="009603E2" w:rsidRPr="00163F5E" w:rsidRDefault="00F27F17" w:rsidP="00F27F17">
            <w:pPr>
              <w:pStyle w:val="af"/>
              <w:spacing w:line="360" w:lineRule="auto"/>
              <w:ind w:firstLineChars="0" w:firstLine="0"/>
              <w:rPr>
                <w:szCs w:val="21"/>
              </w:rPr>
            </w:pPr>
            <w:r w:rsidRPr="00163F5E">
              <w:rPr>
                <w:szCs w:val="21"/>
              </w:rPr>
              <w:t>本基金</w:t>
            </w:r>
            <w:r w:rsidR="00426195" w:rsidRPr="00163F5E">
              <w:rPr>
                <w:szCs w:val="21"/>
              </w:rPr>
              <w:t>更换普通债券资产部分的基准要素，</w:t>
            </w:r>
            <w:r w:rsidRPr="00163F5E">
              <w:rPr>
                <w:szCs w:val="21"/>
              </w:rPr>
              <w:t>增加表征可转债资产部分的基准要素，删除利率基准要素，并相应调整业绩比较基准的要素权重，以使新业绩比较基准代表性更强。</w:t>
            </w:r>
          </w:p>
          <w:p w:rsidR="00F27F17" w:rsidRPr="00163F5E" w:rsidRDefault="00F27F17" w:rsidP="00F27F17">
            <w:pPr>
              <w:pStyle w:val="af"/>
              <w:spacing w:line="360" w:lineRule="auto"/>
              <w:ind w:firstLineChars="0" w:firstLine="0"/>
              <w:rPr>
                <w:szCs w:val="21"/>
              </w:rPr>
            </w:pPr>
            <w:r w:rsidRPr="00163F5E">
              <w:rPr>
                <w:bCs/>
                <w:szCs w:val="21"/>
              </w:rPr>
              <w:t>本基金在债券类资产上通过久期配置策略、类属配置</w:t>
            </w:r>
            <w:r w:rsidR="004173E5" w:rsidRPr="00163F5E">
              <w:rPr>
                <w:rFonts w:hint="eastAsia"/>
                <w:bCs/>
                <w:szCs w:val="21"/>
              </w:rPr>
              <w:t>策略</w:t>
            </w:r>
            <w:r w:rsidRPr="00163F5E">
              <w:rPr>
                <w:bCs/>
                <w:szCs w:val="21"/>
              </w:rPr>
              <w:t>等进行投资组合管理，预期组合整体关注中短久期配置</w:t>
            </w:r>
            <w:r w:rsidRPr="00163F5E">
              <w:rPr>
                <w:szCs w:val="21"/>
              </w:rPr>
              <w:t>。本基金将普通债券部分的基准要素由中债综合（全价）指数（规范表达为中债</w:t>
            </w:r>
            <w:r w:rsidRPr="00163F5E">
              <w:rPr>
                <w:szCs w:val="21"/>
              </w:rPr>
              <w:t>-</w:t>
            </w:r>
            <w:r w:rsidRPr="00163F5E">
              <w:rPr>
                <w:szCs w:val="21"/>
              </w:rPr>
              <w:t>综合全价（总值）指数）更换为中债</w:t>
            </w:r>
            <w:r w:rsidRPr="00163F5E">
              <w:rPr>
                <w:szCs w:val="21"/>
              </w:rPr>
              <w:t>-</w:t>
            </w:r>
            <w:r w:rsidRPr="00163F5E">
              <w:rPr>
                <w:szCs w:val="21"/>
              </w:rPr>
              <w:t>综合全价（</w:t>
            </w:r>
            <w:r w:rsidRPr="00163F5E">
              <w:rPr>
                <w:szCs w:val="21"/>
              </w:rPr>
              <w:t>1-3</w:t>
            </w:r>
            <w:r w:rsidRPr="00163F5E">
              <w:rPr>
                <w:szCs w:val="21"/>
              </w:rPr>
              <w:t>年）指数。中债</w:t>
            </w:r>
            <w:r w:rsidRPr="00163F5E">
              <w:rPr>
                <w:szCs w:val="21"/>
              </w:rPr>
              <w:t>-</w:t>
            </w:r>
            <w:r w:rsidRPr="00163F5E">
              <w:rPr>
                <w:szCs w:val="21"/>
              </w:rPr>
              <w:t>综合指数反映境内人民币债券市场整体表现，其中中债</w:t>
            </w:r>
            <w:r w:rsidRPr="00163F5E">
              <w:rPr>
                <w:szCs w:val="21"/>
              </w:rPr>
              <w:t>-</w:t>
            </w:r>
            <w:r w:rsidRPr="00163F5E">
              <w:rPr>
                <w:szCs w:val="21"/>
              </w:rPr>
              <w:t>综合全价（</w:t>
            </w:r>
            <w:r w:rsidRPr="00163F5E">
              <w:rPr>
                <w:szCs w:val="21"/>
              </w:rPr>
              <w:t>1-3</w:t>
            </w:r>
            <w:r w:rsidRPr="00163F5E">
              <w:rPr>
                <w:szCs w:val="21"/>
              </w:rPr>
              <w:t>年）指数是中债</w:t>
            </w:r>
            <w:r w:rsidRPr="00163F5E">
              <w:rPr>
                <w:szCs w:val="21"/>
              </w:rPr>
              <w:t>-</w:t>
            </w:r>
            <w:r w:rsidRPr="00163F5E">
              <w:rPr>
                <w:szCs w:val="21"/>
              </w:rPr>
              <w:t>综合指数成份券待偿期在</w:t>
            </w:r>
            <w:r w:rsidRPr="00163F5E">
              <w:rPr>
                <w:szCs w:val="21"/>
              </w:rPr>
              <w:t>1-3</w:t>
            </w:r>
            <w:r w:rsidRPr="00163F5E">
              <w:rPr>
                <w:szCs w:val="21"/>
              </w:rPr>
              <w:t>年（含</w:t>
            </w:r>
            <w:r w:rsidRPr="00163F5E">
              <w:rPr>
                <w:szCs w:val="21"/>
              </w:rPr>
              <w:t>1</w:t>
            </w:r>
            <w:r w:rsidRPr="00163F5E">
              <w:rPr>
                <w:szCs w:val="21"/>
              </w:rPr>
              <w:t>年）的子指数，反映境内人民币中短久期债券市场整体表现</w:t>
            </w:r>
            <w:r w:rsidR="00426195" w:rsidRPr="00163F5E">
              <w:rPr>
                <w:szCs w:val="21"/>
              </w:rPr>
              <w:t>，更适合作为本基金普通债券部分的业绩比较基准要素</w:t>
            </w:r>
            <w:r w:rsidRPr="00163F5E">
              <w:rPr>
                <w:szCs w:val="21"/>
              </w:rPr>
              <w:t>。</w:t>
            </w:r>
          </w:p>
          <w:p w:rsidR="00426195" w:rsidRPr="00163F5E" w:rsidRDefault="00426195" w:rsidP="00F27F17">
            <w:pPr>
              <w:pStyle w:val="af"/>
              <w:spacing w:line="360" w:lineRule="auto"/>
              <w:ind w:firstLineChars="0" w:firstLine="0"/>
              <w:rPr>
                <w:szCs w:val="21"/>
              </w:rPr>
            </w:pPr>
            <w:r w:rsidRPr="00163F5E">
              <w:rPr>
                <w:szCs w:val="21"/>
              </w:rPr>
              <w:t>本基金适度投资于可转换债券，选择具有较高投资价值的可转换债券进行投资，投资比例不超过基金资产的</w:t>
            </w:r>
            <w:r w:rsidRPr="00163F5E">
              <w:rPr>
                <w:szCs w:val="21"/>
              </w:rPr>
              <w:t>20%</w:t>
            </w:r>
            <w:r w:rsidRPr="00163F5E">
              <w:rPr>
                <w:szCs w:val="21"/>
              </w:rPr>
              <w:t>。本基金原业绩比较基准未包含可转换债券资产所对应的基准要素，调整后增加了中证可转换债券</w:t>
            </w:r>
            <w:r w:rsidR="00345E9E" w:rsidRPr="00163F5E">
              <w:rPr>
                <w:rFonts w:hint="eastAsia"/>
                <w:szCs w:val="21"/>
              </w:rPr>
              <w:t>（全价）</w:t>
            </w:r>
            <w:r w:rsidRPr="00163F5E">
              <w:rPr>
                <w:szCs w:val="21"/>
              </w:rPr>
              <w:t>指数，该指数反映沪深交易所可转换债券的整体表现，适合作为本基金可转换债券部分的业绩比较基准要素。</w:t>
            </w:r>
          </w:p>
          <w:p w:rsidR="00F27F17" w:rsidRPr="00163F5E" w:rsidRDefault="00F27F17" w:rsidP="00F27F17">
            <w:pPr>
              <w:pStyle w:val="af"/>
              <w:spacing w:line="360" w:lineRule="auto"/>
              <w:ind w:firstLineChars="0" w:firstLine="0"/>
              <w:rPr>
                <w:bCs/>
                <w:szCs w:val="21"/>
              </w:rPr>
            </w:pPr>
            <w:bookmarkStart w:id="10" w:name="_Hlk228031608"/>
            <w:r w:rsidRPr="00163F5E">
              <w:rPr>
                <w:bCs/>
                <w:szCs w:val="21"/>
              </w:rPr>
              <w:t>基于本基金投资比例限制及预期的资产配置比例中枢，本基金调整基准要素权重，</w:t>
            </w:r>
            <w:r w:rsidR="00426195" w:rsidRPr="00163F5E">
              <w:rPr>
                <w:bCs/>
                <w:szCs w:val="21"/>
              </w:rPr>
              <w:t>将普通债券资产所对应的要素权重由</w:t>
            </w:r>
            <w:r w:rsidR="00426195" w:rsidRPr="00163F5E">
              <w:rPr>
                <w:bCs/>
                <w:szCs w:val="21"/>
              </w:rPr>
              <w:t>80%</w:t>
            </w:r>
            <w:r w:rsidR="00426195" w:rsidRPr="00163F5E">
              <w:rPr>
                <w:bCs/>
                <w:szCs w:val="21"/>
              </w:rPr>
              <w:t>调整至</w:t>
            </w:r>
            <w:r w:rsidR="00426195" w:rsidRPr="00163F5E">
              <w:rPr>
                <w:bCs/>
                <w:szCs w:val="21"/>
              </w:rPr>
              <w:t>90%</w:t>
            </w:r>
            <w:r w:rsidR="00426195" w:rsidRPr="00163F5E">
              <w:rPr>
                <w:bCs/>
                <w:szCs w:val="21"/>
              </w:rPr>
              <w:t>，</w:t>
            </w:r>
            <w:r w:rsidRPr="00163F5E">
              <w:rPr>
                <w:bCs/>
                <w:szCs w:val="21"/>
              </w:rPr>
              <w:t>将可转换债券所对应的要素权重设置为</w:t>
            </w:r>
            <w:r w:rsidRPr="00163F5E">
              <w:rPr>
                <w:bCs/>
                <w:szCs w:val="21"/>
              </w:rPr>
              <w:t>10%</w:t>
            </w:r>
            <w:r w:rsidRPr="00163F5E">
              <w:rPr>
                <w:bCs/>
                <w:szCs w:val="21"/>
              </w:rPr>
              <w:t>，并删除利率基准要素。</w:t>
            </w:r>
          </w:p>
          <w:bookmarkEnd w:id="10"/>
          <w:p w:rsidR="00F27F17" w:rsidRPr="00163F5E" w:rsidRDefault="00F27F17" w:rsidP="00F27F17">
            <w:pPr>
              <w:pStyle w:val="af"/>
              <w:spacing w:line="360" w:lineRule="auto"/>
              <w:ind w:firstLineChars="0" w:firstLine="0"/>
              <w:rPr>
                <w:szCs w:val="21"/>
              </w:rPr>
            </w:pPr>
            <w:r w:rsidRPr="00163F5E">
              <w:rPr>
                <w:bCs/>
                <w:szCs w:val="21"/>
              </w:rPr>
              <w:t>调整后的新要素及要素权重更符合基金所投资主要资产类别的过往实际投资运作情况，也更符合基金产品定位、投资风格等。本次调整业绩比较基准对基金产品投资运作及基金份额持有人利益无实质性不利影响。</w:t>
            </w:r>
          </w:p>
        </w:tc>
      </w:tr>
      <w:tr w:rsidR="00163F5E" w:rsidRPr="00163F5E" w:rsidTr="006A5784">
        <w:trPr>
          <w:trHeight w:val="370"/>
          <w:jc w:val="center"/>
        </w:trPr>
        <w:tc>
          <w:tcPr>
            <w:tcW w:w="414" w:type="pct"/>
            <w:vAlign w:val="center"/>
          </w:tcPr>
          <w:p w:rsidR="00F27F17" w:rsidRPr="00163F5E" w:rsidRDefault="00E468B4" w:rsidP="00F27F17">
            <w:pPr>
              <w:pStyle w:val="af"/>
              <w:spacing w:line="360" w:lineRule="auto"/>
              <w:ind w:firstLineChars="0" w:firstLine="0"/>
              <w:jc w:val="center"/>
              <w:rPr>
                <w:szCs w:val="21"/>
              </w:rPr>
            </w:pPr>
            <w:bookmarkStart w:id="11" w:name="_Hlk228115460"/>
            <w:bookmarkEnd w:id="8"/>
            <w:r w:rsidRPr="00163F5E">
              <w:rPr>
                <w:rFonts w:hint="eastAsia"/>
                <w:szCs w:val="21"/>
              </w:rPr>
              <w:t>1</w:t>
            </w:r>
            <w:r w:rsidRPr="00163F5E">
              <w:rPr>
                <w:szCs w:val="21"/>
              </w:rPr>
              <w:t>6</w:t>
            </w:r>
          </w:p>
        </w:tc>
        <w:tc>
          <w:tcPr>
            <w:tcW w:w="1535" w:type="pct"/>
            <w:shd w:val="clear" w:color="auto" w:fill="auto"/>
            <w:vAlign w:val="center"/>
          </w:tcPr>
          <w:p w:rsidR="00F27F17" w:rsidRPr="00163F5E" w:rsidRDefault="00F27F17" w:rsidP="00F27F17">
            <w:pPr>
              <w:pStyle w:val="af"/>
              <w:spacing w:line="360" w:lineRule="auto"/>
              <w:ind w:firstLineChars="0" w:firstLine="0"/>
              <w:jc w:val="center"/>
              <w:rPr>
                <w:szCs w:val="21"/>
              </w:rPr>
            </w:pPr>
            <w:r w:rsidRPr="00163F5E">
              <w:rPr>
                <w:szCs w:val="21"/>
              </w:rPr>
              <w:t>华夏希望债券型证券投资基金</w:t>
            </w:r>
          </w:p>
        </w:tc>
        <w:tc>
          <w:tcPr>
            <w:tcW w:w="3051" w:type="pct"/>
            <w:vAlign w:val="center"/>
          </w:tcPr>
          <w:p w:rsidR="00F27F17" w:rsidRPr="00163F5E" w:rsidRDefault="00F27F17" w:rsidP="00F27F17">
            <w:pPr>
              <w:pStyle w:val="af"/>
              <w:spacing w:line="360" w:lineRule="auto"/>
              <w:ind w:firstLineChars="0" w:firstLine="0"/>
              <w:rPr>
                <w:szCs w:val="21"/>
              </w:rPr>
            </w:pPr>
            <w:r w:rsidRPr="00163F5E">
              <w:rPr>
                <w:szCs w:val="21"/>
              </w:rPr>
              <w:t>本基金在业绩比较基准中增加表征股票资产部分的基准要素和利率基准要素，更换债券资产部分的基准要素，并相应调整业绩比较基准的要素权重，以使新业绩比较基准代表性更强。</w:t>
            </w:r>
          </w:p>
          <w:p w:rsidR="00F27F17" w:rsidRPr="00163F5E" w:rsidRDefault="00F27F17" w:rsidP="00F27F17">
            <w:pPr>
              <w:pStyle w:val="af"/>
              <w:spacing w:line="360" w:lineRule="auto"/>
              <w:ind w:firstLineChars="0" w:firstLine="0"/>
              <w:rPr>
                <w:szCs w:val="21"/>
              </w:rPr>
            </w:pPr>
            <w:r w:rsidRPr="00163F5E">
              <w:rPr>
                <w:szCs w:val="21"/>
              </w:rPr>
              <w:t>本基金将适度参与股票等权益类资产的投资。本基金原业绩比较基准未包含股票资产所对应的基准要素，调整后的业绩比较基准中增加了沪深</w:t>
            </w:r>
            <w:r w:rsidRPr="00163F5E">
              <w:rPr>
                <w:szCs w:val="21"/>
              </w:rPr>
              <w:t>300</w:t>
            </w:r>
            <w:r w:rsidRPr="00163F5E">
              <w:rPr>
                <w:szCs w:val="21"/>
              </w:rPr>
              <w:t>指数。沪深</w:t>
            </w:r>
            <w:r w:rsidRPr="00163F5E">
              <w:rPr>
                <w:szCs w:val="21"/>
              </w:rPr>
              <w:t>300</w:t>
            </w:r>
            <w:r w:rsidRPr="00163F5E">
              <w:rPr>
                <w:szCs w:val="21"/>
              </w:rPr>
              <w:t>指数由沪深市场中规模大、流动性好的最具代表性的</w:t>
            </w:r>
            <w:r w:rsidRPr="00163F5E">
              <w:rPr>
                <w:szCs w:val="21"/>
              </w:rPr>
              <w:t>300</w:t>
            </w:r>
            <w:r w:rsidRPr="00163F5E">
              <w:rPr>
                <w:szCs w:val="21"/>
              </w:rPr>
              <w:t>只证券组成，以反映沪深市场上市公司证券的整体表现，具有良好的市场代表性和市场影响力，适合作为本基金股票部分的业绩比较基准要素。</w:t>
            </w:r>
          </w:p>
          <w:p w:rsidR="00F27F17" w:rsidRPr="00163F5E" w:rsidRDefault="00F27F17" w:rsidP="00F27F17">
            <w:pPr>
              <w:pStyle w:val="af"/>
              <w:spacing w:line="360" w:lineRule="auto"/>
              <w:ind w:firstLineChars="0" w:firstLine="0"/>
              <w:rPr>
                <w:szCs w:val="21"/>
              </w:rPr>
            </w:pPr>
            <w:r w:rsidRPr="00163F5E">
              <w:rPr>
                <w:szCs w:val="21"/>
              </w:rPr>
              <w:t>本基金的债券资产采用久期调整策略、收益率曲线策略、债券类属配置策略等进行投资组合管理，预期组合整体关注中等久期配置。</w:t>
            </w:r>
            <w:r w:rsidR="00426195" w:rsidRPr="00163F5E">
              <w:rPr>
                <w:szCs w:val="21"/>
              </w:rPr>
              <w:t>本基金将债券部分的基准要素由中证综合债券指数更换为中债</w:t>
            </w:r>
            <w:r w:rsidR="00426195" w:rsidRPr="00163F5E">
              <w:rPr>
                <w:szCs w:val="21"/>
              </w:rPr>
              <w:t>-</w:t>
            </w:r>
            <w:r w:rsidR="00426195" w:rsidRPr="00163F5E">
              <w:rPr>
                <w:szCs w:val="21"/>
              </w:rPr>
              <w:t>综合财富（</w:t>
            </w:r>
            <w:r w:rsidR="00426195" w:rsidRPr="00163F5E">
              <w:rPr>
                <w:szCs w:val="21"/>
              </w:rPr>
              <w:t>3-5</w:t>
            </w:r>
            <w:r w:rsidR="00426195" w:rsidRPr="00163F5E">
              <w:rPr>
                <w:szCs w:val="21"/>
              </w:rPr>
              <w:t>年）指数。</w:t>
            </w:r>
            <w:r w:rsidRPr="00163F5E">
              <w:rPr>
                <w:szCs w:val="21"/>
              </w:rPr>
              <w:t>中债</w:t>
            </w:r>
            <w:r w:rsidRPr="00163F5E">
              <w:rPr>
                <w:szCs w:val="21"/>
              </w:rPr>
              <w:t>-</w:t>
            </w:r>
            <w:r w:rsidRPr="00163F5E">
              <w:rPr>
                <w:szCs w:val="21"/>
              </w:rPr>
              <w:t>综合指数反映境内人民币债券市场整体表现，其中中债</w:t>
            </w:r>
            <w:r w:rsidRPr="00163F5E">
              <w:rPr>
                <w:szCs w:val="21"/>
              </w:rPr>
              <w:t>-</w:t>
            </w:r>
            <w:r w:rsidRPr="00163F5E">
              <w:rPr>
                <w:szCs w:val="21"/>
              </w:rPr>
              <w:t>综合财富（</w:t>
            </w:r>
            <w:r w:rsidRPr="00163F5E">
              <w:rPr>
                <w:szCs w:val="21"/>
              </w:rPr>
              <w:t>3-5</w:t>
            </w:r>
            <w:r w:rsidRPr="00163F5E">
              <w:rPr>
                <w:szCs w:val="21"/>
              </w:rPr>
              <w:t>年）指数是中债</w:t>
            </w:r>
            <w:r w:rsidRPr="00163F5E">
              <w:rPr>
                <w:szCs w:val="21"/>
              </w:rPr>
              <w:t>-</w:t>
            </w:r>
            <w:r w:rsidRPr="00163F5E">
              <w:rPr>
                <w:szCs w:val="21"/>
              </w:rPr>
              <w:t>综合指数成份券待偿期在</w:t>
            </w:r>
            <w:r w:rsidRPr="00163F5E">
              <w:rPr>
                <w:szCs w:val="21"/>
              </w:rPr>
              <w:t>3-5</w:t>
            </w:r>
            <w:r w:rsidRPr="00163F5E">
              <w:rPr>
                <w:szCs w:val="21"/>
              </w:rPr>
              <w:t>年（含</w:t>
            </w:r>
            <w:r w:rsidRPr="00163F5E">
              <w:rPr>
                <w:szCs w:val="21"/>
              </w:rPr>
              <w:t>3</w:t>
            </w:r>
            <w:r w:rsidRPr="00163F5E">
              <w:rPr>
                <w:szCs w:val="21"/>
              </w:rPr>
              <w:t>年）的子指数，反映境内人民币中等久期债券市场整体表现</w:t>
            </w:r>
            <w:r w:rsidR="00426195" w:rsidRPr="00163F5E">
              <w:rPr>
                <w:szCs w:val="21"/>
              </w:rPr>
              <w:t>，相比更换前的指数更适合作为本基金债券部分的业绩比较基准要素</w:t>
            </w:r>
            <w:r w:rsidRPr="00163F5E">
              <w:rPr>
                <w:szCs w:val="21"/>
              </w:rPr>
              <w:t>。</w:t>
            </w:r>
          </w:p>
          <w:p w:rsidR="00F27F17" w:rsidRPr="00163F5E" w:rsidRDefault="00F27F17" w:rsidP="00F27F17">
            <w:pPr>
              <w:pStyle w:val="af"/>
              <w:spacing w:line="360" w:lineRule="auto"/>
              <w:ind w:firstLineChars="0" w:firstLine="0"/>
              <w:rPr>
                <w:szCs w:val="21"/>
              </w:rPr>
            </w:pPr>
            <w:r w:rsidRPr="00163F5E">
              <w:rPr>
                <w:szCs w:val="21"/>
              </w:rPr>
              <w:t>本基金可持有一定比例的现金类资产，以匹配基金的流动性管理需求。</w:t>
            </w:r>
            <w:r w:rsidR="00426195" w:rsidRPr="00163F5E">
              <w:rPr>
                <w:szCs w:val="21"/>
              </w:rPr>
              <w:t>基于</w:t>
            </w:r>
            <w:r w:rsidRPr="00163F5E">
              <w:rPr>
                <w:szCs w:val="21"/>
              </w:rPr>
              <w:t>本基金投资比例限制及预期的资产配置比例中枢，本基金调整基准要素权重，将债券资产、股票资产、现金类资产所对应的基准要素权重分别设置为</w:t>
            </w:r>
            <w:r w:rsidRPr="00163F5E">
              <w:rPr>
                <w:szCs w:val="21"/>
              </w:rPr>
              <w:t>85%</w:t>
            </w:r>
            <w:r w:rsidRPr="00163F5E">
              <w:rPr>
                <w:szCs w:val="21"/>
              </w:rPr>
              <w:t>、</w:t>
            </w:r>
            <w:r w:rsidRPr="00163F5E">
              <w:rPr>
                <w:szCs w:val="21"/>
              </w:rPr>
              <w:t>10%</w:t>
            </w:r>
            <w:r w:rsidRPr="00163F5E">
              <w:rPr>
                <w:szCs w:val="21"/>
              </w:rPr>
              <w:t>、</w:t>
            </w:r>
            <w:r w:rsidRPr="00163F5E">
              <w:rPr>
                <w:szCs w:val="21"/>
              </w:rPr>
              <w:t>5%</w:t>
            </w:r>
            <w:r w:rsidRPr="00163F5E">
              <w:rPr>
                <w:szCs w:val="21"/>
              </w:rPr>
              <w:t>。</w:t>
            </w:r>
          </w:p>
          <w:p w:rsidR="00F27F17" w:rsidRPr="00163F5E" w:rsidRDefault="00F27F17" w:rsidP="00F27F17">
            <w:pPr>
              <w:pStyle w:val="af"/>
              <w:spacing w:line="360" w:lineRule="auto"/>
              <w:ind w:firstLineChars="0" w:firstLine="0"/>
              <w:rPr>
                <w:szCs w:val="21"/>
              </w:rPr>
            </w:pPr>
            <w:r w:rsidRPr="00163F5E">
              <w:rPr>
                <w:szCs w:val="21"/>
              </w:rPr>
              <w:t>调整后的新要素及要素权重更符合基金所投资主要资产类别的过往实际投资运作情况，也更符合基金产品定位、投资风格等。本次调整业绩比较基准对基金产品投资运作及基金份额持有人利益无实质性不利影响。</w:t>
            </w:r>
          </w:p>
        </w:tc>
      </w:tr>
      <w:bookmarkEnd w:id="11"/>
      <w:tr w:rsidR="00163F5E" w:rsidRPr="00163F5E" w:rsidTr="006A5784">
        <w:trPr>
          <w:trHeight w:val="370"/>
          <w:jc w:val="center"/>
        </w:trPr>
        <w:tc>
          <w:tcPr>
            <w:tcW w:w="414" w:type="pct"/>
            <w:vAlign w:val="center"/>
          </w:tcPr>
          <w:p w:rsidR="00F27F17" w:rsidRPr="00163F5E" w:rsidRDefault="00E468B4" w:rsidP="00F27F17">
            <w:pPr>
              <w:pStyle w:val="af"/>
              <w:spacing w:line="360" w:lineRule="auto"/>
              <w:ind w:firstLineChars="0" w:firstLine="0"/>
              <w:jc w:val="center"/>
              <w:rPr>
                <w:szCs w:val="21"/>
              </w:rPr>
            </w:pPr>
            <w:r w:rsidRPr="00163F5E">
              <w:rPr>
                <w:rFonts w:hint="eastAsia"/>
                <w:szCs w:val="21"/>
              </w:rPr>
              <w:t>1</w:t>
            </w:r>
            <w:r w:rsidRPr="00163F5E">
              <w:rPr>
                <w:szCs w:val="21"/>
              </w:rPr>
              <w:t>7</w:t>
            </w:r>
          </w:p>
        </w:tc>
        <w:tc>
          <w:tcPr>
            <w:tcW w:w="1535" w:type="pct"/>
            <w:shd w:val="clear" w:color="auto" w:fill="auto"/>
            <w:vAlign w:val="center"/>
          </w:tcPr>
          <w:p w:rsidR="00F27F17" w:rsidRPr="00163F5E" w:rsidRDefault="00F27F17" w:rsidP="00F27F17">
            <w:pPr>
              <w:pStyle w:val="af"/>
              <w:spacing w:line="360" w:lineRule="auto"/>
              <w:ind w:firstLineChars="0" w:firstLine="0"/>
              <w:jc w:val="center"/>
              <w:rPr>
                <w:szCs w:val="21"/>
              </w:rPr>
            </w:pPr>
            <w:r w:rsidRPr="00163F5E">
              <w:rPr>
                <w:szCs w:val="21"/>
              </w:rPr>
              <w:t>华夏鼎泓债券型证券投资基金</w:t>
            </w:r>
          </w:p>
        </w:tc>
        <w:tc>
          <w:tcPr>
            <w:tcW w:w="3051" w:type="pct"/>
            <w:vAlign w:val="center"/>
          </w:tcPr>
          <w:p w:rsidR="00F27F17" w:rsidRPr="00163F5E" w:rsidRDefault="00F27F17" w:rsidP="00F27F17">
            <w:pPr>
              <w:pStyle w:val="af"/>
              <w:spacing w:line="360" w:lineRule="auto"/>
              <w:ind w:firstLineChars="0" w:firstLine="0"/>
              <w:rPr>
                <w:szCs w:val="21"/>
              </w:rPr>
            </w:pPr>
            <w:r w:rsidRPr="00163F5E">
              <w:rPr>
                <w:szCs w:val="21"/>
              </w:rPr>
              <w:t>本基金更换债券资产部分和股票资产部分的基准要素，并相应调整业绩比较基准的要素权重，以使新业绩比较基准代表性更强。</w:t>
            </w:r>
          </w:p>
          <w:p w:rsidR="00F27F17" w:rsidRPr="00163F5E" w:rsidRDefault="00F27F17" w:rsidP="00F27F17">
            <w:pPr>
              <w:pStyle w:val="af"/>
              <w:spacing w:line="360" w:lineRule="auto"/>
              <w:ind w:firstLineChars="0" w:firstLine="0"/>
              <w:rPr>
                <w:szCs w:val="21"/>
              </w:rPr>
            </w:pPr>
            <w:r w:rsidRPr="00163F5E">
              <w:rPr>
                <w:szCs w:val="21"/>
              </w:rPr>
              <w:t>本基金在债券资产上通过债券类属配置策略、久期管理策略、收益率曲线策略等进行投资组合管理，预期组合整体关注中等久期配置。</w:t>
            </w:r>
            <w:r w:rsidR="00426195" w:rsidRPr="00163F5E">
              <w:rPr>
                <w:szCs w:val="21"/>
              </w:rPr>
              <w:t>本基金将债券部分的基准要素由中债综合指数（规范表达为中债</w:t>
            </w:r>
            <w:r w:rsidR="00426195" w:rsidRPr="00163F5E">
              <w:rPr>
                <w:szCs w:val="21"/>
              </w:rPr>
              <w:t>-</w:t>
            </w:r>
            <w:r w:rsidR="00426195" w:rsidRPr="00163F5E">
              <w:rPr>
                <w:szCs w:val="21"/>
              </w:rPr>
              <w:t>综合全价（总值）指数）更换为中债</w:t>
            </w:r>
            <w:r w:rsidR="00426195" w:rsidRPr="00163F5E">
              <w:rPr>
                <w:szCs w:val="21"/>
              </w:rPr>
              <w:t>-</w:t>
            </w:r>
            <w:r w:rsidR="00426195" w:rsidRPr="00163F5E">
              <w:rPr>
                <w:szCs w:val="21"/>
              </w:rPr>
              <w:t>综合全价（</w:t>
            </w:r>
            <w:r w:rsidR="00426195" w:rsidRPr="00163F5E">
              <w:rPr>
                <w:szCs w:val="21"/>
              </w:rPr>
              <w:t>3-5</w:t>
            </w:r>
            <w:r w:rsidR="00426195" w:rsidRPr="00163F5E">
              <w:rPr>
                <w:szCs w:val="21"/>
              </w:rPr>
              <w:t>年）指数。</w:t>
            </w:r>
            <w:r w:rsidRPr="00163F5E">
              <w:rPr>
                <w:szCs w:val="21"/>
              </w:rPr>
              <w:t>中债</w:t>
            </w:r>
            <w:r w:rsidRPr="00163F5E">
              <w:rPr>
                <w:szCs w:val="21"/>
              </w:rPr>
              <w:t>-</w:t>
            </w:r>
            <w:r w:rsidRPr="00163F5E">
              <w:rPr>
                <w:szCs w:val="21"/>
              </w:rPr>
              <w:t>综合指数反映境内人民币债券市场整体表现，其中中债</w:t>
            </w:r>
            <w:r w:rsidRPr="00163F5E">
              <w:rPr>
                <w:szCs w:val="21"/>
              </w:rPr>
              <w:t>-</w:t>
            </w:r>
            <w:r w:rsidRPr="00163F5E">
              <w:rPr>
                <w:szCs w:val="21"/>
              </w:rPr>
              <w:t>综合全价（</w:t>
            </w:r>
            <w:r w:rsidRPr="00163F5E">
              <w:rPr>
                <w:szCs w:val="21"/>
              </w:rPr>
              <w:t>3-5</w:t>
            </w:r>
            <w:r w:rsidRPr="00163F5E">
              <w:rPr>
                <w:szCs w:val="21"/>
              </w:rPr>
              <w:t>年）指数是中债</w:t>
            </w:r>
            <w:r w:rsidRPr="00163F5E">
              <w:rPr>
                <w:szCs w:val="21"/>
              </w:rPr>
              <w:t>-</w:t>
            </w:r>
            <w:r w:rsidRPr="00163F5E">
              <w:rPr>
                <w:szCs w:val="21"/>
              </w:rPr>
              <w:t>综合指数成份券待偿期在</w:t>
            </w:r>
            <w:r w:rsidRPr="00163F5E">
              <w:rPr>
                <w:szCs w:val="21"/>
              </w:rPr>
              <w:t>3-5</w:t>
            </w:r>
            <w:r w:rsidRPr="00163F5E">
              <w:rPr>
                <w:szCs w:val="21"/>
              </w:rPr>
              <w:t>年（含</w:t>
            </w:r>
            <w:r w:rsidRPr="00163F5E">
              <w:rPr>
                <w:szCs w:val="21"/>
              </w:rPr>
              <w:t>3</w:t>
            </w:r>
            <w:r w:rsidRPr="00163F5E">
              <w:rPr>
                <w:szCs w:val="21"/>
              </w:rPr>
              <w:t>年）的子指数，反映境内人民币中等久期债券市场整体表现</w:t>
            </w:r>
            <w:r w:rsidR="00426195" w:rsidRPr="00163F5E">
              <w:rPr>
                <w:szCs w:val="21"/>
              </w:rPr>
              <w:t>，更适合作为本基金债券部分的业绩比较基准要素</w:t>
            </w:r>
            <w:r w:rsidRPr="00163F5E">
              <w:rPr>
                <w:szCs w:val="21"/>
              </w:rPr>
              <w:t>。</w:t>
            </w:r>
          </w:p>
          <w:p w:rsidR="00F27F17" w:rsidRPr="00163F5E" w:rsidRDefault="00F27F17" w:rsidP="00F27F17">
            <w:pPr>
              <w:pStyle w:val="af"/>
              <w:spacing w:line="360" w:lineRule="auto"/>
              <w:ind w:firstLineChars="0" w:firstLine="0"/>
              <w:rPr>
                <w:szCs w:val="21"/>
              </w:rPr>
            </w:pPr>
            <w:r w:rsidRPr="00163F5E">
              <w:rPr>
                <w:szCs w:val="21"/>
              </w:rPr>
              <w:t>本基金将适度参与股票等权益类资产的投资，以增加基金收益。</w:t>
            </w:r>
            <w:r w:rsidR="009603E2" w:rsidRPr="00163F5E">
              <w:rPr>
                <w:szCs w:val="21"/>
              </w:rPr>
              <w:t>综合考虑基准指数与产品定位和投资策略的匹配度，同时兼顾基准指数的表征性、认可度，以及样本覆盖、收益特征等，本基金将股票部分的基准要素由沪深</w:t>
            </w:r>
            <w:r w:rsidR="009603E2" w:rsidRPr="00163F5E">
              <w:rPr>
                <w:szCs w:val="21"/>
              </w:rPr>
              <w:t>300</w:t>
            </w:r>
            <w:r w:rsidR="009603E2" w:rsidRPr="00163F5E">
              <w:rPr>
                <w:szCs w:val="21"/>
              </w:rPr>
              <w:t>指数更换为中证</w:t>
            </w:r>
            <w:r w:rsidR="009603E2" w:rsidRPr="00163F5E">
              <w:rPr>
                <w:szCs w:val="21"/>
              </w:rPr>
              <w:t>800</w:t>
            </w:r>
            <w:r w:rsidR="009603E2" w:rsidRPr="00163F5E">
              <w:rPr>
                <w:szCs w:val="21"/>
              </w:rPr>
              <w:t>指数。</w:t>
            </w:r>
            <w:r w:rsidRPr="00163F5E">
              <w:rPr>
                <w:szCs w:val="21"/>
              </w:rPr>
              <w:t>中证</w:t>
            </w:r>
            <w:r w:rsidRPr="00163F5E">
              <w:rPr>
                <w:szCs w:val="21"/>
              </w:rPr>
              <w:t>800</w:t>
            </w:r>
            <w:r w:rsidRPr="00163F5E">
              <w:rPr>
                <w:szCs w:val="21"/>
              </w:rPr>
              <w:t>指数由沪深市场市值较大、流动性较好的</w:t>
            </w:r>
            <w:r w:rsidRPr="00163F5E">
              <w:rPr>
                <w:szCs w:val="21"/>
              </w:rPr>
              <w:t>800</w:t>
            </w:r>
            <w:r w:rsidRPr="00163F5E">
              <w:rPr>
                <w:szCs w:val="21"/>
              </w:rPr>
              <w:t>只股票构成，反映沪深市场大中盘上市公司证券的整体表现，指数样本量大，行业覆盖面广。与本基金股票资产部分的原基准要素沪深</w:t>
            </w:r>
            <w:r w:rsidRPr="00163F5E">
              <w:rPr>
                <w:szCs w:val="21"/>
              </w:rPr>
              <w:t>300</w:t>
            </w:r>
            <w:r w:rsidRPr="00163F5E">
              <w:rPr>
                <w:szCs w:val="21"/>
              </w:rPr>
              <w:t>指数相比，中证</w:t>
            </w:r>
            <w:r w:rsidRPr="00163F5E">
              <w:rPr>
                <w:szCs w:val="21"/>
              </w:rPr>
              <w:t>800</w:t>
            </w:r>
            <w:r w:rsidRPr="00163F5E">
              <w:rPr>
                <w:szCs w:val="21"/>
              </w:rPr>
              <w:t>指数</w:t>
            </w:r>
            <w:r w:rsidR="00620411" w:rsidRPr="00163F5E">
              <w:rPr>
                <w:rFonts w:hint="eastAsia"/>
                <w:szCs w:val="21"/>
              </w:rPr>
              <w:t>具有</w:t>
            </w:r>
            <w:r w:rsidRPr="00163F5E">
              <w:rPr>
                <w:szCs w:val="21"/>
              </w:rPr>
              <w:t>成份股数量更多、市值覆盖大中盘结合等特征，与本基金的投资风格等更匹配。</w:t>
            </w:r>
          </w:p>
          <w:p w:rsidR="00F27F17" w:rsidRPr="00163F5E" w:rsidRDefault="00F27F17" w:rsidP="00F27F17">
            <w:pPr>
              <w:pStyle w:val="af"/>
              <w:spacing w:line="360" w:lineRule="auto"/>
              <w:ind w:firstLineChars="0" w:firstLine="0"/>
              <w:rPr>
                <w:szCs w:val="21"/>
              </w:rPr>
            </w:pPr>
            <w:r w:rsidRPr="00163F5E">
              <w:rPr>
                <w:szCs w:val="21"/>
              </w:rPr>
              <w:t>基于本基金投资比例限制及预期的资产配置比例中枢，本基金调整基准要素权重，将债券资产所对应的基准要素权重由</w:t>
            </w:r>
            <w:r w:rsidRPr="00163F5E">
              <w:rPr>
                <w:szCs w:val="21"/>
              </w:rPr>
              <w:t>80%</w:t>
            </w:r>
            <w:r w:rsidRPr="00163F5E">
              <w:rPr>
                <w:szCs w:val="21"/>
              </w:rPr>
              <w:t>调整至</w:t>
            </w:r>
            <w:r w:rsidRPr="00163F5E">
              <w:rPr>
                <w:szCs w:val="21"/>
              </w:rPr>
              <w:t>90%</w:t>
            </w:r>
            <w:r w:rsidRPr="00163F5E">
              <w:rPr>
                <w:szCs w:val="21"/>
              </w:rPr>
              <w:t>，将股票资产所对应的要素权重由</w:t>
            </w:r>
            <w:r w:rsidRPr="00163F5E">
              <w:rPr>
                <w:szCs w:val="21"/>
              </w:rPr>
              <w:t>20%</w:t>
            </w:r>
            <w:r w:rsidRPr="00163F5E">
              <w:rPr>
                <w:szCs w:val="21"/>
              </w:rPr>
              <w:t>调整至</w:t>
            </w:r>
            <w:r w:rsidRPr="00163F5E">
              <w:rPr>
                <w:szCs w:val="21"/>
              </w:rPr>
              <w:t>10%</w:t>
            </w:r>
            <w:r w:rsidRPr="00163F5E">
              <w:rPr>
                <w:szCs w:val="21"/>
              </w:rPr>
              <w:t>。</w:t>
            </w:r>
          </w:p>
          <w:p w:rsidR="00F27F17" w:rsidRPr="00163F5E" w:rsidRDefault="00F27F17" w:rsidP="00F27F17">
            <w:pPr>
              <w:pStyle w:val="af"/>
              <w:spacing w:line="360" w:lineRule="auto"/>
              <w:ind w:firstLineChars="0" w:firstLine="0"/>
              <w:rPr>
                <w:szCs w:val="21"/>
              </w:rPr>
            </w:pPr>
            <w:r w:rsidRPr="00163F5E">
              <w:rPr>
                <w:szCs w:val="21"/>
              </w:rPr>
              <w:t>本基金调整后的新要素及要素权重更符合基金所投资主要资产类别的过往实际投资运作情况，也更符合基金产品定位、投资风格等。本次调整业绩比较基准对基金产品投资运作及基金份额持有人利益无实质性不利影响。</w:t>
            </w:r>
          </w:p>
        </w:tc>
      </w:tr>
      <w:tr w:rsidR="00163F5E" w:rsidRPr="00163F5E" w:rsidTr="006A5784">
        <w:trPr>
          <w:trHeight w:val="370"/>
          <w:jc w:val="center"/>
        </w:trPr>
        <w:tc>
          <w:tcPr>
            <w:tcW w:w="414" w:type="pct"/>
            <w:vAlign w:val="center"/>
          </w:tcPr>
          <w:p w:rsidR="00F27F17" w:rsidRPr="00163F5E" w:rsidRDefault="00E468B4" w:rsidP="00F27F17">
            <w:pPr>
              <w:pStyle w:val="af"/>
              <w:spacing w:line="360" w:lineRule="auto"/>
              <w:ind w:firstLineChars="0" w:firstLine="0"/>
              <w:jc w:val="center"/>
              <w:rPr>
                <w:szCs w:val="21"/>
              </w:rPr>
            </w:pPr>
            <w:r w:rsidRPr="00163F5E">
              <w:rPr>
                <w:rFonts w:hint="eastAsia"/>
                <w:szCs w:val="21"/>
              </w:rPr>
              <w:t>1</w:t>
            </w:r>
            <w:r w:rsidRPr="00163F5E">
              <w:rPr>
                <w:szCs w:val="21"/>
              </w:rPr>
              <w:t>8</w:t>
            </w:r>
          </w:p>
        </w:tc>
        <w:tc>
          <w:tcPr>
            <w:tcW w:w="1535" w:type="pct"/>
            <w:shd w:val="clear" w:color="auto" w:fill="auto"/>
            <w:vAlign w:val="center"/>
          </w:tcPr>
          <w:p w:rsidR="00F27F17" w:rsidRPr="00163F5E" w:rsidRDefault="00F27F17" w:rsidP="00F27F17">
            <w:pPr>
              <w:pStyle w:val="af"/>
              <w:spacing w:line="360" w:lineRule="auto"/>
              <w:ind w:firstLineChars="0" w:firstLine="0"/>
              <w:jc w:val="center"/>
              <w:rPr>
                <w:szCs w:val="21"/>
              </w:rPr>
            </w:pPr>
            <w:r w:rsidRPr="00163F5E">
              <w:rPr>
                <w:szCs w:val="21"/>
              </w:rPr>
              <w:t>华夏卓享债券型证券投资基金</w:t>
            </w:r>
          </w:p>
        </w:tc>
        <w:tc>
          <w:tcPr>
            <w:tcW w:w="3051" w:type="pct"/>
            <w:vAlign w:val="center"/>
          </w:tcPr>
          <w:p w:rsidR="00F27F17" w:rsidRPr="00163F5E" w:rsidRDefault="00F27F17" w:rsidP="00F27F17">
            <w:pPr>
              <w:pStyle w:val="af"/>
              <w:spacing w:line="360" w:lineRule="auto"/>
              <w:ind w:firstLineChars="0" w:firstLine="0"/>
              <w:rPr>
                <w:szCs w:val="21"/>
              </w:rPr>
            </w:pPr>
            <w:r w:rsidRPr="00163F5E">
              <w:rPr>
                <w:szCs w:val="21"/>
              </w:rPr>
              <w:t>本基金更换债券资产部分和股票资产部分的基准要素，以使新业绩比较基准代表性更强。</w:t>
            </w:r>
          </w:p>
          <w:p w:rsidR="00F27F17" w:rsidRPr="00163F5E" w:rsidRDefault="00F27F17" w:rsidP="00F27F17">
            <w:pPr>
              <w:pStyle w:val="af"/>
              <w:spacing w:line="360" w:lineRule="auto"/>
              <w:ind w:firstLineChars="0" w:firstLine="0"/>
              <w:rPr>
                <w:szCs w:val="21"/>
              </w:rPr>
            </w:pPr>
            <w:r w:rsidRPr="00163F5E">
              <w:rPr>
                <w:szCs w:val="21"/>
              </w:rPr>
              <w:t>本基金在债券类资产上通过债券类属配置策略、久期管理策略、收益率曲线策略等进行投资组合管理，预期组合整体关注中短久期配置。</w:t>
            </w:r>
            <w:r w:rsidR="009603E2" w:rsidRPr="00163F5E">
              <w:rPr>
                <w:szCs w:val="21"/>
              </w:rPr>
              <w:t>本基金将债券部分的基准要素由中债综合指数（规范表达为中债</w:t>
            </w:r>
            <w:r w:rsidR="009603E2" w:rsidRPr="00163F5E">
              <w:rPr>
                <w:szCs w:val="21"/>
              </w:rPr>
              <w:t>-</w:t>
            </w:r>
            <w:r w:rsidR="009603E2" w:rsidRPr="00163F5E">
              <w:rPr>
                <w:szCs w:val="21"/>
              </w:rPr>
              <w:t>综合全价（总值）指数）更换为中债</w:t>
            </w:r>
            <w:r w:rsidR="009603E2" w:rsidRPr="00163F5E">
              <w:rPr>
                <w:szCs w:val="21"/>
              </w:rPr>
              <w:t>-</w:t>
            </w:r>
            <w:r w:rsidR="009603E2" w:rsidRPr="00163F5E">
              <w:rPr>
                <w:szCs w:val="21"/>
              </w:rPr>
              <w:t>综合全价（</w:t>
            </w:r>
            <w:r w:rsidR="009603E2" w:rsidRPr="00163F5E">
              <w:rPr>
                <w:szCs w:val="21"/>
              </w:rPr>
              <w:t>1-3</w:t>
            </w:r>
            <w:r w:rsidR="009603E2" w:rsidRPr="00163F5E">
              <w:rPr>
                <w:szCs w:val="21"/>
              </w:rPr>
              <w:t>年）指数。</w:t>
            </w:r>
            <w:r w:rsidRPr="00163F5E">
              <w:rPr>
                <w:szCs w:val="21"/>
              </w:rPr>
              <w:t>中债</w:t>
            </w:r>
            <w:r w:rsidRPr="00163F5E">
              <w:rPr>
                <w:szCs w:val="21"/>
              </w:rPr>
              <w:t>-</w:t>
            </w:r>
            <w:r w:rsidRPr="00163F5E">
              <w:rPr>
                <w:szCs w:val="21"/>
              </w:rPr>
              <w:t>综合指数反映境内人民币债券市场整体表现，其中中债</w:t>
            </w:r>
            <w:r w:rsidRPr="00163F5E">
              <w:rPr>
                <w:szCs w:val="21"/>
              </w:rPr>
              <w:t>-</w:t>
            </w:r>
            <w:r w:rsidRPr="00163F5E">
              <w:rPr>
                <w:szCs w:val="21"/>
              </w:rPr>
              <w:t>综合全价（</w:t>
            </w:r>
            <w:r w:rsidRPr="00163F5E">
              <w:rPr>
                <w:szCs w:val="21"/>
              </w:rPr>
              <w:t>1-3</w:t>
            </w:r>
            <w:r w:rsidRPr="00163F5E">
              <w:rPr>
                <w:szCs w:val="21"/>
              </w:rPr>
              <w:t>年）指数是中债</w:t>
            </w:r>
            <w:r w:rsidRPr="00163F5E">
              <w:rPr>
                <w:szCs w:val="21"/>
              </w:rPr>
              <w:t>-</w:t>
            </w:r>
            <w:r w:rsidRPr="00163F5E">
              <w:rPr>
                <w:szCs w:val="21"/>
              </w:rPr>
              <w:t>综合指数成份券待偿期在</w:t>
            </w:r>
            <w:r w:rsidRPr="00163F5E">
              <w:rPr>
                <w:szCs w:val="21"/>
              </w:rPr>
              <w:t>1-3</w:t>
            </w:r>
            <w:r w:rsidRPr="00163F5E">
              <w:rPr>
                <w:szCs w:val="21"/>
              </w:rPr>
              <w:t>年（含</w:t>
            </w:r>
            <w:r w:rsidRPr="00163F5E">
              <w:rPr>
                <w:szCs w:val="21"/>
              </w:rPr>
              <w:t>1</w:t>
            </w:r>
            <w:r w:rsidRPr="00163F5E">
              <w:rPr>
                <w:szCs w:val="21"/>
              </w:rPr>
              <w:t>年）的子指数，反映境内人民币中短久期债券市场整体表现</w:t>
            </w:r>
            <w:r w:rsidR="00426195" w:rsidRPr="00163F5E">
              <w:rPr>
                <w:szCs w:val="21"/>
              </w:rPr>
              <w:t>，更适合作为本基金债券部分的业绩比较基准要素</w:t>
            </w:r>
            <w:r w:rsidRPr="00163F5E">
              <w:rPr>
                <w:szCs w:val="21"/>
              </w:rPr>
              <w:t>。</w:t>
            </w:r>
          </w:p>
          <w:p w:rsidR="00F27F17" w:rsidRPr="00163F5E" w:rsidRDefault="00F27F17" w:rsidP="00F27F17">
            <w:pPr>
              <w:pStyle w:val="af"/>
              <w:spacing w:line="360" w:lineRule="auto"/>
              <w:ind w:firstLineChars="0" w:firstLine="0"/>
              <w:rPr>
                <w:szCs w:val="21"/>
              </w:rPr>
            </w:pPr>
            <w:r w:rsidRPr="00163F5E">
              <w:rPr>
                <w:szCs w:val="21"/>
              </w:rPr>
              <w:t>本基金适度参与股票等权益类资产的投资，以增加基金收益。</w:t>
            </w:r>
            <w:r w:rsidR="009603E2" w:rsidRPr="00163F5E">
              <w:rPr>
                <w:szCs w:val="21"/>
              </w:rPr>
              <w:t>综合考虑基准指数与产品定位和投资策略的匹配度，同时兼顾基准指数的表征性、认可度，以及样本覆盖、收益特征等，本基金将股票部分的基准要素由沪深</w:t>
            </w:r>
            <w:r w:rsidR="009603E2" w:rsidRPr="00163F5E">
              <w:rPr>
                <w:szCs w:val="21"/>
              </w:rPr>
              <w:t>300</w:t>
            </w:r>
            <w:r w:rsidR="009603E2" w:rsidRPr="00163F5E">
              <w:rPr>
                <w:szCs w:val="21"/>
              </w:rPr>
              <w:t>指数更换为中证</w:t>
            </w:r>
            <w:r w:rsidR="009603E2" w:rsidRPr="00163F5E">
              <w:rPr>
                <w:szCs w:val="21"/>
              </w:rPr>
              <w:t>800</w:t>
            </w:r>
            <w:r w:rsidR="009603E2" w:rsidRPr="00163F5E">
              <w:rPr>
                <w:szCs w:val="21"/>
              </w:rPr>
              <w:t>指数。</w:t>
            </w:r>
            <w:r w:rsidRPr="00163F5E">
              <w:rPr>
                <w:szCs w:val="21"/>
              </w:rPr>
              <w:t>中证</w:t>
            </w:r>
            <w:r w:rsidRPr="00163F5E">
              <w:rPr>
                <w:szCs w:val="21"/>
              </w:rPr>
              <w:t>800</w:t>
            </w:r>
            <w:r w:rsidRPr="00163F5E">
              <w:rPr>
                <w:szCs w:val="21"/>
              </w:rPr>
              <w:t>指数由沪深市场市值较大、流动性较好的</w:t>
            </w:r>
            <w:r w:rsidRPr="00163F5E">
              <w:rPr>
                <w:szCs w:val="21"/>
              </w:rPr>
              <w:t>800</w:t>
            </w:r>
            <w:r w:rsidRPr="00163F5E">
              <w:rPr>
                <w:szCs w:val="21"/>
              </w:rPr>
              <w:t>只股票构成，反映沪深市场大中盘上市公司证券的整体表现，指数样本量大，行业覆盖面广。与本基金股票资产部分的原基准要素沪深</w:t>
            </w:r>
            <w:r w:rsidRPr="00163F5E">
              <w:rPr>
                <w:szCs w:val="21"/>
              </w:rPr>
              <w:t>300</w:t>
            </w:r>
            <w:r w:rsidRPr="00163F5E">
              <w:rPr>
                <w:szCs w:val="21"/>
              </w:rPr>
              <w:t>指数相比，中证</w:t>
            </w:r>
            <w:r w:rsidRPr="00163F5E">
              <w:rPr>
                <w:szCs w:val="21"/>
              </w:rPr>
              <w:t>800</w:t>
            </w:r>
            <w:r w:rsidRPr="00163F5E">
              <w:rPr>
                <w:szCs w:val="21"/>
              </w:rPr>
              <w:t>指数</w:t>
            </w:r>
            <w:r w:rsidR="00620411" w:rsidRPr="00163F5E">
              <w:rPr>
                <w:rFonts w:hint="eastAsia"/>
                <w:szCs w:val="21"/>
              </w:rPr>
              <w:t>具有</w:t>
            </w:r>
            <w:r w:rsidRPr="00163F5E">
              <w:rPr>
                <w:szCs w:val="21"/>
              </w:rPr>
              <w:t>成份股数量更多、市值覆盖大中盘结合等特征，与本基金的投资风格等更匹配。</w:t>
            </w:r>
          </w:p>
          <w:p w:rsidR="00F27F17" w:rsidRPr="00163F5E" w:rsidRDefault="00F27F17" w:rsidP="00F27F17">
            <w:pPr>
              <w:pStyle w:val="af"/>
              <w:spacing w:line="360" w:lineRule="auto"/>
              <w:ind w:firstLineChars="0" w:firstLine="0"/>
              <w:rPr>
                <w:szCs w:val="21"/>
              </w:rPr>
            </w:pPr>
            <w:r w:rsidRPr="00163F5E">
              <w:rPr>
                <w:szCs w:val="21"/>
              </w:rPr>
              <w:t>本基金调整后的新要素更符合基金所投资主要资产类别的过往实际投资运作情况，也更符合基金产品定位、投资风格等。本次调整业绩比较基准对基金产品投资运作及基金份额持有人利益无实质性不利影响。</w:t>
            </w:r>
          </w:p>
        </w:tc>
      </w:tr>
      <w:tr w:rsidR="00163F5E" w:rsidRPr="00163F5E" w:rsidTr="006A5784">
        <w:trPr>
          <w:trHeight w:val="370"/>
          <w:jc w:val="center"/>
        </w:trPr>
        <w:tc>
          <w:tcPr>
            <w:tcW w:w="414" w:type="pct"/>
            <w:vAlign w:val="center"/>
          </w:tcPr>
          <w:p w:rsidR="00F27F17" w:rsidRPr="00163F5E" w:rsidRDefault="00E468B4" w:rsidP="00F27F17">
            <w:pPr>
              <w:pStyle w:val="af"/>
              <w:spacing w:line="360" w:lineRule="auto"/>
              <w:ind w:firstLineChars="0" w:firstLine="0"/>
              <w:jc w:val="center"/>
              <w:rPr>
                <w:szCs w:val="21"/>
              </w:rPr>
            </w:pPr>
            <w:r w:rsidRPr="00163F5E">
              <w:rPr>
                <w:rFonts w:hint="eastAsia"/>
                <w:szCs w:val="21"/>
              </w:rPr>
              <w:t>1</w:t>
            </w:r>
            <w:r w:rsidRPr="00163F5E">
              <w:rPr>
                <w:szCs w:val="21"/>
              </w:rPr>
              <w:t>9</w:t>
            </w:r>
          </w:p>
        </w:tc>
        <w:tc>
          <w:tcPr>
            <w:tcW w:w="1535" w:type="pct"/>
            <w:shd w:val="clear" w:color="auto" w:fill="auto"/>
            <w:vAlign w:val="center"/>
          </w:tcPr>
          <w:p w:rsidR="00F27F17" w:rsidRPr="00163F5E" w:rsidRDefault="00F27F17" w:rsidP="00F27F17">
            <w:pPr>
              <w:pStyle w:val="af"/>
              <w:spacing w:line="360" w:lineRule="auto"/>
              <w:ind w:firstLineChars="0" w:firstLine="0"/>
              <w:jc w:val="center"/>
              <w:rPr>
                <w:szCs w:val="21"/>
              </w:rPr>
            </w:pPr>
            <w:r w:rsidRPr="00163F5E">
              <w:rPr>
                <w:szCs w:val="21"/>
              </w:rPr>
              <w:t>华夏保守养老目标一年持有期混合型发起式基金中基金</w:t>
            </w:r>
            <w:r w:rsidRPr="00163F5E">
              <w:rPr>
                <w:szCs w:val="21"/>
              </w:rPr>
              <w:t>(FOF)</w:t>
            </w:r>
          </w:p>
        </w:tc>
        <w:tc>
          <w:tcPr>
            <w:tcW w:w="3051" w:type="pct"/>
          </w:tcPr>
          <w:p w:rsidR="00422336" w:rsidRPr="00163F5E" w:rsidRDefault="00422336" w:rsidP="00422336">
            <w:pPr>
              <w:pStyle w:val="af"/>
              <w:spacing w:line="360" w:lineRule="auto"/>
              <w:ind w:firstLineChars="0" w:firstLine="0"/>
              <w:rPr>
                <w:szCs w:val="21"/>
              </w:rPr>
            </w:pPr>
            <w:r w:rsidRPr="00163F5E">
              <w:rPr>
                <w:szCs w:val="21"/>
              </w:rPr>
              <w:t>本基金更换业绩比较基准中债券类资产部分和权益类资产部分的基准要素，加入现金类资产部分的基准要素，并相应调整业绩比较基准的要素权重，以使新业绩比较基准代表性更强。</w:t>
            </w:r>
          </w:p>
          <w:p w:rsidR="00422336" w:rsidRPr="00163F5E" w:rsidRDefault="00422336" w:rsidP="00422336">
            <w:pPr>
              <w:pStyle w:val="af"/>
              <w:spacing w:line="360" w:lineRule="auto"/>
              <w:ind w:firstLineChars="0" w:firstLine="0"/>
              <w:rPr>
                <w:szCs w:val="21"/>
              </w:rPr>
            </w:pPr>
            <w:r w:rsidRPr="00163F5E">
              <w:rPr>
                <w:szCs w:val="21"/>
              </w:rPr>
              <w:t>对于债券类资产投资，本基金关注全市场范围内的债券类基金。综合考虑基准指数与产品定位和投资风格的匹配度，同时兼顾考虑基准指数的表征性、认可度，以及基准指数样本空间、选样方法等，本基金将债券类资产部分的基准要素由中债综合（全价）指数（规范表达为中债</w:t>
            </w:r>
            <w:r w:rsidRPr="00163F5E">
              <w:rPr>
                <w:szCs w:val="21"/>
              </w:rPr>
              <w:t>-</w:t>
            </w:r>
            <w:r w:rsidRPr="00163F5E">
              <w:rPr>
                <w:szCs w:val="21"/>
              </w:rPr>
              <w:t>综合全价（总值）指数）更换为中证纯债债券型基金指数，对应的要素权重由</w:t>
            </w:r>
            <w:r w:rsidRPr="00163F5E">
              <w:rPr>
                <w:szCs w:val="21"/>
              </w:rPr>
              <w:t>90%</w:t>
            </w:r>
            <w:r w:rsidRPr="00163F5E">
              <w:rPr>
                <w:szCs w:val="21"/>
              </w:rPr>
              <w:t>调整至</w:t>
            </w:r>
            <w:r w:rsidRPr="00163F5E">
              <w:rPr>
                <w:szCs w:val="21"/>
              </w:rPr>
              <w:t>85%</w:t>
            </w:r>
            <w:r w:rsidRPr="00163F5E">
              <w:rPr>
                <w:szCs w:val="21"/>
              </w:rPr>
              <w:t>。与中债综合（全价）指数相比，中证纯债债券型基金指数全面反映内地开放式纯债债券型证券投资基金的整体走势，与本基金的债券类资产投资风格等更匹配。</w:t>
            </w:r>
          </w:p>
          <w:p w:rsidR="00422336" w:rsidRPr="00163F5E" w:rsidRDefault="00422336" w:rsidP="00422336">
            <w:pPr>
              <w:pStyle w:val="af"/>
              <w:spacing w:line="360" w:lineRule="auto"/>
              <w:ind w:firstLineChars="0" w:firstLine="0"/>
              <w:rPr>
                <w:szCs w:val="21"/>
              </w:rPr>
            </w:pPr>
            <w:r w:rsidRPr="00163F5E">
              <w:rPr>
                <w:szCs w:val="21"/>
              </w:rPr>
              <w:t>对于权益类资产投资，本基金关注全市场范围内的权益类基金。综合考虑基准指数与产品定位和投资风格的匹配度，同时兼顾考虑基准指数的表征性、认可度，以及指数盘别</w:t>
            </w:r>
            <w:r w:rsidRPr="00163F5E">
              <w:rPr>
                <w:szCs w:val="21"/>
              </w:rPr>
              <w:t>/</w:t>
            </w:r>
            <w:r w:rsidRPr="00163F5E">
              <w:rPr>
                <w:szCs w:val="21"/>
              </w:rPr>
              <w:t>市值覆盖、风格特征、行业与个股分布等，本基金将权益类资产部分的基准要素由沪深</w:t>
            </w:r>
            <w:r w:rsidRPr="00163F5E">
              <w:rPr>
                <w:szCs w:val="21"/>
              </w:rPr>
              <w:t>300</w:t>
            </w:r>
            <w:r w:rsidRPr="00163F5E">
              <w:rPr>
                <w:szCs w:val="21"/>
              </w:rPr>
              <w:t>指数更换为中证</w:t>
            </w:r>
            <w:r w:rsidRPr="00163F5E">
              <w:rPr>
                <w:szCs w:val="21"/>
              </w:rPr>
              <w:t>A500</w:t>
            </w:r>
            <w:r w:rsidRPr="00163F5E">
              <w:rPr>
                <w:szCs w:val="21"/>
              </w:rPr>
              <w:t>指数，对应的要素权重维持</w:t>
            </w:r>
            <w:r w:rsidRPr="00163F5E">
              <w:rPr>
                <w:szCs w:val="21"/>
              </w:rPr>
              <w:t>10%</w:t>
            </w:r>
            <w:r w:rsidRPr="00163F5E">
              <w:rPr>
                <w:szCs w:val="21"/>
              </w:rPr>
              <w:t>。与沪深</w:t>
            </w:r>
            <w:r w:rsidRPr="00163F5E">
              <w:rPr>
                <w:szCs w:val="21"/>
              </w:rPr>
              <w:t>300</w:t>
            </w:r>
            <w:r w:rsidRPr="00163F5E">
              <w:rPr>
                <w:szCs w:val="21"/>
              </w:rPr>
              <w:t>指数相比，中证</w:t>
            </w:r>
            <w:r w:rsidRPr="00163F5E">
              <w:rPr>
                <w:szCs w:val="21"/>
              </w:rPr>
              <w:t>A500</w:t>
            </w:r>
            <w:r w:rsidRPr="00163F5E">
              <w:rPr>
                <w:szCs w:val="21"/>
              </w:rPr>
              <w:t>指数</w:t>
            </w:r>
            <w:r w:rsidR="00620411" w:rsidRPr="00163F5E">
              <w:rPr>
                <w:rFonts w:hint="eastAsia"/>
                <w:szCs w:val="21"/>
              </w:rPr>
              <w:t>具有</w:t>
            </w:r>
            <w:r w:rsidRPr="00163F5E">
              <w:rPr>
                <w:szCs w:val="21"/>
              </w:rPr>
              <w:t>市值覆盖大中盘结合、行业分布相对更均衡等特征，与本基金的权益类资产投资风格等更匹配。</w:t>
            </w:r>
          </w:p>
          <w:p w:rsidR="00422336" w:rsidRPr="00163F5E" w:rsidRDefault="00422336" w:rsidP="00422336">
            <w:pPr>
              <w:pStyle w:val="af"/>
              <w:spacing w:line="360" w:lineRule="auto"/>
              <w:ind w:firstLineChars="0" w:firstLine="0"/>
              <w:rPr>
                <w:szCs w:val="21"/>
              </w:rPr>
            </w:pPr>
            <w:r w:rsidRPr="00163F5E">
              <w:rPr>
                <w:szCs w:val="21"/>
              </w:rPr>
              <w:t>基于基金投资目标、投资范围和投资策略，本基金可持有一定比例现金类资产，以匹配流动性管理需求。本基金选取活期存款基准利率作为现金类资产部分的基准要素，对应的要素权重设置为</w:t>
            </w:r>
            <w:r w:rsidRPr="00163F5E">
              <w:rPr>
                <w:szCs w:val="21"/>
              </w:rPr>
              <w:t>5%</w:t>
            </w:r>
            <w:r w:rsidRPr="00163F5E">
              <w:rPr>
                <w:szCs w:val="21"/>
              </w:rPr>
              <w:t>。</w:t>
            </w:r>
          </w:p>
          <w:p w:rsidR="00F27F17" w:rsidRPr="00163F5E" w:rsidRDefault="00422336" w:rsidP="00422336">
            <w:pPr>
              <w:pStyle w:val="af"/>
              <w:spacing w:line="360" w:lineRule="auto"/>
              <w:ind w:firstLineChars="0" w:firstLine="0"/>
              <w:rPr>
                <w:szCs w:val="21"/>
              </w:rPr>
            </w:pPr>
            <w:r w:rsidRPr="00163F5E">
              <w:rPr>
                <w:szCs w:val="21"/>
              </w:rPr>
              <w:t>调整后的新要素及要素权重更符合基金所投资主要资产类别的过往实际投资运作情况。本次调整业绩比较基准对基金产品投资运作及基金份额持有人利益无实质性不利影响。</w:t>
            </w:r>
          </w:p>
        </w:tc>
      </w:tr>
      <w:tr w:rsidR="00163F5E" w:rsidRPr="00163F5E" w:rsidTr="006A5784">
        <w:trPr>
          <w:trHeight w:val="370"/>
          <w:jc w:val="center"/>
        </w:trPr>
        <w:tc>
          <w:tcPr>
            <w:tcW w:w="414" w:type="pct"/>
            <w:vAlign w:val="center"/>
          </w:tcPr>
          <w:p w:rsidR="00422336" w:rsidRPr="00163F5E" w:rsidRDefault="00E468B4" w:rsidP="00422336">
            <w:pPr>
              <w:pStyle w:val="af"/>
              <w:spacing w:line="360" w:lineRule="auto"/>
              <w:ind w:firstLineChars="0" w:firstLine="0"/>
              <w:jc w:val="center"/>
              <w:rPr>
                <w:szCs w:val="21"/>
              </w:rPr>
            </w:pPr>
            <w:r w:rsidRPr="00163F5E">
              <w:rPr>
                <w:rFonts w:hint="eastAsia"/>
                <w:szCs w:val="21"/>
              </w:rPr>
              <w:t>2</w:t>
            </w:r>
            <w:r w:rsidRPr="00163F5E">
              <w:rPr>
                <w:szCs w:val="21"/>
              </w:rPr>
              <w:t>0</w:t>
            </w:r>
          </w:p>
        </w:tc>
        <w:tc>
          <w:tcPr>
            <w:tcW w:w="1535" w:type="pct"/>
            <w:shd w:val="clear" w:color="auto" w:fill="auto"/>
            <w:vAlign w:val="center"/>
          </w:tcPr>
          <w:p w:rsidR="00422336" w:rsidRPr="00163F5E" w:rsidRDefault="00422336" w:rsidP="00422336">
            <w:pPr>
              <w:pStyle w:val="af"/>
              <w:spacing w:line="360" w:lineRule="auto"/>
              <w:ind w:firstLineChars="0" w:firstLine="0"/>
              <w:jc w:val="center"/>
              <w:rPr>
                <w:szCs w:val="21"/>
              </w:rPr>
            </w:pPr>
            <w:r w:rsidRPr="00163F5E">
              <w:rPr>
                <w:szCs w:val="21"/>
              </w:rPr>
              <w:t>华夏稳健养老目标一年持有期混合型发起式基金中基金</w:t>
            </w:r>
            <w:r w:rsidRPr="00163F5E">
              <w:rPr>
                <w:szCs w:val="21"/>
              </w:rPr>
              <w:t>(FOF)</w:t>
            </w:r>
          </w:p>
        </w:tc>
        <w:tc>
          <w:tcPr>
            <w:tcW w:w="3051" w:type="pct"/>
          </w:tcPr>
          <w:p w:rsidR="00422336" w:rsidRPr="00163F5E" w:rsidRDefault="00422336" w:rsidP="00422336">
            <w:pPr>
              <w:pStyle w:val="af"/>
              <w:spacing w:line="360" w:lineRule="auto"/>
              <w:ind w:firstLineChars="0" w:firstLine="0"/>
              <w:rPr>
                <w:szCs w:val="21"/>
              </w:rPr>
            </w:pPr>
            <w:r w:rsidRPr="00163F5E">
              <w:rPr>
                <w:szCs w:val="21"/>
              </w:rPr>
              <w:t>本基金更换业绩比较基准中债券类资产部分和权益类资产部分的基准要素，加入现金类资产部分的基准要素，并相应调整业绩比较基准的要素权重，以使新业绩比较基准代表性更强。</w:t>
            </w:r>
          </w:p>
          <w:p w:rsidR="00422336" w:rsidRPr="00163F5E" w:rsidRDefault="00422336" w:rsidP="00422336">
            <w:pPr>
              <w:pStyle w:val="af"/>
              <w:spacing w:line="360" w:lineRule="auto"/>
              <w:ind w:firstLineChars="0" w:firstLine="0"/>
              <w:rPr>
                <w:szCs w:val="21"/>
              </w:rPr>
            </w:pPr>
            <w:r w:rsidRPr="00163F5E">
              <w:rPr>
                <w:szCs w:val="21"/>
              </w:rPr>
              <w:t>对于债券类资产投资，本基金关注全市场范围内的债券类基金。综合考虑基准指数与产品定位和投资风格的匹配度，同时兼顾考虑基准指数的表征性、认可度，以及基准指数样本空间、选样方法等，本基金将债券类资产部分的基准要素由上证国债指数更换为中证纯债债券型基金指数，对应的要素权重由</w:t>
            </w:r>
            <w:r w:rsidRPr="00163F5E">
              <w:rPr>
                <w:szCs w:val="21"/>
              </w:rPr>
              <w:t>80%</w:t>
            </w:r>
            <w:r w:rsidRPr="00163F5E">
              <w:rPr>
                <w:szCs w:val="21"/>
              </w:rPr>
              <w:t>调整至</w:t>
            </w:r>
            <w:r w:rsidRPr="00163F5E">
              <w:rPr>
                <w:szCs w:val="21"/>
              </w:rPr>
              <w:t>75%</w:t>
            </w:r>
            <w:r w:rsidRPr="00163F5E">
              <w:rPr>
                <w:szCs w:val="21"/>
              </w:rPr>
              <w:t>。与上证国债指数相比，中证纯债债券型基金指数全面反映内地开放式纯债债券型证券投资基金的整体走势，与本基金的债券类资产投资风格等更匹配。</w:t>
            </w:r>
          </w:p>
          <w:p w:rsidR="00422336" w:rsidRPr="00163F5E" w:rsidRDefault="00422336" w:rsidP="00422336">
            <w:pPr>
              <w:pStyle w:val="af"/>
              <w:spacing w:line="360" w:lineRule="auto"/>
              <w:ind w:firstLineChars="0" w:firstLine="0"/>
              <w:rPr>
                <w:szCs w:val="21"/>
              </w:rPr>
            </w:pPr>
            <w:r w:rsidRPr="00163F5E">
              <w:rPr>
                <w:szCs w:val="21"/>
              </w:rPr>
              <w:t>对于权益类资产投资，本基金关注全市场范围内的权益类基金。综合考虑基准指数与产品定位和投资风格的匹配度，同时兼顾考虑基准指数的表征性、认可度，以及指数盘别</w:t>
            </w:r>
            <w:r w:rsidRPr="00163F5E">
              <w:rPr>
                <w:szCs w:val="21"/>
              </w:rPr>
              <w:t>/</w:t>
            </w:r>
            <w:r w:rsidRPr="00163F5E">
              <w:rPr>
                <w:szCs w:val="21"/>
              </w:rPr>
              <w:t>市值覆盖、风格特征、行业与个股分布等，本基金将权益类资产部分的基准要素由沪深</w:t>
            </w:r>
            <w:r w:rsidRPr="00163F5E">
              <w:rPr>
                <w:szCs w:val="21"/>
              </w:rPr>
              <w:t>300</w:t>
            </w:r>
            <w:r w:rsidRPr="00163F5E">
              <w:rPr>
                <w:szCs w:val="21"/>
              </w:rPr>
              <w:t>指数更换为中证</w:t>
            </w:r>
            <w:r w:rsidRPr="00163F5E">
              <w:rPr>
                <w:szCs w:val="21"/>
              </w:rPr>
              <w:t>A500</w:t>
            </w:r>
            <w:r w:rsidRPr="00163F5E">
              <w:rPr>
                <w:szCs w:val="21"/>
              </w:rPr>
              <w:t>指数，对应的要素权重维持</w:t>
            </w:r>
            <w:r w:rsidRPr="00163F5E">
              <w:rPr>
                <w:szCs w:val="21"/>
              </w:rPr>
              <w:t>20%</w:t>
            </w:r>
            <w:r w:rsidRPr="00163F5E">
              <w:rPr>
                <w:szCs w:val="21"/>
              </w:rPr>
              <w:t>。与沪深</w:t>
            </w:r>
            <w:r w:rsidRPr="00163F5E">
              <w:rPr>
                <w:szCs w:val="21"/>
              </w:rPr>
              <w:t>300</w:t>
            </w:r>
            <w:r w:rsidRPr="00163F5E">
              <w:rPr>
                <w:szCs w:val="21"/>
              </w:rPr>
              <w:t>指数相比，中证</w:t>
            </w:r>
            <w:r w:rsidRPr="00163F5E">
              <w:rPr>
                <w:szCs w:val="21"/>
              </w:rPr>
              <w:t>A500</w:t>
            </w:r>
            <w:r w:rsidRPr="00163F5E">
              <w:rPr>
                <w:szCs w:val="21"/>
              </w:rPr>
              <w:t>指数</w:t>
            </w:r>
            <w:r w:rsidR="00620411" w:rsidRPr="00163F5E">
              <w:rPr>
                <w:rFonts w:hint="eastAsia"/>
                <w:szCs w:val="21"/>
              </w:rPr>
              <w:t>具有</w:t>
            </w:r>
            <w:r w:rsidRPr="00163F5E">
              <w:rPr>
                <w:szCs w:val="21"/>
              </w:rPr>
              <w:t>市值覆盖大中盘结合、行业分布相对更均衡等特征，与本基金的权益类资产投资风格等更匹配。</w:t>
            </w:r>
          </w:p>
          <w:p w:rsidR="00FE722F" w:rsidRPr="00163F5E" w:rsidRDefault="00422336" w:rsidP="00422336">
            <w:pPr>
              <w:pStyle w:val="af"/>
              <w:spacing w:line="360" w:lineRule="auto"/>
              <w:ind w:firstLineChars="0" w:firstLine="0"/>
              <w:rPr>
                <w:szCs w:val="21"/>
              </w:rPr>
            </w:pPr>
            <w:r w:rsidRPr="00163F5E">
              <w:rPr>
                <w:szCs w:val="21"/>
              </w:rPr>
              <w:t>基于基金投资目标、投资范围和投资策略，本基金可持有一定比例现金类资产，以匹配流动性管理需求。本基金选取活期存款基准利率作为现金类资产部分的基准要素，对应的要素权重设置为</w:t>
            </w:r>
            <w:r w:rsidRPr="00163F5E">
              <w:rPr>
                <w:szCs w:val="21"/>
              </w:rPr>
              <w:t>5%</w:t>
            </w:r>
            <w:r w:rsidRPr="00163F5E">
              <w:rPr>
                <w:szCs w:val="21"/>
              </w:rPr>
              <w:t>。</w:t>
            </w:r>
          </w:p>
          <w:p w:rsidR="00422336" w:rsidRPr="00163F5E" w:rsidRDefault="00422336" w:rsidP="00422336">
            <w:pPr>
              <w:pStyle w:val="af"/>
              <w:spacing w:line="360" w:lineRule="auto"/>
              <w:ind w:firstLineChars="0" w:firstLine="0"/>
              <w:rPr>
                <w:szCs w:val="21"/>
              </w:rPr>
            </w:pPr>
            <w:r w:rsidRPr="00163F5E">
              <w:rPr>
                <w:szCs w:val="21"/>
              </w:rPr>
              <w:t>调整后的新要素及要素权重更符合基金所投资主要资产类别的过往实际投资运作情况。本次调整业绩比较基准对基金产品投资运作及基金份额持有人利益无实质性不利影响。</w:t>
            </w:r>
          </w:p>
        </w:tc>
      </w:tr>
      <w:tr w:rsidR="00163F5E" w:rsidRPr="00163F5E" w:rsidTr="006A5784">
        <w:trPr>
          <w:trHeight w:val="370"/>
          <w:jc w:val="center"/>
        </w:trPr>
        <w:tc>
          <w:tcPr>
            <w:tcW w:w="414" w:type="pct"/>
            <w:vAlign w:val="center"/>
          </w:tcPr>
          <w:p w:rsidR="00422336" w:rsidRPr="00163F5E" w:rsidRDefault="00E468B4" w:rsidP="00422336">
            <w:pPr>
              <w:pStyle w:val="af"/>
              <w:spacing w:line="360" w:lineRule="auto"/>
              <w:ind w:firstLineChars="0" w:firstLine="0"/>
              <w:jc w:val="center"/>
              <w:rPr>
                <w:szCs w:val="21"/>
              </w:rPr>
            </w:pPr>
            <w:r w:rsidRPr="00163F5E">
              <w:rPr>
                <w:rFonts w:hint="eastAsia"/>
                <w:szCs w:val="21"/>
              </w:rPr>
              <w:t>2</w:t>
            </w:r>
            <w:r w:rsidRPr="00163F5E">
              <w:rPr>
                <w:szCs w:val="21"/>
              </w:rPr>
              <w:t>1</w:t>
            </w:r>
          </w:p>
        </w:tc>
        <w:tc>
          <w:tcPr>
            <w:tcW w:w="1535" w:type="pct"/>
            <w:shd w:val="clear" w:color="auto" w:fill="auto"/>
            <w:vAlign w:val="center"/>
          </w:tcPr>
          <w:p w:rsidR="00422336" w:rsidRPr="00163F5E" w:rsidRDefault="00422336" w:rsidP="00422336">
            <w:pPr>
              <w:pStyle w:val="af"/>
              <w:spacing w:line="360" w:lineRule="auto"/>
              <w:ind w:firstLineChars="0" w:firstLine="0"/>
              <w:jc w:val="center"/>
              <w:rPr>
                <w:szCs w:val="21"/>
              </w:rPr>
            </w:pPr>
            <w:r w:rsidRPr="00163F5E">
              <w:rPr>
                <w:szCs w:val="21"/>
              </w:rPr>
              <w:t>华夏聚顺优选六个月持有期债券型基金中基金</w:t>
            </w:r>
            <w:r w:rsidRPr="00163F5E">
              <w:rPr>
                <w:szCs w:val="21"/>
              </w:rPr>
              <w:t>(FOF)</w:t>
            </w:r>
          </w:p>
        </w:tc>
        <w:tc>
          <w:tcPr>
            <w:tcW w:w="3051" w:type="pct"/>
          </w:tcPr>
          <w:p w:rsidR="00422336" w:rsidRPr="00163F5E" w:rsidRDefault="00422336" w:rsidP="00422336">
            <w:pPr>
              <w:spacing w:line="360" w:lineRule="auto"/>
              <w:rPr>
                <w:szCs w:val="21"/>
              </w:rPr>
            </w:pPr>
            <w:r w:rsidRPr="00163F5E">
              <w:rPr>
                <w:szCs w:val="21"/>
              </w:rPr>
              <w:t>本基金更换业绩比较基准中债券类资产部分和权益类资产部分的基准要素，加入商品类资产部分和现金类资产部分的基准要素，并相应调整业绩比较基准的要素权重，以使新业绩比较基准代表性更强。</w:t>
            </w:r>
          </w:p>
          <w:p w:rsidR="00422336" w:rsidRPr="00163F5E" w:rsidRDefault="00422336" w:rsidP="00422336">
            <w:pPr>
              <w:spacing w:line="360" w:lineRule="auto"/>
              <w:rPr>
                <w:szCs w:val="21"/>
              </w:rPr>
            </w:pPr>
            <w:r w:rsidRPr="00163F5E">
              <w:rPr>
                <w:szCs w:val="21"/>
              </w:rPr>
              <w:t>对于债券类资产投资，本基金关注全市场范围内的债券类基金。综合考虑基准指数与产品定位和投资风格的匹配度，同时兼顾考虑基准指数的表征性、认可度，以及基准指数样本空间、选样方法等，本基金将债券类资产部分的基准要素由中债综合指数（规范表达为中债</w:t>
            </w:r>
            <w:r w:rsidRPr="00163F5E">
              <w:rPr>
                <w:szCs w:val="21"/>
              </w:rPr>
              <w:t>-</w:t>
            </w:r>
            <w:r w:rsidRPr="00163F5E">
              <w:rPr>
                <w:szCs w:val="21"/>
              </w:rPr>
              <w:t>综合全价（总值）指数）更换为中证纯债债券型基金指数，对应的要素权重由</w:t>
            </w:r>
            <w:r w:rsidRPr="00163F5E">
              <w:rPr>
                <w:szCs w:val="21"/>
              </w:rPr>
              <w:t>90%</w:t>
            </w:r>
            <w:r w:rsidRPr="00163F5E">
              <w:rPr>
                <w:szCs w:val="21"/>
              </w:rPr>
              <w:t>调整至</w:t>
            </w:r>
            <w:r w:rsidRPr="00163F5E">
              <w:rPr>
                <w:szCs w:val="21"/>
              </w:rPr>
              <w:t>85%</w:t>
            </w:r>
            <w:r w:rsidRPr="00163F5E">
              <w:rPr>
                <w:szCs w:val="21"/>
              </w:rPr>
              <w:t>。与中债综合指数相比，中证纯债债券型基金指数全面反映内地开放式纯债债券型证券投资基金的整体走势，与本基金的债券类资产投资风格等更匹配。</w:t>
            </w:r>
          </w:p>
          <w:p w:rsidR="00422336" w:rsidRPr="00163F5E" w:rsidRDefault="00422336" w:rsidP="00422336">
            <w:pPr>
              <w:spacing w:line="360" w:lineRule="auto"/>
              <w:rPr>
                <w:szCs w:val="21"/>
              </w:rPr>
            </w:pPr>
            <w:r w:rsidRPr="00163F5E">
              <w:rPr>
                <w:szCs w:val="21"/>
              </w:rPr>
              <w:t>对于权益类资产投资，本基金关注全市场范围内的权益类基金。综合考虑基准指数与产品定位和投资风格的匹配度，同时兼顾考虑基准指数的表征性、认可度，以及指数盘别</w:t>
            </w:r>
            <w:r w:rsidRPr="00163F5E">
              <w:rPr>
                <w:szCs w:val="21"/>
              </w:rPr>
              <w:t>/</w:t>
            </w:r>
            <w:r w:rsidRPr="00163F5E">
              <w:rPr>
                <w:szCs w:val="21"/>
              </w:rPr>
              <w:t>市值覆盖、风格特征、行业与个股分布等，本基金将权益类资产部分的基准要素由中证</w:t>
            </w:r>
            <w:r w:rsidRPr="00163F5E">
              <w:rPr>
                <w:szCs w:val="21"/>
              </w:rPr>
              <w:t>800</w:t>
            </w:r>
            <w:r w:rsidRPr="00163F5E">
              <w:rPr>
                <w:szCs w:val="21"/>
              </w:rPr>
              <w:t>指数更换为中证</w:t>
            </w:r>
            <w:r w:rsidRPr="00163F5E">
              <w:rPr>
                <w:szCs w:val="21"/>
              </w:rPr>
              <w:t>A500</w:t>
            </w:r>
            <w:r w:rsidRPr="00163F5E">
              <w:rPr>
                <w:szCs w:val="21"/>
              </w:rPr>
              <w:t>指数，对应的要素权重</w:t>
            </w:r>
            <w:r w:rsidR="004D416E" w:rsidRPr="00163F5E">
              <w:rPr>
                <w:rFonts w:hint="eastAsia"/>
                <w:szCs w:val="21"/>
              </w:rPr>
              <w:t>由</w:t>
            </w:r>
            <w:r w:rsidR="004D416E" w:rsidRPr="00163F5E">
              <w:rPr>
                <w:rFonts w:hint="eastAsia"/>
                <w:szCs w:val="21"/>
              </w:rPr>
              <w:t>1</w:t>
            </w:r>
            <w:r w:rsidR="004D416E" w:rsidRPr="00163F5E">
              <w:rPr>
                <w:szCs w:val="21"/>
              </w:rPr>
              <w:t>0%</w:t>
            </w:r>
            <w:r w:rsidR="007E2342" w:rsidRPr="00163F5E">
              <w:rPr>
                <w:rFonts w:hint="eastAsia"/>
                <w:szCs w:val="21"/>
              </w:rPr>
              <w:t>调整至</w:t>
            </w:r>
            <w:r w:rsidR="007E2342" w:rsidRPr="00163F5E">
              <w:rPr>
                <w:rFonts w:hint="eastAsia"/>
                <w:szCs w:val="21"/>
              </w:rPr>
              <w:t>7</w:t>
            </w:r>
            <w:r w:rsidRPr="00163F5E">
              <w:rPr>
                <w:szCs w:val="21"/>
              </w:rPr>
              <w:t>%</w:t>
            </w:r>
            <w:r w:rsidRPr="00163F5E">
              <w:rPr>
                <w:szCs w:val="21"/>
              </w:rPr>
              <w:t>。与中证</w:t>
            </w:r>
            <w:r w:rsidRPr="00163F5E">
              <w:rPr>
                <w:szCs w:val="21"/>
              </w:rPr>
              <w:t>800</w:t>
            </w:r>
            <w:r w:rsidRPr="00163F5E">
              <w:rPr>
                <w:szCs w:val="21"/>
              </w:rPr>
              <w:t>指数相比，中证</w:t>
            </w:r>
            <w:r w:rsidRPr="00163F5E">
              <w:rPr>
                <w:szCs w:val="21"/>
              </w:rPr>
              <w:t>A500</w:t>
            </w:r>
            <w:r w:rsidRPr="00163F5E">
              <w:rPr>
                <w:szCs w:val="21"/>
              </w:rPr>
              <w:t>指数</w:t>
            </w:r>
            <w:r w:rsidR="00BF5F63" w:rsidRPr="00163F5E">
              <w:rPr>
                <w:rFonts w:hint="eastAsia"/>
                <w:szCs w:val="21"/>
              </w:rPr>
              <w:t>具有</w:t>
            </w:r>
            <w:r w:rsidRPr="00163F5E">
              <w:rPr>
                <w:szCs w:val="21"/>
              </w:rPr>
              <w:t>行业分布相对更均衡等特征，与本基金的权益类资产投资风格等更匹配。</w:t>
            </w:r>
          </w:p>
          <w:p w:rsidR="00422336" w:rsidRPr="00163F5E" w:rsidRDefault="00422336" w:rsidP="00422336">
            <w:pPr>
              <w:spacing w:line="360" w:lineRule="auto"/>
              <w:rPr>
                <w:szCs w:val="21"/>
              </w:rPr>
            </w:pPr>
            <w:r w:rsidRPr="00163F5E">
              <w:rPr>
                <w:szCs w:val="21"/>
              </w:rPr>
              <w:t>基于基金投资目标、投资范围和投资策略，本基金可投资于商品基金，重点关注具有可投资性、与其他资产的相关度较低的黄金等商品类资产。综合考虑基准与产品定位和投资风格的匹配度，同时兼顾考虑基准的表征性、认可度，本基金选取上海黄金交易所</w:t>
            </w:r>
            <w:r w:rsidRPr="00163F5E">
              <w:rPr>
                <w:szCs w:val="21"/>
              </w:rPr>
              <w:t>Au99.99</w:t>
            </w:r>
            <w:r w:rsidRPr="00163F5E">
              <w:rPr>
                <w:szCs w:val="21"/>
              </w:rPr>
              <w:t>现货实盘合约价格作为商品类资产的业绩比较基准要素，对应的要素权重设置为</w:t>
            </w:r>
            <w:r w:rsidRPr="00163F5E">
              <w:rPr>
                <w:szCs w:val="21"/>
              </w:rPr>
              <w:t>3%</w:t>
            </w:r>
            <w:r w:rsidRPr="00163F5E">
              <w:rPr>
                <w:szCs w:val="21"/>
              </w:rPr>
              <w:t>。</w:t>
            </w:r>
          </w:p>
          <w:p w:rsidR="00422336" w:rsidRPr="00163F5E" w:rsidRDefault="00422336" w:rsidP="00422336">
            <w:pPr>
              <w:spacing w:line="360" w:lineRule="auto"/>
              <w:rPr>
                <w:szCs w:val="21"/>
              </w:rPr>
            </w:pPr>
            <w:r w:rsidRPr="00163F5E">
              <w:rPr>
                <w:szCs w:val="21"/>
              </w:rPr>
              <w:t>基于基金投资目标、投资范围和投资策略，本基金可持有一定比例现金类资产，以匹配流动性管理需求。本基金选取活期存款基准利率作为现金类资产部分的基准要素，对应的要素权重设置为</w:t>
            </w:r>
            <w:r w:rsidRPr="00163F5E">
              <w:rPr>
                <w:szCs w:val="21"/>
              </w:rPr>
              <w:t>5%</w:t>
            </w:r>
            <w:r w:rsidRPr="00163F5E">
              <w:rPr>
                <w:szCs w:val="21"/>
              </w:rPr>
              <w:t>。</w:t>
            </w:r>
          </w:p>
          <w:p w:rsidR="00422336" w:rsidRPr="00163F5E" w:rsidRDefault="00422336" w:rsidP="00422336">
            <w:pPr>
              <w:pStyle w:val="af"/>
              <w:spacing w:line="360" w:lineRule="auto"/>
              <w:ind w:firstLineChars="0" w:firstLine="0"/>
              <w:rPr>
                <w:szCs w:val="21"/>
              </w:rPr>
            </w:pPr>
            <w:r w:rsidRPr="00163F5E">
              <w:rPr>
                <w:szCs w:val="21"/>
              </w:rPr>
              <w:t>调整后的新要素及要素权重更符合基金所投资主要资产类别的过往实际投资运作情况。本次调整业绩比较基准对基金产品投资运作及基金份额持有人利益无实质性不利影响。</w:t>
            </w:r>
          </w:p>
        </w:tc>
      </w:tr>
    </w:tbl>
    <w:p w:rsidR="00CD20D1" w:rsidRPr="00163F5E" w:rsidRDefault="00CD20D1" w:rsidP="00CD20D1">
      <w:pPr>
        <w:adjustRightInd w:val="0"/>
        <w:snapToGrid w:val="0"/>
        <w:spacing w:line="460" w:lineRule="exact"/>
        <w:ind w:right="240"/>
        <w:jc w:val="left"/>
        <w:rPr>
          <w:sz w:val="24"/>
        </w:rPr>
      </w:pPr>
    </w:p>
    <w:sectPr w:rsidR="00CD20D1" w:rsidRPr="00163F5E" w:rsidSect="00345E9E">
      <w:headerReference w:type="default" r:id="rId7"/>
      <w:footerReference w:type="default" r:id="rId8"/>
      <w:type w:val="continuous"/>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D94EAA6" w16cex:dateUtc="2026-04-23T10:59:00Z"/>
  <w16cex:commentExtensible w16cex:durableId="2D94EA9F" w16cex:dateUtc="2026-04-23T10:59:00Z"/>
  <w16cex:commentExtensible w16cex:durableId="2D9A4DEE" w16cex:dateUtc="2026-04-27T13:04:00Z"/>
  <w16cex:commentExtensible w16cex:durableId="2D9A4D97" w16cex:dateUtc="2026-04-27T13:03:00Z"/>
  <w16cex:commentExtensible w16cex:durableId="7C3367FF" w16cex:dateUtc="2026-04-26T06:44:00Z"/>
  <w16cex:commentExtensible w16cex:durableId="1461F166" w16cex:dateUtc="2026-04-26T07:50:00Z"/>
  <w16cex:commentExtensible w16cex:durableId="2D98A33A" w16cex:dateUtc="2026-04-26T06:44:00Z"/>
  <w16cex:commentExtensible w16cex:durableId="634C359B" w16cex:dateUtc="2026-04-26T07:50:00Z"/>
  <w16cex:commentExtensible w16cex:durableId="24F0B908" w16cex:dateUtc="2026-04-26T06:48:00Z"/>
  <w16cex:commentExtensible w16cex:durableId="2D98A459" w16cex:dateUtc="2026-04-26T06:48:00Z"/>
  <w16cex:commentExtensible w16cex:durableId="2D98A732" w16cex:dateUtc="2026-04-26T07:01:00Z"/>
  <w16cex:commentExtensible w16cex:durableId="2D98C796" w16cex:dateUtc="2026-04-26T0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2D0D2D7" w16cid:durableId="2D94EAA6"/>
  <w16cid:commentId w16cid:paraId="0B2AB3E4" w16cid:durableId="2D94EA9F"/>
  <w16cid:commentId w16cid:paraId="7B858B8B" w16cid:durableId="2D9A44FA"/>
  <w16cid:commentId w16cid:paraId="5CBA88A9" w16cid:durableId="2D9A4DEE"/>
  <w16cid:commentId w16cid:paraId="1CA981E5" w16cid:durableId="2D9A44FB"/>
  <w16cid:commentId w16cid:paraId="6BD582A7" w16cid:durableId="2D9A4D97"/>
  <w16cid:commentId w16cid:paraId="5B3A5AF3" w16cid:durableId="7C3367FF"/>
  <w16cid:commentId w16cid:paraId="68C007B9" w16cid:durableId="1461F166"/>
  <w16cid:commentId w16cid:paraId="73FDEAF4" w16cid:durableId="2D98A33A"/>
  <w16cid:commentId w16cid:paraId="59873BE3" w16cid:durableId="634C359B"/>
  <w16cid:commentId w16cid:paraId="70415930" w16cid:durableId="24F0B908"/>
  <w16cid:commentId w16cid:paraId="2517CF13" w16cid:durableId="2D98A459"/>
  <w16cid:commentId w16cid:paraId="25339EF8" w16cid:durableId="2D98A732"/>
  <w16cid:commentId w16cid:paraId="3481A2B0" w16cid:durableId="2D98C796"/>
  <w16cid:commentId w16cid:paraId="0181D4C6" w16cid:durableId="2D9A450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6DB" w:rsidRDefault="00BE06DB">
      <w:r>
        <w:separator/>
      </w:r>
    </w:p>
  </w:endnote>
  <w:endnote w:type="continuationSeparator" w:id="0">
    <w:p w:rsidR="00BE06DB" w:rsidRDefault="00BE06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680" w:rsidRDefault="007A6A52">
    <w:pPr>
      <w:jc w:val="center"/>
    </w:pPr>
    <w:r w:rsidRPr="007A6A52">
      <w:fldChar w:fldCharType="begin"/>
    </w:r>
    <w:r w:rsidR="00E449CB">
      <w:instrText xml:space="preserve"> PAGE   \* MERGEFORMAT </w:instrText>
    </w:r>
    <w:r w:rsidRPr="007A6A52">
      <w:fldChar w:fldCharType="separate"/>
    </w:r>
    <w:r w:rsidR="009211F4" w:rsidRPr="009211F4">
      <w:rPr>
        <w:noProof/>
        <w:lang w:val="zh-CN"/>
      </w:rPr>
      <w:t>1</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6DB" w:rsidRDefault="00BE06DB">
      <w:r>
        <w:separator/>
      </w:r>
    </w:p>
  </w:footnote>
  <w:footnote w:type="continuationSeparator" w:id="0">
    <w:p w:rsidR="00BE06DB" w:rsidRDefault="00BE06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E9E" w:rsidRDefault="00345E9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873BB"/>
    <w:multiLevelType w:val="hybridMultilevel"/>
    <w:tmpl w:val="49583996"/>
    <w:lvl w:ilvl="0" w:tplc="92540BF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38BC"/>
    <w:rsid w:val="DE6A1415"/>
    <w:rsid w:val="FE7E496E"/>
    <w:rsid w:val="FEF78620"/>
    <w:rsid w:val="00000065"/>
    <w:rsid w:val="00003C93"/>
    <w:rsid w:val="00005EBA"/>
    <w:rsid w:val="00007B54"/>
    <w:rsid w:val="00010551"/>
    <w:rsid w:val="00013779"/>
    <w:rsid w:val="000173F2"/>
    <w:rsid w:val="00021F4C"/>
    <w:rsid w:val="00022A7C"/>
    <w:rsid w:val="00023D17"/>
    <w:rsid w:val="00027AA3"/>
    <w:rsid w:val="00035613"/>
    <w:rsid w:val="00040DA8"/>
    <w:rsid w:val="00043FA5"/>
    <w:rsid w:val="00044A23"/>
    <w:rsid w:val="00047A24"/>
    <w:rsid w:val="00047C33"/>
    <w:rsid w:val="000526A9"/>
    <w:rsid w:val="00074BC1"/>
    <w:rsid w:val="00077A43"/>
    <w:rsid w:val="0008647F"/>
    <w:rsid w:val="000874DA"/>
    <w:rsid w:val="00087ACA"/>
    <w:rsid w:val="00087FA5"/>
    <w:rsid w:val="00095CFF"/>
    <w:rsid w:val="000977E1"/>
    <w:rsid w:val="000C5E42"/>
    <w:rsid w:val="000D0CD0"/>
    <w:rsid w:val="000D1E80"/>
    <w:rsid w:val="000D5D62"/>
    <w:rsid w:val="000D72F4"/>
    <w:rsid w:val="000F37F6"/>
    <w:rsid w:val="000F4371"/>
    <w:rsid w:val="000F6254"/>
    <w:rsid w:val="000F6844"/>
    <w:rsid w:val="0010006D"/>
    <w:rsid w:val="00106AE1"/>
    <w:rsid w:val="00112490"/>
    <w:rsid w:val="00112A1A"/>
    <w:rsid w:val="00112DE1"/>
    <w:rsid w:val="001145EC"/>
    <w:rsid w:val="0011579C"/>
    <w:rsid w:val="00115B30"/>
    <w:rsid w:val="00116734"/>
    <w:rsid w:val="001233DA"/>
    <w:rsid w:val="00126592"/>
    <w:rsid w:val="00137EE5"/>
    <w:rsid w:val="001412A7"/>
    <w:rsid w:val="00142F28"/>
    <w:rsid w:val="00143314"/>
    <w:rsid w:val="0014725D"/>
    <w:rsid w:val="00147497"/>
    <w:rsid w:val="00160556"/>
    <w:rsid w:val="00160C50"/>
    <w:rsid w:val="00163F5E"/>
    <w:rsid w:val="00164BC0"/>
    <w:rsid w:val="001731A1"/>
    <w:rsid w:val="00173FDF"/>
    <w:rsid w:val="00176F4E"/>
    <w:rsid w:val="00177E74"/>
    <w:rsid w:val="00180381"/>
    <w:rsid w:val="00181FA8"/>
    <w:rsid w:val="00182296"/>
    <w:rsid w:val="00183F71"/>
    <w:rsid w:val="00186F1C"/>
    <w:rsid w:val="001A3497"/>
    <w:rsid w:val="001A38BC"/>
    <w:rsid w:val="001A4553"/>
    <w:rsid w:val="001A4A68"/>
    <w:rsid w:val="001B063A"/>
    <w:rsid w:val="001B6821"/>
    <w:rsid w:val="001B7AA4"/>
    <w:rsid w:val="001C1B29"/>
    <w:rsid w:val="001C3BAE"/>
    <w:rsid w:val="001D22F3"/>
    <w:rsid w:val="001D4017"/>
    <w:rsid w:val="001D430D"/>
    <w:rsid w:val="001E53E7"/>
    <w:rsid w:val="001F4DB1"/>
    <w:rsid w:val="001F60BB"/>
    <w:rsid w:val="001F6B75"/>
    <w:rsid w:val="00200221"/>
    <w:rsid w:val="0020194D"/>
    <w:rsid w:val="0021251F"/>
    <w:rsid w:val="002151DD"/>
    <w:rsid w:val="00217CB3"/>
    <w:rsid w:val="00221A80"/>
    <w:rsid w:val="00222D06"/>
    <w:rsid w:val="00223F7F"/>
    <w:rsid w:val="00226BF3"/>
    <w:rsid w:val="002271E6"/>
    <w:rsid w:val="00231437"/>
    <w:rsid w:val="002407C8"/>
    <w:rsid w:val="00240DEF"/>
    <w:rsid w:val="002630DD"/>
    <w:rsid w:val="00264ACA"/>
    <w:rsid w:val="00265C95"/>
    <w:rsid w:val="00270D91"/>
    <w:rsid w:val="002760F2"/>
    <w:rsid w:val="0027702B"/>
    <w:rsid w:val="00281084"/>
    <w:rsid w:val="002A290C"/>
    <w:rsid w:val="002A304F"/>
    <w:rsid w:val="002B30EF"/>
    <w:rsid w:val="002C0F74"/>
    <w:rsid w:val="002C5DA6"/>
    <w:rsid w:val="002D1FCF"/>
    <w:rsid w:val="002D4E66"/>
    <w:rsid w:val="002D77DB"/>
    <w:rsid w:val="002E2CD8"/>
    <w:rsid w:val="002E5AD9"/>
    <w:rsid w:val="002E63BF"/>
    <w:rsid w:val="002F3650"/>
    <w:rsid w:val="003005D8"/>
    <w:rsid w:val="00301FBB"/>
    <w:rsid w:val="00303620"/>
    <w:rsid w:val="00304707"/>
    <w:rsid w:val="003050F8"/>
    <w:rsid w:val="00306FDD"/>
    <w:rsid w:val="0030770B"/>
    <w:rsid w:val="003131AD"/>
    <w:rsid w:val="003137EC"/>
    <w:rsid w:val="0031398E"/>
    <w:rsid w:val="0031786C"/>
    <w:rsid w:val="00320A20"/>
    <w:rsid w:val="003237EE"/>
    <w:rsid w:val="00327BA2"/>
    <w:rsid w:val="00333045"/>
    <w:rsid w:val="00333306"/>
    <w:rsid w:val="00333670"/>
    <w:rsid w:val="00344D40"/>
    <w:rsid w:val="00345E9E"/>
    <w:rsid w:val="003560CF"/>
    <w:rsid w:val="00366842"/>
    <w:rsid w:val="003763E5"/>
    <w:rsid w:val="0038716C"/>
    <w:rsid w:val="003923B0"/>
    <w:rsid w:val="00392D72"/>
    <w:rsid w:val="0039355A"/>
    <w:rsid w:val="00396394"/>
    <w:rsid w:val="003A4492"/>
    <w:rsid w:val="003B0D46"/>
    <w:rsid w:val="003B1934"/>
    <w:rsid w:val="003B2AA9"/>
    <w:rsid w:val="003B3FD0"/>
    <w:rsid w:val="003C0471"/>
    <w:rsid w:val="003D2828"/>
    <w:rsid w:val="003D5676"/>
    <w:rsid w:val="003D70BD"/>
    <w:rsid w:val="003E0ACD"/>
    <w:rsid w:val="003E1945"/>
    <w:rsid w:val="003E377F"/>
    <w:rsid w:val="003E6CFE"/>
    <w:rsid w:val="003F2516"/>
    <w:rsid w:val="003F2D9D"/>
    <w:rsid w:val="003F6134"/>
    <w:rsid w:val="00401C46"/>
    <w:rsid w:val="00404BDF"/>
    <w:rsid w:val="00414FCD"/>
    <w:rsid w:val="00416947"/>
    <w:rsid w:val="004173E5"/>
    <w:rsid w:val="00422336"/>
    <w:rsid w:val="00424B48"/>
    <w:rsid w:val="00426195"/>
    <w:rsid w:val="00430206"/>
    <w:rsid w:val="0043058F"/>
    <w:rsid w:val="0044610C"/>
    <w:rsid w:val="004539F0"/>
    <w:rsid w:val="004541CE"/>
    <w:rsid w:val="00455EFC"/>
    <w:rsid w:val="00457D61"/>
    <w:rsid w:val="004611AF"/>
    <w:rsid w:val="0046258C"/>
    <w:rsid w:val="00463263"/>
    <w:rsid w:val="004632AA"/>
    <w:rsid w:val="0046356D"/>
    <w:rsid w:val="00465FE0"/>
    <w:rsid w:val="004736FE"/>
    <w:rsid w:val="00475415"/>
    <w:rsid w:val="00476701"/>
    <w:rsid w:val="00481134"/>
    <w:rsid w:val="00484870"/>
    <w:rsid w:val="004854B8"/>
    <w:rsid w:val="00494680"/>
    <w:rsid w:val="00494CCE"/>
    <w:rsid w:val="004A1EF0"/>
    <w:rsid w:val="004A2494"/>
    <w:rsid w:val="004A2A90"/>
    <w:rsid w:val="004A3919"/>
    <w:rsid w:val="004A42AE"/>
    <w:rsid w:val="004B2A7C"/>
    <w:rsid w:val="004B36DE"/>
    <w:rsid w:val="004C5398"/>
    <w:rsid w:val="004C5DF0"/>
    <w:rsid w:val="004C63A8"/>
    <w:rsid w:val="004D416E"/>
    <w:rsid w:val="004E2F07"/>
    <w:rsid w:val="004E42C4"/>
    <w:rsid w:val="004E4883"/>
    <w:rsid w:val="004E7AA1"/>
    <w:rsid w:val="004F7B6F"/>
    <w:rsid w:val="005023B3"/>
    <w:rsid w:val="0050644F"/>
    <w:rsid w:val="00506B58"/>
    <w:rsid w:val="00506CF6"/>
    <w:rsid w:val="00511CBE"/>
    <w:rsid w:val="00515D6B"/>
    <w:rsid w:val="00520E79"/>
    <w:rsid w:val="00521002"/>
    <w:rsid w:val="005271B2"/>
    <w:rsid w:val="0053161A"/>
    <w:rsid w:val="0053213B"/>
    <w:rsid w:val="00536913"/>
    <w:rsid w:val="005414E3"/>
    <w:rsid w:val="00542D6F"/>
    <w:rsid w:val="00545B70"/>
    <w:rsid w:val="00546235"/>
    <w:rsid w:val="00546725"/>
    <w:rsid w:val="00564483"/>
    <w:rsid w:val="00571200"/>
    <w:rsid w:val="005724EF"/>
    <w:rsid w:val="00585C51"/>
    <w:rsid w:val="00587DB6"/>
    <w:rsid w:val="00587FB9"/>
    <w:rsid w:val="00593D62"/>
    <w:rsid w:val="00593EA0"/>
    <w:rsid w:val="005A3A17"/>
    <w:rsid w:val="005A73C1"/>
    <w:rsid w:val="005A7FB6"/>
    <w:rsid w:val="005B6CD3"/>
    <w:rsid w:val="005C0CA5"/>
    <w:rsid w:val="005C3FCB"/>
    <w:rsid w:val="005D0B20"/>
    <w:rsid w:val="005D0EE2"/>
    <w:rsid w:val="005D1704"/>
    <w:rsid w:val="005D34D4"/>
    <w:rsid w:val="005D38C0"/>
    <w:rsid w:val="005D555D"/>
    <w:rsid w:val="005D7BA1"/>
    <w:rsid w:val="005D7D73"/>
    <w:rsid w:val="005E0D3D"/>
    <w:rsid w:val="005E2BB8"/>
    <w:rsid w:val="005F5C25"/>
    <w:rsid w:val="005F64F6"/>
    <w:rsid w:val="00600FF6"/>
    <w:rsid w:val="0060686C"/>
    <w:rsid w:val="00611A11"/>
    <w:rsid w:val="0061234E"/>
    <w:rsid w:val="00614CBC"/>
    <w:rsid w:val="00620411"/>
    <w:rsid w:val="006213CC"/>
    <w:rsid w:val="006237A4"/>
    <w:rsid w:val="006256BC"/>
    <w:rsid w:val="00631464"/>
    <w:rsid w:val="00647A18"/>
    <w:rsid w:val="00647A51"/>
    <w:rsid w:val="00647D13"/>
    <w:rsid w:val="00654B01"/>
    <w:rsid w:val="00655691"/>
    <w:rsid w:val="006601FB"/>
    <w:rsid w:val="00662B50"/>
    <w:rsid w:val="00663502"/>
    <w:rsid w:val="00670ADC"/>
    <w:rsid w:val="006756E7"/>
    <w:rsid w:val="00675C39"/>
    <w:rsid w:val="00685003"/>
    <w:rsid w:val="00686846"/>
    <w:rsid w:val="00687901"/>
    <w:rsid w:val="00690696"/>
    <w:rsid w:val="006A0437"/>
    <w:rsid w:val="006A2F1F"/>
    <w:rsid w:val="006A2FFA"/>
    <w:rsid w:val="006A48DC"/>
    <w:rsid w:val="006A5784"/>
    <w:rsid w:val="006B08E5"/>
    <w:rsid w:val="006B1892"/>
    <w:rsid w:val="006B3D19"/>
    <w:rsid w:val="006B5753"/>
    <w:rsid w:val="006B7D26"/>
    <w:rsid w:val="006C1B96"/>
    <w:rsid w:val="006C2B1C"/>
    <w:rsid w:val="006C5DA8"/>
    <w:rsid w:val="006D0BAE"/>
    <w:rsid w:val="006D2F23"/>
    <w:rsid w:val="006E1721"/>
    <w:rsid w:val="006E1770"/>
    <w:rsid w:val="006E17E4"/>
    <w:rsid w:val="006E2C21"/>
    <w:rsid w:val="006E2E27"/>
    <w:rsid w:val="006E30D8"/>
    <w:rsid w:val="006E561B"/>
    <w:rsid w:val="006E5DA7"/>
    <w:rsid w:val="00702E01"/>
    <w:rsid w:val="0070320C"/>
    <w:rsid w:val="007038EB"/>
    <w:rsid w:val="00710A2A"/>
    <w:rsid w:val="00710DFA"/>
    <w:rsid w:val="00711699"/>
    <w:rsid w:val="00721EC4"/>
    <w:rsid w:val="0072255B"/>
    <w:rsid w:val="007252DA"/>
    <w:rsid w:val="0072556E"/>
    <w:rsid w:val="00734268"/>
    <w:rsid w:val="007367BC"/>
    <w:rsid w:val="007371CD"/>
    <w:rsid w:val="00737EB2"/>
    <w:rsid w:val="00737FDD"/>
    <w:rsid w:val="007539E3"/>
    <w:rsid w:val="00753DD8"/>
    <w:rsid w:val="00754FDF"/>
    <w:rsid w:val="0076428A"/>
    <w:rsid w:val="00780E73"/>
    <w:rsid w:val="0078325E"/>
    <w:rsid w:val="00783BBA"/>
    <w:rsid w:val="00794FF0"/>
    <w:rsid w:val="0079536D"/>
    <w:rsid w:val="0079764F"/>
    <w:rsid w:val="007A0F8B"/>
    <w:rsid w:val="007A6A52"/>
    <w:rsid w:val="007B7D8D"/>
    <w:rsid w:val="007D3D58"/>
    <w:rsid w:val="007D586B"/>
    <w:rsid w:val="007E14EA"/>
    <w:rsid w:val="007E2342"/>
    <w:rsid w:val="007E6F83"/>
    <w:rsid w:val="007F08F7"/>
    <w:rsid w:val="007F6D1C"/>
    <w:rsid w:val="008019E5"/>
    <w:rsid w:val="00801DD7"/>
    <w:rsid w:val="00810D99"/>
    <w:rsid w:val="0081350F"/>
    <w:rsid w:val="00814E76"/>
    <w:rsid w:val="00815D59"/>
    <w:rsid w:val="008229BE"/>
    <w:rsid w:val="0082398F"/>
    <w:rsid w:val="008251DD"/>
    <w:rsid w:val="00830064"/>
    <w:rsid w:val="00830CE4"/>
    <w:rsid w:val="00834F9E"/>
    <w:rsid w:val="0083516B"/>
    <w:rsid w:val="00837926"/>
    <w:rsid w:val="00841FDC"/>
    <w:rsid w:val="00842634"/>
    <w:rsid w:val="00844F9C"/>
    <w:rsid w:val="00847E07"/>
    <w:rsid w:val="00854ABA"/>
    <w:rsid w:val="008604DF"/>
    <w:rsid w:val="00864030"/>
    <w:rsid w:val="00873A2B"/>
    <w:rsid w:val="00874233"/>
    <w:rsid w:val="0087436A"/>
    <w:rsid w:val="00885E7A"/>
    <w:rsid w:val="0088619A"/>
    <w:rsid w:val="00886389"/>
    <w:rsid w:val="00887661"/>
    <w:rsid w:val="00893F2E"/>
    <w:rsid w:val="008A098C"/>
    <w:rsid w:val="008A2D58"/>
    <w:rsid w:val="008A565F"/>
    <w:rsid w:val="008A56D3"/>
    <w:rsid w:val="008A609C"/>
    <w:rsid w:val="008A7E86"/>
    <w:rsid w:val="008B00D8"/>
    <w:rsid w:val="008B1C3D"/>
    <w:rsid w:val="008B1CCE"/>
    <w:rsid w:val="008B22E0"/>
    <w:rsid w:val="008B7088"/>
    <w:rsid w:val="008C6F92"/>
    <w:rsid w:val="008C7D69"/>
    <w:rsid w:val="008D5D56"/>
    <w:rsid w:val="008E2AEA"/>
    <w:rsid w:val="008E7CE2"/>
    <w:rsid w:val="008F3050"/>
    <w:rsid w:val="00900A31"/>
    <w:rsid w:val="00904524"/>
    <w:rsid w:val="0091353F"/>
    <w:rsid w:val="00915C5D"/>
    <w:rsid w:val="009211F4"/>
    <w:rsid w:val="00923390"/>
    <w:rsid w:val="0092413F"/>
    <w:rsid w:val="00925049"/>
    <w:rsid w:val="009267C1"/>
    <w:rsid w:val="00931D3E"/>
    <w:rsid w:val="009360CF"/>
    <w:rsid w:val="00941882"/>
    <w:rsid w:val="00943F34"/>
    <w:rsid w:val="00947264"/>
    <w:rsid w:val="00947333"/>
    <w:rsid w:val="00947378"/>
    <w:rsid w:val="0095382A"/>
    <w:rsid w:val="00954854"/>
    <w:rsid w:val="009603E2"/>
    <w:rsid w:val="00961071"/>
    <w:rsid w:val="00962DA7"/>
    <w:rsid w:val="00964EEC"/>
    <w:rsid w:val="0097188C"/>
    <w:rsid w:val="00971ED7"/>
    <w:rsid w:val="009731EA"/>
    <w:rsid w:val="009734B8"/>
    <w:rsid w:val="00974F97"/>
    <w:rsid w:val="009759A1"/>
    <w:rsid w:val="00975AC9"/>
    <w:rsid w:val="00976BD4"/>
    <w:rsid w:val="009770E1"/>
    <w:rsid w:val="00982027"/>
    <w:rsid w:val="00984E2A"/>
    <w:rsid w:val="009877E1"/>
    <w:rsid w:val="0099072C"/>
    <w:rsid w:val="009937B9"/>
    <w:rsid w:val="00995438"/>
    <w:rsid w:val="009A158B"/>
    <w:rsid w:val="009A5F0C"/>
    <w:rsid w:val="009B2987"/>
    <w:rsid w:val="009B3544"/>
    <w:rsid w:val="009B3F82"/>
    <w:rsid w:val="009B6E39"/>
    <w:rsid w:val="009B70F5"/>
    <w:rsid w:val="009B7283"/>
    <w:rsid w:val="009C1004"/>
    <w:rsid w:val="009C2B54"/>
    <w:rsid w:val="009C3676"/>
    <w:rsid w:val="009D0186"/>
    <w:rsid w:val="009D442F"/>
    <w:rsid w:val="009E27BE"/>
    <w:rsid w:val="009E5624"/>
    <w:rsid w:val="009F1E20"/>
    <w:rsid w:val="009F51A3"/>
    <w:rsid w:val="00A008EF"/>
    <w:rsid w:val="00A02732"/>
    <w:rsid w:val="00A0274F"/>
    <w:rsid w:val="00A10883"/>
    <w:rsid w:val="00A11556"/>
    <w:rsid w:val="00A17C94"/>
    <w:rsid w:val="00A20CE4"/>
    <w:rsid w:val="00A21D3F"/>
    <w:rsid w:val="00A22DF0"/>
    <w:rsid w:val="00A402FD"/>
    <w:rsid w:val="00A42004"/>
    <w:rsid w:val="00A45608"/>
    <w:rsid w:val="00A4569F"/>
    <w:rsid w:val="00A5398B"/>
    <w:rsid w:val="00A625FC"/>
    <w:rsid w:val="00A64176"/>
    <w:rsid w:val="00A70E63"/>
    <w:rsid w:val="00A73DE0"/>
    <w:rsid w:val="00A74E97"/>
    <w:rsid w:val="00A7500D"/>
    <w:rsid w:val="00A83078"/>
    <w:rsid w:val="00A95AEF"/>
    <w:rsid w:val="00A96463"/>
    <w:rsid w:val="00A97101"/>
    <w:rsid w:val="00AA4B11"/>
    <w:rsid w:val="00AB3225"/>
    <w:rsid w:val="00AC0638"/>
    <w:rsid w:val="00AC21DC"/>
    <w:rsid w:val="00AC48D7"/>
    <w:rsid w:val="00AC51F4"/>
    <w:rsid w:val="00AC7F59"/>
    <w:rsid w:val="00AD073B"/>
    <w:rsid w:val="00AD5461"/>
    <w:rsid w:val="00AE182A"/>
    <w:rsid w:val="00AF0CBD"/>
    <w:rsid w:val="00AF391E"/>
    <w:rsid w:val="00AF3BDB"/>
    <w:rsid w:val="00AF6B39"/>
    <w:rsid w:val="00AF7056"/>
    <w:rsid w:val="00B04C95"/>
    <w:rsid w:val="00B070C9"/>
    <w:rsid w:val="00B109A9"/>
    <w:rsid w:val="00B1700D"/>
    <w:rsid w:val="00B202EF"/>
    <w:rsid w:val="00B237AD"/>
    <w:rsid w:val="00B252F6"/>
    <w:rsid w:val="00B25AFC"/>
    <w:rsid w:val="00B2732C"/>
    <w:rsid w:val="00B358B3"/>
    <w:rsid w:val="00B35B55"/>
    <w:rsid w:val="00B40CF9"/>
    <w:rsid w:val="00B43216"/>
    <w:rsid w:val="00B43D62"/>
    <w:rsid w:val="00B47BB2"/>
    <w:rsid w:val="00B47FA3"/>
    <w:rsid w:val="00B50F3F"/>
    <w:rsid w:val="00B51E12"/>
    <w:rsid w:val="00B6494A"/>
    <w:rsid w:val="00B654B0"/>
    <w:rsid w:val="00B90F5C"/>
    <w:rsid w:val="00B93B7B"/>
    <w:rsid w:val="00B9409F"/>
    <w:rsid w:val="00BA1DD6"/>
    <w:rsid w:val="00BA7C2A"/>
    <w:rsid w:val="00BB08FF"/>
    <w:rsid w:val="00BB15BC"/>
    <w:rsid w:val="00BB16DF"/>
    <w:rsid w:val="00BB70DD"/>
    <w:rsid w:val="00BC10E2"/>
    <w:rsid w:val="00BC3B77"/>
    <w:rsid w:val="00BE06DB"/>
    <w:rsid w:val="00BE1736"/>
    <w:rsid w:val="00BE393A"/>
    <w:rsid w:val="00BF18A0"/>
    <w:rsid w:val="00BF5F63"/>
    <w:rsid w:val="00BF7B0A"/>
    <w:rsid w:val="00BF7F13"/>
    <w:rsid w:val="00C012B4"/>
    <w:rsid w:val="00C03240"/>
    <w:rsid w:val="00C203FE"/>
    <w:rsid w:val="00C22C6D"/>
    <w:rsid w:val="00C27DC8"/>
    <w:rsid w:val="00C306C1"/>
    <w:rsid w:val="00C3084B"/>
    <w:rsid w:val="00C33303"/>
    <w:rsid w:val="00C3587E"/>
    <w:rsid w:val="00C37A2D"/>
    <w:rsid w:val="00C41070"/>
    <w:rsid w:val="00C550C9"/>
    <w:rsid w:val="00C602CA"/>
    <w:rsid w:val="00C6045C"/>
    <w:rsid w:val="00C64767"/>
    <w:rsid w:val="00C706C0"/>
    <w:rsid w:val="00C70C17"/>
    <w:rsid w:val="00C74D45"/>
    <w:rsid w:val="00C81DDB"/>
    <w:rsid w:val="00C910A3"/>
    <w:rsid w:val="00C9561D"/>
    <w:rsid w:val="00C95F01"/>
    <w:rsid w:val="00CA7C1A"/>
    <w:rsid w:val="00CB0D25"/>
    <w:rsid w:val="00CB3CA5"/>
    <w:rsid w:val="00CC085C"/>
    <w:rsid w:val="00CC17EA"/>
    <w:rsid w:val="00CC5144"/>
    <w:rsid w:val="00CD20D1"/>
    <w:rsid w:val="00CD7918"/>
    <w:rsid w:val="00CE28F8"/>
    <w:rsid w:val="00CF29A7"/>
    <w:rsid w:val="00CF74F8"/>
    <w:rsid w:val="00CF788E"/>
    <w:rsid w:val="00D047CD"/>
    <w:rsid w:val="00D1329B"/>
    <w:rsid w:val="00D139F2"/>
    <w:rsid w:val="00D14FCF"/>
    <w:rsid w:val="00D201C1"/>
    <w:rsid w:val="00D2297C"/>
    <w:rsid w:val="00D316C8"/>
    <w:rsid w:val="00D31F8D"/>
    <w:rsid w:val="00D341FC"/>
    <w:rsid w:val="00D3648B"/>
    <w:rsid w:val="00D40716"/>
    <w:rsid w:val="00D40F0D"/>
    <w:rsid w:val="00D46095"/>
    <w:rsid w:val="00D46A49"/>
    <w:rsid w:val="00D47B18"/>
    <w:rsid w:val="00D606DB"/>
    <w:rsid w:val="00D626B5"/>
    <w:rsid w:val="00D6341F"/>
    <w:rsid w:val="00D641C4"/>
    <w:rsid w:val="00D65526"/>
    <w:rsid w:val="00D678B7"/>
    <w:rsid w:val="00D71899"/>
    <w:rsid w:val="00D71AA9"/>
    <w:rsid w:val="00D80B19"/>
    <w:rsid w:val="00D87CCC"/>
    <w:rsid w:val="00D97DFA"/>
    <w:rsid w:val="00DA7399"/>
    <w:rsid w:val="00DB0E19"/>
    <w:rsid w:val="00DC3E49"/>
    <w:rsid w:val="00DD44D0"/>
    <w:rsid w:val="00DD580B"/>
    <w:rsid w:val="00DE046D"/>
    <w:rsid w:val="00DE16D0"/>
    <w:rsid w:val="00DE2536"/>
    <w:rsid w:val="00DE2545"/>
    <w:rsid w:val="00DE7208"/>
    <w:rsid w:val="00DF4510"/>
    <w:rsid w:val="00DF66C8"/>
    <w:rsid w:val="00DF77BE"/>
    <w:rsid w:val="00DF7DC4"/>
    <w:rsid w:val="00E07772"/>
    <w:rsid w:val="00E15C08"/>
    <w:rsid w:val="00E165AB"/>
    <w:rsid w:val="00E20547"/>
    <w:rsid w:val="00E22A0D"/>
    <w:rsid w:val="00E2377E"/>
    <w:rsid w:val="00E310EC"/>
    <w:rsid w:val="00E40365"/>
    <w:rsid w:val="00E4489A"/>
    <w:rsid w:val="00E449CB"/>
    <w:rsid w:val="00E468B4"/>
    <w:rsid w:val="00E5109C"/>
    <w:rsid w:val="00E57F9B"/>
    <w:rsid w:val="00E618D3"/>
    <w:rsid w:val="00E8498E"/>
    <w:rsid w:val="00E9242B"/>
    <w:rsid w:val="00E97154"/>
    <w:rsid w:val="00E97A09"/>
    <w:rsid w:val="00EA44E7"/>
    <w:rsid w:val="00EA4CA4"/>
    <w:rsid w:val="00EA52AA"/>
    <w:rsid w:val="00EB7571"/>
    <w:rsid w:val="00EC2760"/>
    <w:rsid w:val="00ED05DF"/>
    <w:rsid w:val="00ED7079"/>
    <w:rsid w:val="00ED7792"/>
    <w:rsid w:val="00EE0F98"/>
    <w:rsid w:val="00EE1D53"/>
    <w:rsid w:val="00EE20AD"/>
    <w:rsid w:val="00EE56DC"/>
    <w:rsid w:val="00EE7259"/>
    <w:rsid w:val="00F01DE8"/>
    <w:rsid w:val="00F0396E"/>
    <w:rsid w:val="00F12AD8"/>
    <w:rsid w:val="00F1424A"/>
    <w:rsid w:val="00F14D53"/>
    <w:rsid w:val="00F25847"/>
    <w:rsid w:val="00F26FA2"/>
    <w:rsid w:val="00F27F17"/>
    <w:rsid w:val="00F33766"/>
    <w:rsid w:val="00F3472B"/>
    <w:rsid w:val="00F42C33"/>
    <w:rsid w:val="00F46D85"/>
    <w:rsid w:val="00F533ED"/>
    <w:rsid w:val="00F5561F"/>
    <w:rsid w:val="00F55F8F"/>
    <w:rsid w:val="00F627DD"/>
    <w:rsid w:val="00F72763"/>
    <w:rsid w:val="00F80000"/>
    <w:rsid w:val="00F82A59"/>
    <w:rsid w:val="00F94CE8"/>
    <w:rsid w:val="00FA4A04"/>
    <w:rsid w:val="00FB5350"/>
    <w:rsid w:val="00FC78F3"/>
    <w:rsid w:val="00FD131E"/>
    <w:rsid w:val="00FE4932"/>
    <w:rsid w:val="00FE722F"/>
    <w:rsid w:val="00FF26C3"/>
    <w:rsid w:val="00FF3E76"/>
    <w:rsid w:val="00FF46DA"/>
    <w:rsid w:val="00FF7774"/>
    <w:rsid w:val="27757E2F"/>
    <w:rsid w:val="6FFFDDB8"/>
    <w:rsid w:val="75EF2A88"/>
    <w:rsid w:val="7BFB59DE"/>
    <w:rsid w:val="7DFD6D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annotation reference" w:semiHidden="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A52"/>
    <w:pPr>
      <w:widowControl w:val="0"/>
      <w:jc w:val="both"/>
    </w:pPr>
    <w:rPr>
      <w:rFonts w:ascii="Times New Roman" w:hAnsi="Times New Roman" w:cs="Times New Roman"/>
      <w:kern w:val="2"/>
      <w:sz w:val="21"/>
      <w:szCs w:val="24"/>
    </w:rPr>
  </w:style>
  <w:style w:type="paragraph" w:styleId="1">
    <w:name w:val="heading 1"/>
    <w:basedOn w:val="a"/>
    <w:next w:val="a"/>
    <w:link w:val="1Char"/>
    <w:qFormat/>
    <w:rsid w:val="007A6A52"/>
    <w:pPr>
      <w:keepNext/>
      <w:keepLines/>
      <w:spacing w:before="120" w:after="120" w:line="360" w:lineRule="auto"/>
      <w:outlineLvl w:val="0"/>
    </w:pPr>
    <w:rPr>
      <w:rFonts w:ascii="宋体"/>
      <w:b/>
      <w:color w:val="000000"/>
      <w:kern w:val="0"/>
      <w:sz w:val="24"/>
      <w:szCs w:val="20"/>
    </w:rPr>
  </w:style>
  <w:style w:type="paragraph" w:styleId="2">
    <w:name w:val="heading 2"/>
    <w:basedOn w:val="a"/>
    <w:next w:val="a"/>
    <w:link w:val="2Char"/>
    <w:qFormat/>
    <w:rsid w:val="007A6A52"/>
    <w:pPr>
      <w:keepNext/>
      <w:keepLines/>
      <w:spacing w:before="260" w:after="260" w:line="416" w:lineRule="auto"/>
      <w:outlineLvl w:val="1"/>
    </w:pPr>
    <w:rPr>
      <w:rFonts w:ascii="Calibri Light" w:hAnsi="Calibri Light"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7A6A52"/>
    <w:pPr>
      <w:ind w:firstLineChars="200" w:firstLine="420"/>
    </w:pPr>
  </w:style>
  <w:style w:type="paragraph" w:styleId="a4">
    <w:name w:val="annotation text"/>
    <w:basedOn w:val="a"/>
    <w:link w:val="Char"/>
    <w:uiPriority w:val="99"/>
    <w:qFormat/>
    <w:rsid w:val="007A6A52"/>
    <w:pPr>
      <w:jc w:val="left"/>
    </w:pPr>
  </w:style>
  <w:style w:type="paragraph" w:styleId="a5">
    <w:name w:val="Body Text Indent"/>
    <w:basedOn w:val="a"/>
    <w:link w:val="Char0"/>
    <w:qFormat/>
    <w:rsid w:val="007A6A52"/>
    <w:pPr>
      <w:spacing w:line="400" w:lineRule="exact"/>
      <w:ind w:firstLineChars="192" w:firstLine="538"/>
    </w:pPr>
    <w:rPr>
      <w:rFonts w:ascii="仿宋_GB2312" w:eastAsia="仿宋_GB2312" w:hAnsi="宋体"/>
      <w:color w:val="000000"/>
      <w:sz w:val="28"/>
    </w:rPr>
  </w:style>
  <w:style w:type="paragraph" w:styleId="a6">
    <w:name w:val="Plain Text"/>
    <w:basedOn w:val="a"/>
    <w:link w:val="Char1"/>
    <w:qFormat/>
    <w:rsid w:val="007A6A52"/>
    <w:rPr>
      <w:rFonts w:ascii="宋体" w:hAnsi="Courier New" w:cs="Courier New"/>
      <w:szCs w:val="21"/>
    </w:rPr>
  </w:style>
  <w:style w:type="paragraph" w:styleId="a7">
    <w:name w:val="Balloon Text"/>
    <w:basedOn w:val="a"/>
    <w:link w:val="Char2"/>
    <w:uiPriority w:val="99"/>
    <w:qFormat/>
    <w:rsid w:val="007A6A52"/>
    <w:rPr>
      <w:sz w:val="18"/>
      <w:szCs w:val="18"/>
    </w:rPr>
  </w:style>
  <w:style w:type="paragraph" w:styleId="a8">
    <w:name w:val="footer"/>
    <w:basedOn w:val="a"/>
    <w:link w:val="Char3"/>
    <w:uiPriority w:val="99"/>
    <w:qFormat/>
    <w:rsid w:val="007A6A52"/>
    <w:pPr>
      <w:tabs>
        <w:tab w:val="center" w:pos="4153"/>
        <w:tab w:val="right" w:pos="8306"/>
      </w:tabs>
      <w:snapToGrid w:val="0"/>
      <w:jc w:val="left"/>
    </w:pPr>
    <w:rPr>
      <w:sz w:val="18"/>
      <w:szCs w:val="18"/>
    </w:rPr>
  </w:style>
  <w:style w:type="paragraph" w:styleId="a9">
    <w:name w:val="header"/>
    <w:basedOn w:val="a"/>
    <w:link w:val="Char4"/>
    <w:uiPriority w:val="99"/>
    <w:qFormat/>
    <w:rsid w:val="007A6A52"/>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A6A52"/>
    <w:pPr>
      <w:tabs>
        <w:tab w:val="right" w:leader="dot" w:pos="8296"/>
      </w:tabs>
      <w:spacing w:line="360" w:lineRule="auto"/>
    </w:pPr>
    <w:rPr>
      <w:szCs w:val="20"/>
    </w:rPr>
  </w:style>
  <w:style w:type="paragraph" w:styleId="aa">
    <w:name w:val="Subtitle"/>
    <w:basedOn w:val="a"/>
    <w:next w:val="a"/>
    <w:link w:val="Char5"/>
    <w:qFormat/>
    <w:rsid w:val="007A6A52"/>
    <w:pPr>
      <w:spacing w:before="240" w:after="60" w:line="312" w:lineRule="auto"/>
      <w:jc w:val="center"/>
      <w:outlineLvl w:val="1"/>
    </w:pPr>
    <w:rPr>
      <w:rFonts w:ascii="Calibri Light" w:hAnsi="Calibri Light"/>
      <w:b/>
      <w:bCs/>
      <w:kern w:val="28"/>
      <w:sz w:val="32"/>
      <w:szCs w:val="32"/>
    </w:rPr>
  </w:style>
  <w:style w:type="paragraph" w:styleId="ab">
    <w:name w:val="annotation subject"/>
    <w:basedOn w:val="a4"/>
    <w:next w:val="a4"/>
    <w:link w:val="Char6"/>
    <w:uiPriority w:val="99"/>
    <w:qFormat/>
    <w:rsid w:val="007A6A52"/>
    <w:rPr>
      <w:b/>
      <w:bCs/>
    </w:rPr>
  </w:style>
  <w:style w:type="table" w:styleId="ac">
    <w:name w:val="Table Grid"/>
    <w:basedOn w:val="a1"/>
    <w:uiPriority w:val="39"/>
    <w:qFormat/>
    <w:rsid w:val="007A6A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qFormat/>
    <w:rsid w:val="007A6A52"/>
    <w:rPr>
      <w:color w:val="0563C1"/>
      <w:u w:val="single"/>
    </w:rPr>
  </w:style>
  <w:style w:type="character" w:styleId="ae">
    <w:name w:val="annotation reference"/>
    <w:basedOn w:val="a0"/>
    <w:uiPriority w:val="99"/>
    <w:qFormat/>
    <w:rsid w:val="007A6A52"/>
    <w:rPr>
      <w:sz w:val="21"/>
      <w:szCs w:val="21"/>
    </w:rPr>
  </w:style>
  <w:style w:type="paragraph" w:styleId="af">
    <w:name w:val="List Paragraph"/>
    <w:basedOn w:val="a"/>
    <w:uiPriority w:val="34"/>
    <w:qFormat/>
    <w:rsid w:val="007A6A52"/>
    <w:pPr>
      <w:ind w:firstLineChars="200" w:firstLine="420"/>
    </w:pPr>
  </w:style>
  <w:style w:type="character" w:customStyle="1" w:styleId="Char2">
    <w:name w:val="批注框文本 Char"/>
    <w:basedOn w:val="a0"/>
    <w:link w:val="a7"/>
    <w:uiPriority w:val="99"/>
    <w:qFormat/>
    <w:rsid w:val="007A6A52"/>
    <w:rPr>
      <w:rFonts w:ascii="Times New Roman" w:eastAsia="宋体" w:hAnsi="Times New Roman" w:cs="Times New Roman"/>
      <w:sz w:val="18"/>
      <w:szCs w:val="18"/>
    </w:rPr>
  </w:style>
  <w:style w:type="character" w:customStyle="1" w:styleId="Char">
    <w:name w:val="批注文字 Char"/>
    <w:basedOn w:val="a0"/>
    <w:link w:val="a4"/>
    <w:uiPriority w:val="99"/>
    <w:qFormat/>
    <w:rsid w:val="007A6A52"/>
    <w:rPr>
      <w:rFonts w:ascii="Times New Roman" w:eastAsia="宋体" w:hAnsi="Times New Roman" w:cs="Times New Roman"/>
      <w:szCs w:val="24"/>
    </w:rPr>
  </w:style>
  <w:style w:type="character" w:customStyle="1" w:styleId="Char6">
    <w:name w:val="批注主题 Char"/>
    <w:basedOn w:val="Char"/>
    <w:link w:val="ab"/>
    <w:uiPriority w:val="99"/>
    <w:qFormat/>
    <w:rsid w:val="007A6A52"/>
    <w:rPr>
      <w:rFonts w:ascii="Times New Roman" w:eastAsia="宋体" w:hAnsi="Times New Roman" w:cs="Times New Roman"/>
      <w:b/>
      <w:bCs/>
      <w:szCs w:val="24"/>
    </w:rPr>
  </w:style>
  <w:style w:type="character" w:customStyle="1" w:styleId="Char4">
    <w:name w:val="页眉 Char"/>
    <w:basedOn w:val="a0"/>
    <w:link w:val="a9"/>
    <w:uiPriority w:val="99"/>
    <w:qFormat/>
    <w:rsid w:val="007A6A52"/>
    <w:rPr>
      <w:rFonts w:ascii="Times New Roman" w:eastAsia="宋体" w:hAnsi="Times New Roman" w:cs="Times New Roman"/>
      <w:sz w:val="18"/>
      <w:szCs w:val="18"/>
    </w:rPr>
  </w:style>
  <w:style w:type="character" w:customStyle="1" w:styleId="Char3">
    <w:name w:val="页脚 Char"/>
    <w:basedOn w:val="a0"/>
    <w:link w:val="a8"/>
    <w:uiPriority w:val="99"/>
    <w:qFormat/>
    <w:rsid w:val="007A6A52"/>
    <w:rPr>
      <w:rFonts w:ascii="Times New Roman" w:eastAsia="宋体" w:hAnsi="Times New Roman" w:cs="Times New Roman"/>
      <w:sz w:val="18"/>
      <w:szCs w:val="18"/>
    </w:rPr>
  </w:style>
  <w:style w:type="character" w:customStyle="1" w:styleId="Char5">
    <w:name w:val="副标题 Char"/>
    <w:basedOn w:val="a0"/>
    <w:link w:val="aa"/>
    <w:qFormat/>
    <w:rsid w:val="007A6A52"/>
    <w:rPr>
      <w:rFonts w:ascii="Calibri Light" w:eastAsia="宋体" w:hAnsi="Calibri Light" w:cs="Times New Roman"/>
      <w:b/>
      <w:bCs/>
      <w:kern w:val="28"/>
      <w:sz w:val="32"/>
      <w:szCs w:val="32"/>
    </w:rPr>
  </w:style>
  <w:style w:type="character" w:customStyle="1" w:styleId="Char1">
    <w:name w:val="纯文本 Char"/>
    <w:basedOn w:val="a0"/>
    <w:link w:val="a6"/>
    <w:qFormat/>
    <w:rsid w:val="007A6A52"/>
    <w:rPr>
      <w:rFonts w:ascii="宋体" w:eastAsia="宋体" w:hAnsi="Courier New" w:cs="Courier New"/>
      <w:szCs w:val="21"/>
    </w:rPr>
  </w:style>
  <w:style w:type="paragraph" w:customStyle="1" w:styleId="11">
    <w:name w:val="修订1"/>
    <w:uiPriority w:val="99"/>
    <w:qFormat/>
    <w:rsid w:val="007A6A52"/>
    <w:rPr>
      <w:rFonts w:ascii="Times New Roman" w:hAnsi="Times New Roman" w:cs="Times New Roman"/>
      <w:kern w:val="2"/>
      <w:sz w:val="21"/>
      <w:szCs w:val="24"/>
    </w:rPr>
  </w:style>
  <w:style w:type="character" w:customStyle="1" w:styleId="1Char">
    <w:name w:val="标题 1 Char"/>
    <w:basedOn w:val="a0"/>
    <w:link w:val="1"/>
    <w:qFormat/>
    <w:rsid w:val="007A6A52"/>
    <w:rPr>
      <w:rFonts w:ascii="宋体" w:eastAsia="宋体" w:hAnsi="Times New Roman" w:cs="Times New Roman"/>
      <w:b/>
      <w:color w:val="000000"/>
      <w:kern w:val="0"/>
      <w:sz w:val="24"/>
      <w:szCs w:val="20"/>
    </w:rPr>
  </w:style>
  <w:style w:type="character" w:customStyle="1" w:styleId="2Char">
    <w:name w:val="标题 2 Char"/>
    <w:basedOn w:val="a0"/>
    <w:link w:val="2"/>
    <w:qFormat/>
    <w:rsid w:val="007A6A52"/>
    <w:rPr>
      <w:rFonts w:ascii="Calibri Light" w:eastAsia="宋体" w:hAnsi="Calibri Light" w:cs="宋体"/>
      <w:b/>
      <w:bCs/>
      <w:sz w:val="32"/>
      <w:szCs w:val="32"/>
    </w:rPr>
  </w:style>
  <w:style w:type="character" w:customStyle="1" w:styleId="Char0">
    <w:name w:val="正文文本缩进 Char"/>
    <w:basedOn w:val="a0"/>
    <w:link w:val="a5"/>
    <w:qFormat/>
    <w:rsid w:val="007A6A52"/>
    <w:rPr>
      <w:rFonts w:ascii="仿宋_GB2312" w:eastAsia="仿宋_GB2312" w:hAnsi="宋体" w:cs="Times New Roman"/>
      <w:color w:val="000000"/>
      <w:sz w:val="28"/>
      <w:szCs w:val="24"/>
    </w:rPr>
  </w:style>
  <w:style w:type="paragraph" w:customStyle="1" w:styleId="20">
    <w:name w:val="修订2"/>
    <w:hidden/>
    <w:uiPriority w:val="99"/>
    <w:unhideWhenUsed/>
    <w:qFormat/>
    <w:rsid w:val="007A6A52"/>
    <w:rPr>
      <w:rFonts w:ascii="Times New Roman" w:hAnsi="Times New Roman" w:cs="Times New Roman"/>
      <w:kern w:val="2"/>
      <w:sz w:val="21"/>
      <w:szCs w:val="24"/>
    </w:rPr>
  </w:style>
  <w:style w:type="paragraph" w:styleId="af0">
    <w:name w:val="Revision"/>
    <w:hidden/>
    <w:uiPriority w:val="99"/>
    <w:semiHidden/>
    <w:rsid w:val="00AE182A"/>
    <w:rPr>
      <w:rFonts w:ascii="Times New Roman"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2170</Words>
  <Characters>12375</Characters>
  <Application>Microsoft Office Word</Application>
  <DocSecurity>4</DocSecurity>
  <Lines>103</Lines>
  <Paragraphs>29</Paragraphs>
  <ScaleCrop>false</ScaleCrop>
  <Company/>
  <LinksUpToDate>false</LinksUpToDate>
  <CharactersWithSpaces>14516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2026-04-30T16:02:00Z</dcterms:created>
  <dcterms:modified xsi:type="dcterms:W3CDTF">2026-04-30T16:02:00Z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54BDEA515E77856E26A1E1699C854B3A</vt:lpwstr>
  </property>
</Properties>
</file>