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B3B" w:rsidRPr="001F12D1" w:rsidRDefault="0010186C" w:rsidP="00177B3B">
      <w:pPr>
        <w:pStyle w:val="font14"/>
        <w:jc w:val="center"/>
        <w:rPr>
          <w:rFonts w:asciiTheme="majorEastAsia" w:eastAsiaTheme="majorEastAsia" w:hAnsiTheme="majorEastAsia"/>
        </w:rPr>
      </w:pPr>
      <w:r w:rsidRPr="001F12D1">
        <w:rPr>
          <w:rStyle w:val="a8"/>
          <w:rFonts w:asciiTheme="majorEastAsia" w:eastAsiaTheme="majorEastAsia" w:hAnsiTheme="majorEastAsia" w:hint="eastAsia"/>
          <w:sz w:val="24"/>
          <w:szCs w:val="24"/>
        </w:rPr>
        <w:t>易方达基金管理有限公司</w:t>
      </w:r>
      <w:r w:rsidR="002B36C1">
        <w:rPr>
          <w:rStyle w:val="a8"/>
          <w:rFonts w:asciiTheme="majorEastAsia" w:eastAsiaTheme="majorEastAsia" w:hAnsiTheme="majorEastAsia" w:hint="eastAsia"/>
          <w:sz w:val="24"/>
          <w:szCs w:val="24"/>
        </w:rPr>
        <w:t>关于旗下基金</w:t>
      </w:r>
      <w:r w:rsidRPr="00C251FE">
        <w:rPr>
          <w:rStyle w:val="a8"/>
          <w:rFonts w:asciiTheme="majorEastAsia" w:eastAsiaTheme="majorEastAsia" w:hAnsiTheme="majorEastAsia" w:hint="eastAsia"/>
          <w:sz w:val="24"/>
          <w:szCs w:val="24"/>
        </w:rPr>
        <w:t>关联交易事项的公告</w:t>
      </w:r>
    </w:p>
    <w:p w:rsidR="00177B3B" w:rsidRPr="002968B2" w:rsidRDefault="0010186C" w:rsidP="00883F9A">
      <w:pPr>
        <w:pStyle w:val="Default"/>
        <w:spacing w:line="360" w:lineRule="auto"/>
        <w:ind w:firstLineChars="210" w:firstLine="504"/>
        <w:rPr>
          <w:rFonts w:asciiTheme="majorEastAsia" w:eastAsiaTheme="majorEastAsia" w:hAnsiTheme="majorEastAsia"/>
        </w:rPr>
      </w:pPr>
      <w:r w:rsidRPr="006B6352">
        <w:rPr>
          <w:rFonts w:asciiTheme="majorEastAsia" w:eastAsiaTheme="majorEastAsia" w:hAnsiTheme="majorEastAsia" w:hint="eastAsia"/>
        </w:rPr>
        <w:t>根据《公开募集证券投资基金运作管理办法》《公开募集证券投资基金信息披露管理办法》及相关法律法规、基金合同及招募说明书等规定，在履行规定审批程序并经基金托管人同意后，</w:t>
      </w:r>
      <w:r w:rsidR="005D1206" w:rsidRPr="005D1206">
        <w:rPr>
          <w:rFonts w:asciiTheme="majorEastAsia" w:eastAsiaTheme="majorEastAsia" w:hAnsiTheme="majorEastAsia" w:hint="eastAsia"/>
        </w:rPr>
        <w:t>易方达基金管理有限公司</w:t>
      </w:r>
      <w:r w:rsidR="00B1205F">
        <w:rPr>
          <w:rFonts w:asciiTheme="majorEastAsia" w:eastAsiaTheme="majorEastAsia" w:hAnsiTheme="majorEastAsia" w:hint="eastAsia"/>
        </w:rPr>
        <w:t>（以下简称“本公司”）</w:t>
      </w:r>
      <w:r w:rsidR="005D1206" w:rsidRPr="005D1206">
        <w:rPr>
          <w:rFonts w:asciiTheme="majorEastAsia" w:eastAsiaTheme="majorEastAsia" w:hAnsiTheme="majorEastAsia" w:hint="eastAsia"/>
        </w:rPr>
        <w:t>旗下部分公募基金</w:t>
      </w:r>
      <w:r w:rsidR="002F32A5" w:rsidRPr="002F32A5">
        <w:rPr>
          <w:rFonts w:asciiTheme="majorEastAsia" w:eastAsiaTheme="majorEastAsia" w:hAnsiTheme="majorEastAsia" w:hint="eastAsia"/>
        </w:rPr>
        <w:t>参加了</w:t>
      </w:r>
      <w:r w:rsidR="00392F33" w:rsidRPr="00392F33">
        <w:rPr>
          <w:rFonts w:asciiTheme="majorEastAsia" w:eastAsiaTheme="majorEastAsia" w:hAnsiTheme="majorEastAsia" w:hint="eastAsia"/>
        </w:rPr>
        <w:t>珠海锐翔智能科技股份有限公司</w:t>
      </w:r>
      <w:r w:rsidR="002A359B">
        <w:rPr>
          <w:rFonts w:asciiTheme="majorEastAsia" w:eastAsiaTheme="majorEastAsia" w:hAnsiTheme="majorEastAsia" w:hint="eastAsia"/>
          <w:bCs/>
        </w:rPr>
        <w:t>（以下简称“</w:t>
      </w:r>
      <w:r w:rsidR="00392F33" w:rsidRPr="00392F33">
        <w:rPr>
          <w:rFonts w:asciiTheme="majorEastAsia" w:eastAsiaTheme="majorEastAsia" w:hAnsiTheme="majorEastAsia" w:hint="eastAsia"/>
        </w:rPr>
        <w:t>锐翔智能</w:t>
      </w:r>
      <w:r w:rsidR="002A359B">
        <w:rPr>
          <w:rFonts w:asciiTheme="majorEastAsia" w:eastAsiaTheme="majorEastAsia" w:hAnsiTheme="majorEastAsia" w:hint="eastAsia"/>
          <w:bCs/>
        </w:rPr>
        <w:t>”）</w:t>
      </w:r>
      <w:r w:rsidR="00392F33" w:rsidRPr="00392F33">
        <w:rPr>
          <w:rFonts w:asciiTheme="majorEastAsia" w:eastAsiaTheme="majorEastAsia" w:hAnsiTheme="majorEastAsia" w:hint="eastAsia"/>
        </w:rPr>
        <w:t>向不特定合格投资者公开发行股票</w:t>
      </w:r>
      <w:r w:rsidR="00140532">
        <w:rPr>
          <w:rFonts w:asciiTheme="majorEastAsia" w:eastAsiaTheme="majorEastAsia" w:hAnsiTheme="majorEastAsia" w:hint="eastAsia"/>
        </w:rPr>
        <w:t>的</w:t>
      </w:r>
      <w:r w:rsidR="002968B2">
        <w:rPr>
          <w:rFonts w:asciiTheme="majorEastAsia" w:eastAsiaTheme="majorEastAsia" w:hAnsiTheme="majorEastAsia" w:hint="eastAsia"/>
        </w:rPr>
        <w:t>网</w:t>
      </w:r>
      <w:r w:rsidR="00392F33">
        <w:rPr>
          <w:rFonts w:asciiTheme="majorEastAsia" w:eastAsiaTheme="majorEastAsia" w:hAnsiTheme="majorEastAsia" w:hint="eastAsia"/>
        </w:rPr>
        <w:t>上</w:t>
      </w:r>
      <w:r w:rsidR="00DB7585">
        <w:rPr>
          <w:rFonts w:asciiTheme="majorEastAsia" w:eastAsiaTheme="majorEastAsia" w:hAnsiTheme="majorEastAsia" w:hint="eastAsia"/>
        </w:rPr>
        <w:t>申购</w:t>
      </w:r>
      <w:r w:rsidR="00140532">
        <w:rPr>
          <w:rFonts w:asciiTheme="majorEastAsia" w:eastAsiaTheme="majorEastAsia" w:hAnsiTheme="majorEastAsia" w:hint="eastAsia"/>
        </w:rPr>
        <w:t>。</w:t>
      </w:r>
      <w:r w:rsidR="00392F33" w:rsidRPr="00392F33">
        <w:rPr>
          <w:rFonts w:asciiTheme="majorEastAsia" w:eastAsiaTheme="majorEastAsia" w:hAnsiTheme="majorEastAsia" w:hint="eastAsia"/>
        </w:rPr>
        <w:t>锐翔智能</w:t>
      </w:r>
      <w:r w:rsidR="002968B2">
        <w:rPr>
          <w:rFonts w:asciiTheme="majorEastAsia" w:eastAsiaTheme="majorEastAsia" w:hAnsiTheme="majorEastAsia" w:hint="eastAsia"/>
          <w:bCs/>
        </w:rPr>
        <w:t>本次发行的</w:t>
      </w:r>
      <w:r w:rsidR="002968B2" w:rsidRPr="002968B2">
        <w:rPr>
          <w:rFonts w:asciiTheme="majorEastAsia" w:eastAsiaTheme="majorEastAsia" w:hAnsiTheme="majorEastAsia" w:hint="eastAsia"/>
          <w:bCs/>
        </w:rPr>
        <w:t>主承销商国泰海通证券股份有限公司（以下简称“国泰海通证券”）为本公司旗下部分公募基金的托管人，同时，国泰海通证券为本公司旗下部分公募基金的托管人上海浦东发展银行股份有限公司</w:t>
      </w:r>
      <w:r w:rsidR="004771CA" w:rsidRPr="002968B2">
        <w:rPr>
          <w:rFonts w:asciiTheme="majorEastAsia" w:eastAsiaTheme="majorEastAsia" w:hAnsiTheme="majorEastAsia" w:hint="eastAsia"/>
          <w:bCs/>
        </w:rPr>
        <w:t>（以下简称“</w:t>
      </w:r>
      <w:r w:rsidR="004771CA">
        <w:rPr>
          <w:rFonts w:asciiTheme="majorEastAsia" w:eastAsiaTheme="majorEastAsia" w:hAnsiTheme="majorEastAsia" w:hint="eastAsia"/>
          <w:bCs/>
        </w:rPr>
        <w:t>浦发银行</w:t>
      </w:r>
      <w:r w:rsidR="004771CA" w:rsidRPr="002968B2">
        <w:rPr>
          <w:rFonts w:asciiTheme="majorEastAsia" w:eastAsiaTheme="majorEastAsia" w:hAnsiTheme="majorEastAsia" w:hint="eastAsia"/>
          <w:bCs/>
        </w:rPr>
        <w:t>”）</w:t>
      </w:r>
      <w:r w:rsidR="002968B2" w:rsidRPr="002968B2">
        <w:rPr>
          <w:rFonts w:asciiTheme="majorEastAsia" w:eastAsiaTheme="majorEastAsia" w:hAnsiTheme="majorEastAsia" w:hint="eastAsia"/>
          <w:bCs/>
        </w:rPr>
        <w:t>的关联方，国泰海通证券的实际控制人上海国际集团有限公司系</w:t>
      </w:r>
      <w:r w:rsidR="004771CA">
        <w:rPr>
          <w:rFonts w:asciiTheme="majorEastAsia" w:eastAsiaTheme="majorEastAsia" w:hAnsiTheme="majorEastAsia" w:hint="eastAsia"/>
          <w:bCs/>
        </w:rPr>
        <w:t>浦发银行</w:t>
      </w:r>
      <w:r w:rsidR="002968B2" w:rsidRPr="002968B2">
        <w:rPr>
          <w:rFonts w:asciiTheme="majorEastAsia" w:eastAsiaTheme="majorEastAsia" w:hAnsiTheme="majorEastAsia" w:hint="eastAsia"/>
          <w:bCs/>
        </w:rPr>
        <w:t>的主要股东。</w:t>
      </w:r>
      <w:r w:rsidR="00392F33" w:rsidRPr="00392F33">
        <w:rPr>
          <w:rFonts w:asciiTheme="majorEastAsia" w:eastAsiaTheme="majorEastAsia" w:hAnsiTheme="majorEastAsia" w:hint="eastAsia"/>
        </w:rPr>
        <w:t>锐翔智能</w:t>
      </w:r>
      <w:r w:rsidRPr="00C251FE">
        <w:rPr>
          <w:rFonts w:asciiTheme="majorEastAsia" w:eastAsiaTheme="majorEastAsia" w:hAnsiTheme="majorEastAsia" w:hint="eastAsia"/>
        </w:rPr>
        <w:t>本次发行价格为</w:t>
      </w:r>
      <w:r w:rsidR="00392F33" w:rsidRPr="00392F33">
        <w:rPr>
          <w:rFonts w:asciiTheme="majorEastAsia" w:eastAsiaTheme="majorEastAsia" w:hAnsiTheme="majorEastAsia"/>
        </w:rPr>
        <w:t>29.47</w:t>
      </w:r>
      <w:r w:rsidRPr="00C251FE">
        <w:rPr>
          <w:rFonts w:asciiTheme="majorEastAsia" w:eastAsiaTheme="majorEastAsia" w:hAnsiTheme="majorEastAsia" w:hint="eastAsia"/>
        </w:rPr>
        <w:t>元</w:t>
      </w:r>
      <w:r w:rsidRPr="00C251FE">
        <w:rPr>
          <w:rFonts w:asciiTheme="majorEastAsia" w:eastAsiaTheme="majorEastAsia" w:hAnsiTheme="majorEastAsia" w:hint="eastAsia"/>
        </w:rPr>
        <w:t>/</w:t>
      </w:r>
      <w:r w:rsidRPr="00C251FE">
        <w:rPr>
          <w:rFonts w:asciiTheme="majorEastAsia" w:eastAsiaTheme="majorEastAsia" w:hAnsiTheme="majorEastAsia" w:hint="eastAsia"/>
        </w:rPr>
        <w:t>股，</w:t>
      </w:r>
      <w:r w:rsidRPr="009F700D">
        <w:rPr>
          <w:rFonts w:asciiTheme="majorEastAsia" w:eastAsiaTheme="majorEastAsia" w:hAnsiTheme="majorEastAsia" w:hint="eastAsia"/>
        </w:rPr>
        <w:t>由</w:t>
      </w:r>
      <w:r w:rsidR="00392F33" w:rsidRPr="00392F33">
        <w:rPr>
          <w:rFonts w:asciiTheme="majorEastAsia" w:eastAsiaTheme="majorEastAsia" w:hAnsiTheme="majorEastAsia" w:hint="eastAsia"/>
        </w:rPr>
        <w:t>发行人和保荐机构（主承销商）根据发行人所属行业、市场情况、同行业可比公司估值水平、募集资金需求等因素</w:t>
      </w:r>
      <w:r w:rsidR="00954324">
        <w:rPr>
          <w:rFonts w:asciiTheme="majorEastAsia" w:eastAsiaTheme="majorEastAsia" w:hAnsiTheme="majorEastAsia" w:hint="eastAsia"/>
        </w:rPr>
        <w:t>协商</w:t>
      </w:r>
      <w:r w:rsidRPr="00C251FE">
        <w:rPr>
          <w:rFonts w:asciiTheme="majorEastAsia" w:eastAsiaTheme="majorEastAsia" w:hAnsiTheme="majorEastAsia" w:hint="eastAsia"/>
        </w:rPr>
        <w:t>确定。</w:t>
      </w:r>
    </w:p>
    <w:p w:rsidR="00177B3B" w:rsidRDefault="0010186C" w:rsidP="00177B3B">
      <w:pPr>
        <w:pStyle w:val="Default"/>
        <w:spacing w:line="360" w:lineRule="auto"/>
        <w:ind w:firstLineChars="210" w:firstLine="504"/>
        <w:rPr>
          <w:rFonts w:asciiTheme="majorEastAsia" w:eastAsiaTheme="majorEastAsia" w:hAnsiTheme="majorEastAsia"/>
        </w:rPr>
      </w:pPr>
      <w:r w:rsidRPr="001F12D1">
        <w:rPr>
          <w:rFonts w:asciiTheme="majorEastAsia" w:eastAsiaTheme="majorEastAsia" w:hAnsiTheme="majorEastAsia" w:hint="eastAsia"/>
        </w:rPr>
        <w:t>现将获配结果披露如下表：</w:t>
      </w:r>
    </w:p>
    <w:p w:rsidR="00A01BFB" w:rsidRPr="001F12D1" w:rsidRDefault="00A01BFB" w:rsidP="00177B3B">
      <w:pPr>
        <w:pStyle w:val="Default"/>
        <w:spacing w:line="360" w:lineRule="auto"/>
        <w:ind w:firstLineChars="210" w:firstLine="504"/>
        <w:rPr>
          <w:rFonts w:asciiTheme="majorEastAsia" w:eastAsiaTheme="majorEastAsia" w:hAnsiTheme="majorEastAsia"/>
        </w:rPr>
      </w:pPr>
    </w:p>
    <w:tbl>
      <w:tblPr>
        <w:tblW w:w="822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28"/>
        <w:gridCol w:w="1417"/>
        <w:gridCol w:w="1418"/>
        <w:gridCol w:w="1559"/>
      </w:tblGrid>
      <w:tr w:rsidR="00ED606C" w:rsidTr="00E214CB">
        <w:trPr>
          <w:trHeight w:val="290"/>
        </w:trPr>
        <w:tc>
          <w:tcPr>
            <w:tcW w:w="3828" w:type="dxa"/>
            <w:shd w:val="clear" w:color="auto" w:fill="auto"/>
            <w:noWrap/>
            <w:vAlign w:val="center"/>
            <w:hideMark/>
          </w:tcPr>
          <w:p w:rsidR="0090065F" w:rsidRPr="0090065F" w:rsidRDefault="0010186C" w:rsidP="0090065F">
            <w:pPr>
              <w:widowControl/>
              <w:jc w:val="center"/>
              <w:rPr>
                <w:rFonts w:ascii="宋体" w:hAnsi="宋体" w:cs="宋体"/>
                <w:color w:val="000000"/>
                <w:kern w:val="0"/>
                <w:szCs w:val="21"/>
              </w:rPr>
            </w:pPr>
            <w:r w:rsidRPr="0090065F">
              <w:rPr>
                <w:rFonts w:ascii="宋体" w:hAnsi="宋体" w:cs="宋体" w:hint="eastAsia"/>
                <w:color w:val="000000"/>
                <w:kern w:val="0"/>
                <w:szCs w:val="21"/>
              </w:rPr>
              <w:t>基金名称</w:t>
            </w:r>
          </w:p>
        </w:tc>
        <w:tc>
          <w:tcPr>
            <w:tcW w:w="1417" w:type="dxa"/>
            <w:shd w:val="clear" w:color="auto" w:fill="auto"/>
            <w:noWrap/>
            <w:vAlign w:val="center"/>
            <w:hideMark/>
          </w:tcPr>
          <w:p w:rsidR="0090065F" w:rsidRPr="0090065F" w:rsidRDefault="0010186C" w:rsidP="0090065F">
            <w:pPr>
              <w:widowControl/>
              <w:jc w:val="center"/>
              <w:rPr>
                <w:rFonts w:ascii="宋体" w:hAnsi="宋体" w:cs="宋体"/>
                <w:color w:val="000000"/>
                <w:kern w:val="0"/>
                <w:szCs w:val="21"/>
              </w:rPr>
            </w:pPr>
            <w:r w:rsidRPr="0090065F">
              <w:rPr>
                <w:rFonts w:ascii="宋体" w:hAnsi="宋体" w:cs="宋体" w:hint="eastAsia"/>
                <w:color w:val="000000"/>
                <w:kern w:val="0"/>
                <w:szCs w:val="21"/>
              </w:rPr>
              <w:t>获配数量（股）</w:t>
            </w:r>
          </w:p>
        </w:tc>
        <w:tc>
          <w:tcPr>
            <w:tcW w:w="1418" w:type="dxa"/>
            <w:shd w:val="clear" w:color="auto" w:fill="auto"/>
            <w:noWrap/>
            <w:vAlign w:val="center"/>
            <w:hideMark/>
          </w:tcPr>
          <w:p w:rsidR="0090065F" w:rsidRPr="0090065F" w:rsidRDefault="0010186C" w:rsidP="0090065F">
            <w:pPr>
              <w:widowControl/>
              <w:jc w:val="center"/>
              <w:rPr>
                <w:rFonts w:ascii="宋体" w:hAnsi="宋体" w:cs="宋体"/>
                <w:color w:val="000000"/>
                <w:kern w:val="0"/>
                <w:szCs w:val="21"/>
              </w:rPr>
            </w:pPr>
            <w:r w:rsidRPr="0090065F">
              <w:rPr>
                <w:rFonts w:ascii="宋体" w:hAnsi="宋体" w:cs="宋体" w:hint="eastAsia"/>
                <w:color w:val="000000"/>
                <w:kern w:val="0"/>
                <w:szCs w:val="21"/>
              </w:rPr>
              <w:t>获配金额（元）</w:t>
            </w:r>
          </w:p>
        </w:tc>
        <w:tc>
          <w:tcPr>
            <w:tcW w:w="1559" w:type="dxa"/>
            <w:shd w:val="clear" w:color="auto" w:fill="auto"/>
            <w:noWrap/>
            <w:vAlign w:val="center"/>
            <w:hideMark/>
          </w:tcPr>
          <w:p w:rsidR="0090065F" w:rsidRPr="0090065F" w:rsidRDefault="0010186C" w:rsidP="0090065F">
            <w:pPr>
              <w:widowControl/>
              <w:jc w:val="center"/>
              <w:rPr>
                <w:rFonts w:ascii="宋体" w:hAnsi="宋体" w:cs="宋体"/>
                <w:color w:val="000000"/>
                <w:kern w:val="0"/>
                <w:szCs w:val="21"/>
              </w:rPr>
            </w:pPr>
            <w:r w:rsidRPr="0090065F">
              <w:rPr>
                <w:rFonts w:ascii="宋体" w:hAnsi="宋体" w:cs="宋体" w:hint="eastAsia"/>
                <w:color w:val="000000"/>
                <w:kern w:val="0"/>
                <w:szCs w:val="21"/>
              </w:rPr>
              <w:t>基金托管人</w:t>
            </w:r>
          </w:p>
        </w:tc>
      </w:tr>
      <w:tr w:rsidR="00ED606C" w:rsidTr="00E214CB">
        <w:trPr>
          <w:trHeight w:val="290"/>
        </w:trPr>
        <w:tc>
          <w:tcPr>
            <w:tcW w:w="3828" w:type="dxa"/>
            <w:shd w:val="clear" w:color="auto" w:fill="auto"/>
            <w:noWrap/>
            <w:vAlign w:val="center"/>
            <w:hideMark/>
          </w:tcPr>
          <w:p w:rsidR="008856C7" w:rsidRPr="0090065F" w:rsidRDefault="0010186C" w:rsidP="008856C7">
            <w:pPr>
              <w:widowControl/>
              <w:jc w:val="center"/>
              <w:rPr>
                <w:rFonts w:ascii="宋体" w:hAnsi="宋体" w:cs="宋体"/>
                <w:color w:val="000000"/>
                <w:kern w:val="0"/>
                <w:szCs w:val="21"/>
              </w:rPr>
            </w:pPr>
            <w:r w:rsidRPr="0090065F">
              <w:rPr>
                <w:rFonts w:ascii="宋体" w:hAnsi="宋体" w:cs="宋体" w:hint="eastAsia"/>
                <w:color w:val="000000"/>
                <w:kern w:val="0"/>
                <w:szCs w:val="21"/>
              </w:rPr>
              <w:t>易方达中证</w:t>
            </w:r>
            <w:r w:rsidRPr="0090065F">
              <w:rPr>
                <w:rFonts w:ascii="宋体" w:hAnsi="宋体" w:cs="宋体" w:hint="eastAsia"/>
                <w:color w:val="000000"/>
                <w:kern w:val="0"/>
                <w:szCs w:val="21"/>
              </w:rPr>
              <w:t>1000</w:t>
            </w:r>
            <w:r w:rsidRPr="0090065F">
              <w:rPr>
                <w:rFonts w:ascii="宋体" w:hAnsi="宋体" w:cs="宋体" w:hint="eastAsia"/>
                <w:color w:val="000000"/>
                <w:kern w:val="0"/>
                <w:szCs w:val="21"/>
              </w:rPr>
              <w:t>交易型开放式指数证券投资基金</w:t>
            </w:r>
          </w:p>
        </w:tc>
        <w:tc>
          <w:tcPr>
            <w:tcW w:w="1417" w:type="dxa"/>
            <w:shd w:val="clear" w:color="000000" w:fill="FFFFFF"/>
            <w:noWrap/>
            <w:vAlign w:val="center"/>
            <w:hideMark/>
          </w:tcPr>
          <w:p w:rsidR="008856C7" w:rsidRPr="0090065F" w:rsidRDefault="0010186C" w:rsidP="008856C7">
            <w:pPr>
              <w:widowControl/>
              <w:jc w:val="right"/>
              <w:rPr>
                <w:rFonts w:ascii="宋体" w:hAnsi="宋体" w:cs="宋体"/>
                <w:color w:val="000000"/>
                <w:kern w:val="0"/>
                <w:szCs w:val="21"/>
              </w:rPr>
            </w:pPr>
            <w:r w:rsidRPr="00392F33">
              <w:rPr>
                <w:rFonts w:ascii="宋体" w:hAnsi="宋体" w:cs="宋体"/>
                <w:color w:val="000000"/>
                <w:kern w:val="0"/>
                <w:szCs w:val="21"/>
              </w:rPr>
              <w:t>300</w:t>
            </w:r>
          </w:p>
        </w:tc>
        <w:tc>
          <w:tcPr>
            <w:tcW w:w="1418" w:type="dxa"/>
            <w:shd w:val="clear" w:color="000000" w:fill="FFFFFF"/>
            <w:noWrap/>
            <w:vAlign w:val="center"/>
            <w:hideMark/>
          </w:tcPr>
          <w:p w:rsidR="008856C7" w:rsidRPr="0090065F" w:rsidRDefault="0010186C" w:rsidP="008856C7">
            <w:pPr>
              <w:widowControl/>
              <w:jc w:val="right"/>
              <w:rPr>
                <w:rFonts w:ascii="宋体" w:hAnsi="宋体" w:cs="宋体"/>
                <w:color w:val="000000"/>
                <w:kern w:val="0"/>
                <w:szCs w:val="21"/>
              </w:rPr>
            </w:pPr>
            <w:r w:rsidRPr="00392F33">
              <w:rPr>
                <w:rFonts w:ascii="宋体" w:hAnsi="宋体" w:cs="宋体"/>
                <w:color w:val="000000"/>
                <w:kern w:val="0"/>
                <w:szCs w:val="21"/>
              </w:rPr>
              <w:t>8,841.00</w:t>
            </w:r>
          </w:p>
        </w:tc>
        <w:tc>
          <w:tcPr>
            <w:tcW w:w="1559" w:type="dxa"/>
            <w:shd w:val="clear" w:color="auto" w:fill="auto"/>
            <w:noWrap/>
            <w:vAlign w:val="center"/>
            <w:hideMark/>
          </w:tcPr>
          <w:p w:rsidR="008856C7" w:rsidRPr="0090065F" w:rsidRDefault="0010186C" w:rsidP="008856C7">
            <w:pPr>
              <w:widowControl/>
              <w:jc w:val="center"/>
              <w:rPr>
                <w:rFonts w:ascii="宋体" w:hAnsi="宋体" w:cs="宋体"/>
                <w:color w:val="000000"/>
                <w:kern w:val="0"/>
                <w:szCs w:val="21"/>
              </w:rPr>
            </w:pPr>
            <w:r w:rsidRPr="0090065F">
              <w:rPr>
                <w:rFonts w:ascii="宋体" w:hAnsi="宋体" w:cs="宋体" w:hint="eastAsia"/>
                <w:color w:val="000000"/>
                <w:kern w:val="0"/>
                <w:szCs w:val="21"/>
              </w:rPr>
              <w:t>国泰海通证券</w:t>
            </w:r>
          </w:p>
        </w:tc>
      </w:tr>
      <w:tr w:rsidR="00ED606C" w:rsidTr="00E214CB">
        <w:trPr>
          <w:trHeight w:val="290"/>
        </w:trPr>
        <w:tc>
          <w:tcPr>
            <w:tcW w:w="3828" w:type="dxa"/>
            <w:shd w:val="clear" w:color="auto" w:fill="auto"/>
            <w:noWrap/>
            <w:vAlign w:val="center"/>
          </w:tcPr>
          <w:p w:rsidR="00392F33" w:rsidRPr="0090065F" w:rsidRDefault="0010186C" w:rsidP="00392F33">
            <w:pPr>
              <w:widowControl/>
              <w:jc w:val="center"/>
              <w:rPr>
                <w:rFonts w:ascii="宋体" w:hAnsi="宋体" w:cs="宋体"/>
                <w:color w:val="000000"/>
                <w:kern w:val="0"/>
                <w:szCs w:val="21"/>
              </w:rPr>
            </w:pPr>
            <w:r w:rsidRPr="00392F33">
              <w:rPr>
                <w:rFonts w:ascii="宋体" w:hAnsi="宋体" w:cs="宋体" w:hint="eastAsia"/>
                <w:color w:val="000000"/>
                <w:kern w:val="0"/>
                <w:szCs w:val="21"/>
              </w:rPr>
              <w:t>易方达裕丰回报债券型证券投资基金</w:t>
            </w:r>
          </w:p>
        </w:tc>
        <w:tc>
          <w:tcPr>
            <w:tcW w:w="1417" w:type="dxa"/>
            <w:shd w:val="clear" w:color="000000" w:fill="FFFFFF"/>
            <w:noWrap/>
            <w:vAlign w:val="center"/>
          </w:tcPr>
          <w:p w:rsidR="00392F33" w:rsidRPr="0090065F" w:rsidRDefault="0010186C" w:rsidP="00392F33">
            <w:pPr>
              <w:widowControl/>
              <w:jc w:val="right"/>
              <w:rPr>
                <w:rFonts w:ascii="宋体" w:hAnsi="宋体" w:cs="宋体"/>
                <w:color w:val="000000"/>
                <w:kern w:val="0"/>
                <w:szCs w:val="21"/>
              </w:rPr>
            </w:pPr>
            <w:r w:rsidRPr="00392F33">
              <w:rPr>
                <w:rFonts w:ascii="宋体" w:hAnsi="宋体" w:cs="宋体"/>
                <w:color w:val="000000"/>
                <w:kern w:val="0"/>
                <w:szCs w:val="21"/>
              </w:rPr>
              <w:t>300</w:t>
            </w:r>
          </w:p>
        </w:tc>
        <w:tc>
          <w:tcPr>
            <w:tcW w:w="1418" w:type="dxa"/>
            <w:shd w:val="clear" w:color="000000" w:fill="FFFFFF"/>
            <w:noWrap/>
            <w:vAlign w:val="center"/>
          </w:tcPr>
          <w:p w:rsidR="00392F33" w:rsidRPr="0090065F" w:rsidRDefault="0010186C" w:rsidP="00392F33">
            <w:pPr>
              <w:widowControl/>
              <w:jc w:val="right"/>
              <w:rPr>
                <w:rFonts w:ascii="宋体" w:hAnsi="宋体" w:cs="宋体"/>
                <w:color w:val="000000"/>
                <w:kern w:val="0"/>
                <w:szCs w:val="21"/>
              </w:rPr>
            </w:pPr>
            <w:r w:rsidRPr="00392F33">
              <w:rPr>
                <w:rFonts w:ascii="宋体" w:hAnsi="宋体" w:cs="宋体"/>
                <w:color w:val="000000"/>
                <w:kern w:val="0"/>
                <w:szCs w:val="21"/>
              </w:rPr>
              <w:t>8,841.00</w:t>
            </w:r>
          </w:p>
        </w:tc>
        <w:tc>
          <w:tcPr>
            <w:tcW w:w="1559" w:type="dxa"/>
            <w:shd w:val="clear" w:color="auto" w:fill="auto"/>
            <w:noWrap/>
            <w:vAlign w:val="center"/>
          </w:tcPr>
          <w:p w:rsidR="00392F33" w:rsidRPr="0090065F" w:rsidRDefault="0010186C" w:rsidP="00392F33">
            <w:pPr>
              <w:widowControl/>
              <w:jc w:val="center"/>
              <w:rPr>
                <w:rFonts w:ascii="宋体" w:hAnsi="宋体" w:cs="宋体"/>
                <w:color w:val="000000"/>
                <w:kern w:val="0"/>
                <w:szCs w:val="21"/>
              </w:rPr>
            </w:pPr>
            <w:r w:rsidRPr="0090065F">
              <w:rPr>
                <w:rFonts w:ascii="宋体" w:hAnsi="宋体" w:cs="宋体" w:hint="eastAsia"/>
                <w:color w:val="000000"/>
                <w:kern w:val="0"/>
                <w:szCs w:val="21"/>
              </w:rPr>
              <w:t>浦发银行</w:t>
            </w:r>
          </w:p>
        </w:tc>
      </w:tr>
      <w:tr w:rsidR="00ED606C" w:rsidTr="00E214CB">
        <w:trPr>
          <w:trHeight w:val="290"/>
        </w:trPr>
        <w:tc>
          <w:tcPr>
            <w:tcW w:w="3828" w:type="dxa"/>
            <w:shd w:val="clear" w:color="auto" w:fill="auto"/>
            <w:noWrap/>
            <w:vAlign w:val="center"/>
          </w:tcPr>
          <w:p w:rsidR="00392F33" w:rsidRPr="00BC4C66" w:rsidRDefault="0010186C" w:rsidP="00392F33">
            <w:pPr>
              <w:widowControl/>
              <w:jc w:val="center"/>
              <w:rPr>
                <w:rFonts w:ascii="宋体" w:hAnsi="宋体" w:cs="宋体"/>
                <w:color w:val="000000"/>
                <w:kern w:val="0"/>
                <w:szCs w:val="21"/>
              </w:rPr>
            </w:pPr>
            <w:r w:rsidRPr="00392F33">
              <w:rPr>
                <w:rFonts w:ascii="宋体" w:hAnsi="宋体" w:cs="宋体" w:hint="eastAsia"/>
                <w:color w:val="000000"/>
                <w:kern w:val="0"/>
                <w:szCs w:val="21"/>
              </w:rPr>
              <w:t>易方达瑞富灵活配置混合型证券投资基金</w:t>
            </w:r>
          </w:p>
        </w:tc>
        <w:tc>
          <w:tcPr>
            <w:tcW w:w="1417" w:type="dxa"/>
            <w:shd w:val="clear" w:color="000000" w:fill="FFFFFF"/>
            <w:noWrap/>
            <w:vAlign w:val="center"/>
          </w:tcPr>
          <w:p w:rsidR="00392F33" w:rsidRPr="0090065F" w:rsidRDefault="0010186C" w:rsidP="00392F33">
            <w:pPr>
              <w:widowControl/>
              <w:jc w:val="right"/>
              <w:rPr>
                <w:rFonts w:ascii="宋体" w:hAnsi="宋体" w:cs="宋体"/>
                <w:color w:val="000000"/>
                <w:kern w:val="0"/>
                <w:szCs w:val="21"/>
              </w:rPr>
            </w:pPr>
            <w:r w:rsidRPr="00392F33">
              <w:rPr>
                <w:rFonts w:ascii="宋体" w:hAnsi="宋体" w:cs="宋体"/>
                <w:color w:val="000000"/>
                <w:kern w:val="0"/>
                <w:szCs w:val="21"/>
              </w:rPr>
              <w:t>300</w:t>
            </w:r>
          </w:p>
        </w:tc>
        <w:tc>
          <w:tcPr>
            <w:tcW w:w="1418" w:type="dxa"/>
            <w:shd w:val="clear" w:color="000000" w:fill="FFFFFF"/>
            <w:noWrap/>
            <w:vAlign w:val="center"/>
          </w:tcPr>
          <w:p w:rsidR="00392F33" w:rsidRPr="0090065F" w:rsidRDefault="0010186C" w:rsidP="00392F33">
            <w:pPr>
              <w:widowControl/>
              <w:jc w:val="right"/>
              <w:rPr>
                <w:rFonts w:ascii="宋体" w:hAnsi="宋体" w:cs="宋体"/>
                <w:color w:val="000000"/>
                <w:kern w:val="0"/>
                <w:szCs w:val="21"/>
              </w:rPr>
            </w:pPr>
            <w:r w:rsidRPr="00392F33">
              <w:rPr>
                <w:rFonts w:ascii="宋体" w:hAnsi="宋体" w:cs="宋体"/>
                <w:color w:val="000000"/>
                <w:kern w:val="0"/>
                <w:szCs w:val="21"/>
              </w:rPr>
              <w:t>8,841.00</w:t>
            </w:r>
          </w:p>
        </w:tc>
        <w:tc>
          <w:tcPr>
            <w:tcW w:w="1559" w:type="dxa"/>
            <w:shd w:val="clear" w:color="auto" w:fill="auto"/>
            <w:noWrap/>
            <w:vAlign w:val="center"/>
          </w:tcPr>
          <w:p w:rsidR="00392F33" w:rsidRPr="0090065F" w:rsidRDefault="0010186C" w:rsidP="00392F33">
            <w:pPr>
              <w:widowControl/>
              <w:jc w:val="center"/>
              <w:rPr>
                <w:rFonts w:ascii="宋体" w:hAnsi="宋体" w:cs="宋体"/>
                <w:color w:val="000000"/>
                <w:kern w:val="0"/>
                <w:szCs w:val="21"/>
              </w:rPr>
            </w:pPr>
            <w:r w:rsidRPr="0090065F">
              <w:rPr>
                <w:rFonts w:ascii="宋体" w:hAnsi="宋体" w:cs="宋体" w:hint="eastAsia"/>
                <w:color w:val="000000"/>
                <w:kern w:val="0"/>
                <w:szCs w:val="21"/>
              </w:rPr>
              <w:t>浦发银行</w:t>
            </w:r>
          </w:p>
        </w:tc>
      </w:tr>
      <w:tr w:rsidR="00ED606C" w:rsidTr="00E214CB">
        <w:trPr>
          <w:trHeight w:val="290"/>
        </w:trPr>
        <w:tc>
          <w:tcPr>
            <w:tcW w:w="3828" w:type="dxa"/>
            <w:shd w:val="clear" w:color="auto" w:fill="auto"/>
            <w:noWrap/>
            <w:vAlign w:val="center"/>
            <w:hideMark/>
          </w:tcPr>
          <w:p w:rsidR="00392F33" w:rsidRPr="0090065F" w:rsidRDefault="0010186C" w:rsidP="00392F33">
            <w:pPr>
              <w:widowControl/>
              <w:jc w:val="center"/>
              <w:rPr>
                <w:rFonts w:ascii="宋体" w:hAnsi="宋体" w:cs="宋体"/>
                <w:color w:val="000000"/>
                <w:kern w:val="0"/>
                <w:szCs w:val="21"/>
              </w:rPr>
            </w:pPr>
            <w:r w:rsidRPr="00392F33">
              <w:rPr>
                <w:rFonts w:ascii="宋体" w:hAnsi="宋体" w:cs="宋体" w:hint="eastAsia"/>
                <w:color w:val="000000"/>
                <w:kern w:val="0"/>
                <w:szCs w:val="21"/>
              </w:rPr>
              <w:t>易方达裕祥回报债券型证券投资基金</w:t>
            </w:r>
          </w:p>
        </w:tc>
        <w:tc>
          <w:tcPr>
            <w:tcW w:w="1417" w:type="dxa"/>
            <w:shd w:val="clear" w:color="000000" w:fill="FFFFFF"/>
            <w:noWrap/>
            <w:vAlign w:val="center"/>
            <w:hideMark/>
          </w:tcPr>
          <w:p w:rsidR="00392F33" w:rsidRPr="0090065F" w:rsidRDefault="0010186C" w:rsidP="00392F33">
            <w:pPr>
              <w:widowControl/>
              <w:jc w:val="right"/>
              <w:rPr>
                <w:rFonts w:ascii="宋体" w:hAnsi="宋体" w:cs="宋体"/>
                <w:color w:val="000000"/>
                <w:kern w:val="0"/>
                <w:szCs w:val="21"/>
              </w:rPr>
            </w:pPr>
            <w:r w:rsidRPr="00392F33">
              <w:rPr>
                <w:rFonts w:ascii="宋体" w:hAnsi="宋体" w:cs="宋体"/>
                <w:color w:val="000000"/>
                <w:kern w:val="0"/>
                <w:szCs w:val="21"/>
              </w:rPr>
              <w:t>300</w:t>
            </w:r>
          </w:p>
        </w:tc>
        <w:tc>
          <w:tcPr>
            <w:tcW w:w="1418" w:type="dxa"/>
            <w:shd w:val="clear" w:color="000000" w:fill="FFFFFF"/>
            <w:noWrap/>
            <w:vAlign w:val="center"/>
            <w:hideMark/>
          </w:tcPr>
          <w:p w:rsidR="00392F33" w:rsidRPr="0090065F" w:rsidRDefault="0010186C" w:rsidP="00392F33">
            <w:pPr>
              <w:widowControl/>
              <w:jc w:val="right"/>
              <w:rPr>
                <w:rFonts w:ascii="宋体" w:hAnsi="宋体" w:cs="宋体"/>
                <w:color w:val="000000"/>
                <w:kern w:val="0"/>
                <w:szCs w:val="21"/>
              </w:rPr>
            </w:pPr>
            <w:r w:rsidRPr="00392F33">
              <w:rPr>
                <w:rFonts w:ascii="宋体" w:hAnsi="宋体" w:cs="宋体"/>
                <w:color w:val="000000"/>
                <w:kern w:val="0"/>
                <w:szCs w:val="21"/>
              </w:rPr>
              <w:t>8,841.00</w:t>
            </w:r>
          </w:p>
        </w:tc>
        <w:tc>
          <w:tcPr>
            <w:tcW w:w="1559" w:type="dxa"/>
            <w:shd w:val="clear" w:color="auto" w:fill="auto"/>
            <w:noWrap/>
            <w:vAlign w:val="center"/>
            <w:hideMark/>
          </w:tcPr>
          <w:p w:rsidR="00392F33" w:rsidRPr="0090065F" w:rsidRDefault="0010186C" w:rsidP="00392F33">
            <w:pPr>
              <w:widowControl/>
              <w:jc w:val="center"/>
              <w:rPr>
                <w:rFonts w:ascii="宋体" w:hAnsi="宋体" w:cs="宋体"/>
                <w:color w:val="000000"/>
                <w:kern w:val="0"/>
                <w:szCs w:val="21"/>
              </w:rPr>
            </w:pPr>
            <w:r w:rsidRPr="0090065F">
              <w:rPr>
                <w:rFonts w:ascii="宋体" w:hAnsi="宋体" w:cs="宋体" w:hint="eastAsia"/>
                <w:color w:val="000000"/>
                <w:kern w:val="0"/>
                <w:szCs w:val="21"/>
              </w:rPr>
              <w:t>浦发银行</w:t>
            </w:r>
          </w:p>
        </w:tc>
      </w:tr>
      <w:tr w:rsidR="00ED606C" w:rsidTr="00E214CB">
        <w:trPr>
          <w:trHeight w:val="290"/>
        </w:trPr>
        <w:tc>
          <w:tcPr>
            <w:tcW w:w="3828" w:type="dxa"/>
            <w:shd w:val="clear" w:color="auto" w:fill="auto"/>
            <w:noWrap/>
            <w:vAlign w:val="center"/>
          </w:tcPr>
          <w:p w:rsidR="00392F33" w:rsidRPr="0090065F" w:rsidRDefault="0010186C" w:rsidP="00392F33">
            <w:pPr>
              <w:widowControl/>
              <w:jc w:val="center"/>
              <w:rPr>
                <w:rFonts w:ascii="宋体" w:hAnsi="宋体" w:cs="宋体"/>
                <w:color w:val="000000"/>
                <w:kern w:val="0"/>
                <w:szCs w:val="21"/>
              </w:rPr>
            </w:pPr>
            <w:r w:rsidRPr="008856C7">
              <w:rPr>
                <w:rFonts w:ascii="宋体" w:hAnsi="宋体" w:cs="宋体" w:hint="eastAsia"/>
                <w:color w:val="000000"/>
                <w:kern w:val="0"/>
                <w:szCs w:val="21"/>
              </w:rPr>
              <w:t>易方达瑞通灵活配置混合型证券投资基金</w:t>
            </w:r>
          </w:p>
        </w:tc>
        <w:tc>
          <w:tcPr>
            <w:tcW w:w="1417" w:type="dxa"/>
            <w:shd w:val="clear" w:color="000000" w:fill="FFFFFF"/>
            <w:noWrap/>
            <w:vAlign w:val="center"/>
          </w:tcPr>
          <w:p w:rsidR="00392F33" w:rsidRPr="0090065F" w:rsidRDefault="0010186C" w:rsidP="00392F33">
            <w:pPr>
              <w:widowControl/>
              <w:jc w:val="right"/>
              <w:rPr>
                <w:rFonts w:ascii="宋体" w:hAnsi="宋体" w:cs="宋体"/>
                <w:color w:val="000000"/>
                <w:kern w:val="0"/>
                <w:szCs w:val="21"/>
              </w:rPr>
            </w:pPr>
            <w:r w:rsidRPr="00392F33">
              <w:rPr>
                <w:rFonts w:ascii="宋体" w:hAnsi="宋体" w:cs="宋体"/>
                <w:color w:val="000000"/>
                <w:kern w:val="0"/>
                <w:szCs w:val="21"/>
              </w:rPr>
              <w:t>300</w:t>
            </w:r>
          </w:p>
        </w:tc>
        <w:tc>
          <w:tcPr>
            <w:tcW w:w="1418" w:type="dxa"/>
            <w:shd w:val="clear" w:color="000000" w:fill="FFFFFF"/>
            <w:noWrap/>
            <w:vAlign w:val="center"/>
          </w:tcPr>
          <w:p w:rsidR="00392F33" w:rsidRPr="0090065F" w:rsidRDefault="0010186C" w:rsidP="00392F33">
            <w:pPr>
              <w:widowControl/>
              <w:jc w:val="right"/>
              <w:rPr>
                <w:rFonts w:ascii="宋体" w:hAnsi="宋体" w:cs="宋体"/>
                <w:color w:val="000000"/>
                <w:kern w:val="0"/>
                <w:szCs w:val="21"/>
              </w:rPr>
            </w:pPr>
            <w:r w:rsidRPr="00392F33">
              <w:rPr>
                <w:rFonts w:ascii="宋体" w:hAnsi="宋体" w:cs="宋体"/>
                <w:color w:val="000000"/>
                <w:kern w:val="0"/>
                <w:szCs w:val="21"/>
              </w:rPr>
              <w:t>8,841.00</w:t>
            </w:r>
          </w:p>
        </w:tc>
        <w:tc>
          <w:tcPr>
            <w:tcW w:w="1559" w:type="dxa"/>
            <w:shd w:val="clear" w:color="auto" w:fill="auto"/>
            <w:noWrap/>
            <w:vAlign w:val="center"/>
          </w:tcPr>
          <w:p w:rsidR="00392F33" w:rsidRPr="0090065F" w:rsidRDefault="0010186C" w:rsidP="00392F33">
            <w:pPr>
              <w:widowControl/>
              <w:jc w:val="center"/>
              <w:rPr>
                <w:rFonts w:ascii="宋体" w:hAnsi="宋体" w:cs="宋体"/>
                <w:color w:val="000000"/>
                <w:kern w:val="0"/>
                <w:szCs w:val="21"/>
              </w:rPr>
            </w:pPr>
            <w:r w:rsidRPr="0090065F">
              <w:rPr>
                <w:rFonts w:ascii="宋体" w:hAnsi="宋体" w:cs="宋体" w:hint="eastAsia"/>
                <w:color w:val="000000"/>
                <w:kern w:val="0"/>
                <w:szCs w:val="21"/>
              </w:rPr>
              <w:t>浦发银行</w:t>
            </w:r>
          </w:p>
        </w:tc>
      </w:tr>
      <w:tr w:rsidR="00ED606C" w:rsidTr="00E214CB">
        <w:trPr>
          <w:trHeight w:val="290"/>
        </w:trPr>
        <w:tc>
          <w:tcPr>
            <w:tcW w:w="3828" w:type="dxa"/>
            <w:shd w:val="clear" w:color="auto" w:fill="auto"/>
            <w:noWrap/>
            <w:vAlign w:val="center"/>
          </w:tcPr>
          <w:p w:rsidR="00392F33" w:rsidRPr="0090065F" w:rsidRDefault="0010186C" w:rsidP="00392F33">
            <w:pPr>
              <w:widowControl/>
              <w:jc w:val="center"/>
              <w:rPr>
                <w:rFonts w:ascii="宋体" w:hAnsi="宋体" w:cs="宋体"/>
                <w:color w:val="000000"/>
                <w:kern w:val="0"/>
                <w:szCs w:val="21"/>
              </w:rPr>
            </w:pPr>
            <w:r w:rsidRPr="00392F33">
              <w:rPr>
                <w:rFonts w:ascii="宋体" w:hAnsi="宋体" w:cs="宋体" w:hint="eastAsia"/>
                <w:color w:val="000000"/>
                <w:kern w:val="0"/>
                <w:szCs w:val="21"/>
              </w:rPr>
              <w:t>易方达瑞弘灵活配置混合型证券投资基金</w:t>
            </w:r>
          </w:p>
        </w:tc>
        <w:tc>
          <w:tcPr>
            <w:tcW w:w="1417" w:type="dxa"/>
            <w:shd w:val="clear" w:color="000000" w:fill="FFFFFF"/>
            <w:noWrap/>
            <w:vAlign w:val="center"/>
          </w:tcPr>
          <w:p w:rsidR="00392F33" w:rsidRPr="0090065F" w:rsidRDefault="0010186C" w:rsidP="00392F33">
            <w:pPr>
              <w:widowControl/>
              <w:jc w:val="right"/>
              <w:rPr>
                <w:rFonts w:ascii="宋体" w:hAnsi="宋体" w:cs="宋体"/>
                <w:color w:val="000000"/>
                <w:kern w:val="0"/>
                <w:szCs w:val="21"/>
              </w:rPr>
            </w:pPr>
            <w:r w:rsidRPr="00392F33">
              <w:rPr>
                <w:rFonts w:ascii="宋体" w:hAnsi="宋体" w:cs="宋体"/>
                <w:color w:val="000000"/>
                <w:kern w:val="0"/>
                <w:szCs w:val="21"/>
              </w:rPr>
              <w:t>300</w:t>
            </w:r>
          </w:p>
        </w:tc>
        <w:tc>
          <w:tcPr>
            <w:tcW w:w="1418" w:type="dxa"/>
            <w:shd w:val="clear" w:color="000000" w:fill="FFFFFF"/>
            <w:noWrap/>
            <w:vAlign w:val="center"/>
          </w:tcPr>
          <w:p w:rsidR="00392F33" w:rsidRPr="0090065F" w:rsidRDefault="0010186C" w:rsidP="00392F33">
            <w:pPr>
              <w:widowControl/>
              <w:jc w:val="right"/>
              <w:rPr>
                <w:rFonts w:ascii="宋体" w:hAnsi="宋体" w:cs="宋体"/>
                <w:color w:val="000000"/>
                <w:kern w:val="0"/>
                <w:szCs w:val="21"/>
              </w:rPr>
            </w:pPr>
            <w:r w:rsidRPr="00392F33">
              <w:rPr>
                <w:rFonts w:ascii="宋体" w:hAnsi="宋体" w:cs="宋体"/>
                <w:color w:val="000000"/>
                <w:kern w:val="0"/>
                <w:szCs w:val="21"/>
              </w:rPr>
              <w:t>8,841.00</w:t>
            </w:r>
          </w:p>
        </w:tc>
        <w:tc>
          <w:tcPr>
            <w:tcW w:w="1559" w:type="dxa"/>
            <w:shd w:val="clear" w:color="auto" w:fill="auto"/>
            <w:noWrap/>
            <w:vAlign w:val="center"/>
          </w:tcPr>
          <w:p w:rsidR="00392F33" w:rsidRPr="0090065F" w:rsidRDefault="0010186C" w:rsidP="00392F33">
            <w:pPr>
              <w:widowControl/>
              <w:jc w:val="center"/>
              <w:rPr>
                <w:rFonts w:ascii="宋体" w:hAnsi="宋体" w:cs="宋体"/>
                <w:color w:val="000000"/>
                <w:kern w:val="0"/>
                <w:szCs w:val="21"/>
              </w:rPr>
            </w:pPr>
            <w:r w:rsidRPr="0090065F">
              <w:rPr>
                <w:rFonts w:ascii="宋体" w:hAnsi="宋体" w:cs="宋体" w:hint="eastAsia"/>
                <w:color w:val="000000"/>
                <w:kern w:val="0"/>
                <w:szCs w:val="21"/>
              </w:rPr>
              <w:t>浦发银行</w:t>
            </w:r>
          </w:p>
        </w:tc>
      </w:tr>
      <w:tr w:rsidR="00ED606C" w:rsidTr="00E214CB">
        <w:trPr>
          <w:trHeight w:val="290"/>
        </w:trPr>
        <w:tc>
          <w:tcPr>
            <w:tcW w:w="3828" w:type="dxa"/>
            <w:shd w:val="clear" w:color="auto" w:fill="auto"/>
            <w:noWrap/>
            <w:vAlign w:val="center"/>
            <w:hideMark/>
          </w:tcPr>
          <w:p w:rsidR="00392F33" w:rsidRPr="0090065F" w:rsidRDefault="0010186C" w:rsidP="00392F33">
            <w:pPr>
              <w:widowControl/>
              <w:jc w:val="center"/>
              <w:rPr>
                <w:rFonts w:ascii="宋体" w:hAnsi="宋体" w:cs="宋体"/>
                <w:color w:val="000000"/>
                <w:kern w:val="0"/>
                <w:szCs w:val="21"/>
              </w:rPr>
            </w:pPr>
            <w:r w:rsidRPr="00392F33">
              <w:rPr>
                <w:rFonts w:ascii="宋体" w:hAnsi="宋体" w:cs="宋体" w:hint="eastAsia"/>
                <w:color w:val="000000"/>
                <w:kern w:val="0"/>
                <w:szCs w:val="21"/>
              </w:rPr>
              <w:t>易方达悦享一年持有期混合型证券投资基金</w:t>
            </w:r>
          </w:p>
        </w:tc>
        <w:tc>
          <w:tcPr>
            <w:tcW w:w="1417" w:type="dxa"/>
            <w:shd w:val="clear" w:color="000000" w:fill="FFFFFF"/>
            <w:noWrap/>
            <w:vAlign w:val="center"/>
            <w:hideMark/>
          </w:tcPr>
          <w:p w:rsidR="00392F33" w:rsidRPr="0090065F" w:rsidRDefault="0010186C" w:rsidP="00392F33">
            <w:pPr>
              <w:widowControl/>
              <w:jc w:val="right"/>
              <w:rPr>
                <w:rFonts w:ascii="宋体" w:hAnsi="宋体" w:cs="宋体"/>
                <w:color w:val="000000"/>
                <w:kern w:val="0"/>
                <w:szCs w:val="21"/>
              </w:rPr>
            </w:pPr>
            <w:r w:rsidRPr="00392F33">
              <w:rPr>
                <w:rFonts w:ascii="宋体" w:hAnsi="宋体" w:cs="宋体"/>
                <w:color w:val="000000"/>
                <w:kern w:val="0"/>
                <w:szCs w:val="21"/>
              </w:rPr>
              <w:t>300</w:t>
            </w:r>
          </w:p>
        </w:tc>
        <w:tc>
          <w:tcPr>
            <w:tcW w:w="1418" w:type="dxa"/>
            <w:shd w:val="clear" w:color="000000" w:fill="FFFFFF"/>
            <w:noWrap/>
            <w:vAlign w:val="center"/>
            <w:hideMark/>
          </w:tcPr>
          <w:p w:rsidR="00392F33" w:rsidRPr="0090065F" w:rsidRDefault="0010186C" w:rsidP="00392F33">
            <w:pPr>
              <w:widowControl/>
              <w:jc w:val="right"/>
              <w:rPr>
                <w:rFonts w:ascii="宋体" w:hAnsi="宋体" w:cs="宋体"/>
                <w:color w:val="000000"/>
                <w:kern w:val="0"/>
                <w:szCs w:val="21"/>
              </w:rPr>
            </w:pPr>
            <w:r w:rsidRPr="00392F33">
              <w:rPr>
                <w:rFonts w:ascii="宋体" w:hAnsi="宋体" w:cs="宋体"/>
                <w:color w:val="000000"/>
                <w:kern w:val="0"/>
                <w:szCs w:val="21"/>
              </w:rPr>
              <w:t>8,841.00</w:t>
            </w:r>
          </w:p>
        </w:tc>
        <w:tc>
          <w:tcPr>
            <w:tcW w:w="1559" w:type="dxa"/>
            <w:shd w:val="clear" w:color="auto" w:fill="auto"/>
            <w:noWrap/>
            <w:vAlign w:val="center"/>
            <w:hideMark/>
          </w:tcPr>
          <w:p w:rsidR="00392F33" w:rsidRPr="0090065F" w:rsidRDefault="0010186C" w:rsidP="00392F33">
            <w:pPr>
              <w:widowControl/>
              <w:jc w:val="center"/>
              <w:rPr>
                <w:rFonts w:ascii="宋体" w:hAnsi="宋体" w:cs="宋体"/>
                <w:color w:val="000000"/>
                <w:kern w:val="0"/>
                <w:szCs w:val="21"/>
              </w:rPr>
            </w:pPr>
            <w:r w:rsidRPr="0090065F">
              <w:rPr>
                <w:rFonts w:ascii="宋体" w:hAnsi="宋体" w:cs="宋体" w:hint="eastAsia"/>
                <w:color w:val="000000"/>
                <w:kern w:val="0"/>
                <w:szCs w:val="21"/>
              </w:rPr>
              <w:t>浦发银行</w:t>
            </w:r>
          </w:p>
        </w:tc>
      </w:tr>
      <w:tr w:rsidR="00ED606C" w:rsidTr="00E214CB">
        <w:trPr>
          <w:trHeight w:val="290"/>
        </w:trPr>
        <w:tc>
          <w:tcPr>
            <w:tcW w:w="3828" w:type="dxa"/>
            <w:shd w:val="clear" w:color="auto" w:fill="auto"/>
            <w:noWrap/>
            <w:vAlign w:val="center"/>
            <w:hideMark/>
          </w:tcPr>
          <w:p w:rsidR="00392F33" w:rsidRPr="0090065F" w:rsidRDefault="0010186C" w:rsidP="00392F33">
            <w:pPr>
              <w:widowControl/>
              <w:jc w:val="center"/>
              <w:rPr>
                <w:rFonts w:ascii="宋体" w:hAnsi="宋体" w:cs="宋体"/>
                <w:color w:val="000000"/>
                <w:kern w:val="0"/>
                <w:szCs w:val="21"/>
              </w:rPr>
            </w:pPr>
            <w:r w:rsidRPr="00392F33">
              <w:rPr>
                <w:rFonts w:ascii="宋体" w:hAnsi="宋体" w:cs="宋体" w:hint="eastAsia"/>
                <w:color w:val="000000"/>
                <w:kern w:val="0"/>
                <w:szCs w:val="21"/>
              </w:rPr>
              <w:t>易方达悦浦一年持有期混合型证券投资基金</w:t>
            </w:r>
          </w:p>
        </w:tc>
        <w:tc>
          <w:tcPr>
            <w:tcW w:w="1417" w:type="dxa"/>
            <w:shd w:val="clear" w:color="000000" w:fill="FFFFFF"/>
            <w:noWrap/>
            <w:vAlign w:val="center"/>
            <w:hideMark/>
          </w:tcPr>
          <w:p w:rsidR="00392F33" w:rsidRPr="0090065F" w:rsidRDefault="0010186C" w:rsidP="00392F33">
            <w:pPr>
              <w:widowControl/>
              <w:jc w:val="right"/>
              <w:rPr>
                <w:rFonts w:ascii="宋体" w:hAnsi="宋体" w:cs="宋体"/>
                <w:color w:val="000000"/>
                <w:kern w:val="0"/>
                <w:szCs w:val="21"/>
              </w:rPr>
            </w:pPr>
            <w:r w:rsidRPr="00392F33">
              <w:rPr>
                <w:rFonts w:ascii="宋体" w:hAnsi="宋体" w:cs="宋体"/>
                <w:color w:val="000000"/>
                <w:kern w:val="0"/>
                <w:szCs w:val="21"/>
              </w:rPr>
              <w:t>300</w:t>
            </w:r>
          </w:p>
        </w:tc>
        <w:tc>
          <w:tcPr>
            <w:tcW w:w="1418" w:type="dxa"/>
            <w:shd w:val="clear" w:color="000000" w:fill="FFFFFF"/>
            <w:noWrap/>
            <w:vAlign w:val="center"/>
            <w:hideMark/>
          </w:tcPr>
          <w:p w:rsidR="00392F33" w:rsidRPr="0090065F" w:rsidRDefault="0010186C" w:rsidP="00392F33">
            <w:pPr>
              <w:widowControl/>
              <w:jc w:val="right"/>
              <w:rPr>
                <w:rFonts w:ascii="宋体" w:hAnsi="宋体" w:cs="宋体"/>
                <w:color w:val="000000"/>
                <w:kern w:val="0"/>
                <w:szCs w:val="21"/>
              </w:rPr>
            </w:pPr>
            <w:r w:rsidRPr="00392F33">
              <w:rPr>
                <w:rFonts w:ascii="宋体" w:hAnsi="宋体" w:cs="宋体"/>
                <w:color w:val="000000"/>
                <w:kern w:val="0"/>
                <w:szCs w:val="21"/>
              </w:rPr>
              <w:t>8,841.00</w:t>
            </w:r>
          </w:p>
        </w:tc>
        <w:tc>
          <w:tcPr>
            <w:tcW w:w="1559" w:type="dxa"/>
            <w:shd w:val="clear" w:color="auto" w:fill="auto"/>
            <w:noWrap/>
            <w:vAlign w:val="center"/>
            <w:hideMark/>
          </w:tcPr>
          <w:p w:rsidR="00392F33" w:rsidRPr="0090065F" w:rsidRDefault="0010186C" w:rsidP="00392F33">
            <w:pPr>
              <w:widowControl/>
              <w:jc w:val="center"/>
              <w:rPr>
                <w:rFonts w:ascii="宋体" w:hAnsi="宋体" w:cs="宋体"/>
                <w:color w:val="000000"/>
                <w:kern w:val="0"/>
                <w:szCs w:val="21"/>
              </w:rPr>
            </w:pPr>
            <w:r w:rsidRPr="0090065F">
              <w:rPr>
                <w:rFonts w:ascii="宋体" w:hAnsi="宋体" w:cs="宋体" w:hint="eastAsia"/>
                <w:color w:val="000000"/>
                <w:kern w:val="0"/>
                <w:szCs w:val="21"/>
              </w:rPr>
              <w:t>浦发银行</w:t>
            </w:r>
          </w:p>
        </w:tc>
      </w:tr>
      <w:tr w:rsidR="00ED606C" w:rsidTr="00E214CB">
        <w:trPr>
          <w:trHeight w:val="290"/>
        </w:trPr>
        <w:tc>
          <w:tcPr>
            <w:tcW w:w="3828" w:type="dxa"/>
            <w:shd w:val="clear" w:color="auto" w:fill="auto"/>
            <w:noWrap/>
            <w:vAlign w:val="center"/>
          </w:tcPr>
          <w:p w:rsidR="00392F33" w:rsidRPr="0090065F" w:rsidRDefault="0010186C" w:rsidP="00392F33">
            <w:pPr>
              <w:widowControl/>
              <w:jc w:val="center"/>
              <w:rPr>
                <w:rFonts w:ascii="宋体" w:hAnsi="宋体" w:cs="宋体"/>
                <w:color w:val="000000"/>
                <w:kern w:val="0"/>
                <w:szCs w:val="21"/>
              </w:rPr>
            </w:pPr>
            <w:r>
              <w:t>易方达稳健回报混合型证券投资基金</w:t>
            </w:r>
          </w:p>
        </w:tc>
        <w:tc>
          <w:tcPr>
            <w:tcW w:w="1417" w:type="dxa"/>
            <w:shd w:val="clear" w:color="000000" w:fill="FFFFFF"/>
            <w:noWrap/>
            <w:vAlign w:val="center"/>
          </w:tcPr>
          <w:p w:rsidR="00392F33" w:rsidRPr="0090065F" w:rsidRDefault="0010186C" w:rsidP="00392F33">
            <w:pPr>
              <w:widowControl/>
              <w:jc w:val="right"/>
              <w:rPr>
                <w:rFonts w:ascii="宋体" w:hAnsi="宋体" w:cs="宋体"/>
                <w:color w:val="000000"/>
                <w:kern w:val="0"/>
                <w:szCs w:val="21"/>
              </w:rPr>
            </w:pPr>
            <w:r w:rsidRPr="00392F33">
              <w:rPr>
                <w:rFonts w:ascii="宋体" w:hAnsi="宋体" w:cs="宋体"/>
                <w:color w:val="000000"/>
                <w:kern w:val="0"/>
                <w:szCs w:val="21"/>
              </w:rPr>
              <w:t>300</w:t>
            </w:r>
          </w:p>
        </w:tc>
        <w:tc>
          <w:tcPr>
            <w:tcW w:w="1418" w:type="dxa"/>
            <w:shd w:val="clear" w:color="000000" w:fill="FFFFFF"/>
            <w:noWrap/>
            <w:vAlign w:val="center"/>
          </w:tcPr>
          <w:p w:rsidR="00392F33" w:rsidRPr="0090065F" w:rsidRDefault="0010186C" w:rsidP="00392F33">
            <w:pPr>
              <w:widowControl/>
              <w:jc w:val="right"/>
              <w:rPr>
                <w:rFonts w:ascii="宋体" w:hAnsi="宋体" w:cs="宋体"/>
                <w:color w:val="000000"/>
                <w:kern w:val="0"/>
                <w:szCs w:val="21"/>
              </w:rPr>
            </w:pPr>
            <w:r w:rsidRPr="00392F33">
              <w:rPr>
                <w:rFonts w:ascii="宋体" w:hAnsi="宋体" w:cs="宋体"/>
                <w:color w:val="000000"/>
                <w:kern w:val="0"/>
                <w:szCs w:val="21"/>
              </w:rPr>
              <w:t>8,841.00</w:t>
            </w:r>
          </w:p>
        </w:tc>
        <w:tc>
          <w:tcPr>
            <w:tcW w:w="1559" w:type="dxa"/>
            <w:shd w:val="clear" w:color="auto" w:fill="auto"/>
            <w:noWrap/>
            <w:vAlign w:val="center"/>
          </w:tcPr>
          <w:p w:rsidR="00392F33" w:rsidRPr="0090065F" w:rsidRDefault="0010186C" w:rsidP="00392F33">
            <w:pPr>
              <w:widowControl/>
              <w:jc w:val="center"/>
              <w:rPr>
                <w:rFonts w:ascii="宋体" w:hAnsi="宋体" w:cs="宋体"/>
                <w:color w:val="000000"/>
                <w:kern w:val="0"/>
                <w:szCs w:val="21"/>
              </w:rPr>
            </w:pPr>
            <w:r w:rsidRPr="0090065F">
              <w:rPr>
                <w:rFonts w:ascii="宋体" w:hAnsi="宋体" w:cs="宋体" w:hint="eastAsia"/>
                <w:color w:val="000000"/>
                <w:kern w:val="0"/>
                <w:szCs w:val="21"/>
              </w:rPr>
              <w:t>浦发银行</w:t>
            </w:r>
          </w:p>
        </w:tc>
      </w:tr>
    </w:tbl>
    <w:p w:rsidR="0090065F" w:rsidRPr="001F12D1" w:rsidRDefault="0090065F" w:rsidP="00177B3B">
      <w:pPr>
        <w:widowControl/>
        <w:spacing w:line="360" w:lineRule="auto"/>
        <w:jc w:val="left"/>
        <w:rPr>
          <w:rFonts w:asciiTheme="majorEastAsia" w:eastAsiaTheme="majorEastAsia" w:hAnsiTheme="majorEastAsia"/>
          <w:kern w:val="0"/>
          <w:sz w:val="24"/>
          <w:szCs w:val="24"/>
        </w:rPr>
      </w:pPr>
    </w:p>
    <w:p w:rsidR="00177B3B" w:rsidRPr="001F12D1" w:rsidRDefault="0010186C" w:rsidP="00177B3B">
      <w:pPr>
        <w:widowControl/>
        <w:spacing w:line="360" w:lineRule="auto"/>
        <w:ind w:firstLine="480"/>
        <w:jc w:val="left"/>
        <w:rPr>
          <w:rFonts w:asciiTheme="majorEastAsia" w:eastAsiaTheme="majorEastAsia" w:hAnsiTheme="majorEastAsia" w:cs="宋体"/>
          <w:kern w:val="0"/>
          <w:sz w:val="24"/>
        </w:rPr>
      </w:pPr>
      <w:r w:rsidRPr="001F12D1">
        <w:rPr>
          <w:rFonts w:asciiTheme="majorEastAsia" w:eastAsiaTheme="majorEastAsia" w:hAnsiTheme="majorEastAsia" w:cs="宋体" w:hint="eastAsia"/>
          <w:kern w:val="0"/>
          <w:sz w:val="24"/>
        </w:rPr>
        <w:t>特此公告。</w:t>
      </w:r>
    </w:p>
    <w:p w:rsidR="00177B3B" w:rsidRPr="001F12D1" w:rsidRDefault="0010186C" w:rsidP="00177B3B">
      <w:pPr>
        <w:widowControl/>
        <w:spacing w:line="360" w:lineRule="auto"/>
        <w:ind w:firstLine="480"/>
        <w:jc w:val="left"/>
        <w:rPr>
          <w:rFonts w:asciiTheme="majorEastAsia" w:eastAsiaTheme="majorEastAsia" w:hAnsiTheme="majorEastAsia"/>
          <w:kern w:val="0"/>
          <w:sz w:val="24"/>
        </w:rPr>
      </w:pPr>
      <w:r w:rsidRPr="001F12D1">
        <w:rPr>
          <w:rFonts w:asciiTheme="majorEastAsia" w:eastAsiaTheme="majorEastAsia" w:hAnsiTheme="majorEastAsia"/>
          <w:kern w:val="0"/>
          <w:sz w:val="24"/>
        </w:rPr>
        <w:t> </w:t>
      </w:r>
    </w:p>
    <w:p w:rsidR="00177B3B" w:rsidRPr="001F12D1" w:rsidRDefault="0010186C" w:rsidP="00177B3B">
      <w:pPr>
        <w:widowControl/>
        <w:ind w:firstLineChars="200" w:firstLine="480"/>
        <w:jc w:val="right"/>
        <w:rPr>
          <w:rFonts w:asciiTheme="majorEastAsia" w:eastAsiaTheme="majorEastAsia" w:hAnsiTheme="majorEastAsia" w:cs="宋体"/>
          <w:kern w:val="0"/>
          <w:sz w:val="24"/>
        </w:rPr>
      </w:pPr>
      <w:r w:rsidRPr="001F12D1">
        <w:rPr>
          <w:rFonts w:asciiTheme="majorEastAsia" w:eastAsiaTheme="majorEastAsia" w:hAnsiTheme="majorEastAsia"/>
          <w:kern w:val="0"/>
          <w:sz w:val="24"/>
        </w:rPr>
        <w:lastRenderedPageBreak/>
        <w:t xml:space="preserve">    </w:t>
      </w:r>
      <w:r w:rsidRPr="001F12D1">
        <w:rPr>
          <w:rFonts w:asciiTheme="majorEastAsia" w:eastAsiaTheme="majorEastAsia" w:hAnsiTheme="majorEastAsia" w:cs="宋体" w:hint="eastAsia"/>
          <w:kern w:val="0"/>
          <w:sz w:val="24"/>
        </w:rPr>
        <w:t xml:space="preserve">　　　　　　　</w:t>
      </w:r>
    </w:p>
    <w:p w:rsidR="00177B3B" w:rsidRPr="005D6A40" w:rsidRDefault="0010186C" w:rsidP="00177B3B">
      <w:pPr>
        <w:widowControl/>
        <w:ind w:right="723" w:firstLineChars="200" w:firstLine="480"/>
        <w:jc w:val="right"/>
        <w:rPr>
          <w:rFonts w:asciiTheme="majorEastAsia" w:eastAsiaTheme="majorEastAsia" w:hAnsiTheme="majorEastAsia" w:cs="宋体"/>
          <w:kern w:val="0"/>
          <w:sz w:val="24"/>
        </w:rPr>
      </w:pPr>
      <w:r w:rsidRPr="005D6A40">
        <w:rPr>
          <w:rFonts w:asciiTheme="majorEastAsia" w:eastAsiaTheme="majorEastAsia" w:hAnsiTheme="majorEastAsia" w:cs="宋体" w:hint="eastAsia"/>
          <w:kern w:val="0"/>
          <w:sz w:val="24"/>
        </w:rPr>
        <w:t>易方达基金管理有限公司</w:t>
      </w:r>
    </w:p>
    <w:p w:rsidR="00F561F7" w:rsidRPr="00ED612C" w:rsidRDefault="0010186C" w:rsidP="00ED612C">
      <w:pPr>
        <w:widowControl/>
        <w:wordWrap w:val="0"/>
        <w:ind w:right="964"/>
        <w:jc w:val="right"/>
        <w:rPr>
          <w:rFonts w:asciiTheme="majorEastAsia" w:eastAsiaTheme="majorEastAsia" w:hAnsiTheme="majorEastAsia" w:cs="宋体"/>
          <w:kern w:val="0"/>
          <w:sz w:val="24"/>
          <w:szCs w:val="24"/>
        </w:rPr>
      </w:pPr>
      <w:r w:rsidRPr="0090065F">
        <w:rPr>
          <w:rFonts w:asciiTheme="majorEastAsia" w:eastAsiaTheme="majorEastAsia" w:hAnsiTheme="majorEastAsia" w:cs="宋体"/>
          <w:bCs/>
          <w:kern w:val="0"/>
          <w:sz w:val="24"/>
          <w:szCs w:val="24"/>
        </w:rPr>
        <w:t>202</w:t>
      </w:r>
      <w:r w:rsidR="008856C7">
        <w:rPr>
          <w:rFonts w:asciiTheme="majorEastAsia" w:eastAsiaTheme="majorEastAsia" w:hAnsiTheme="majorEastAsia" w:cs="宋体"/>
          <w:bCs/>
          <w:kern w:val="0"/>
          <w:sz w:val="24"/>
          <w:szCs w:val="24"/>
        </w:rPr>
        <w:t>6</w:t>
      </w:r>
      <w:r w:rsidRPr="0090065F">
        <w:rPr>
          <w:rFonts w:asciiTheme="majorEastAsia" w:eastAsiaTheme="majorEastAsia" w:hAnsiTheme="majorEastAsia" w:cs="宋体" w:hint="eastAsia"/>
          <w:bCs/>
          <w:kern w:val="0"/>
          <w:sz w:val="24"/>
          <w:szCs w:val="24"/>
        </w:rPr>
        <w:t>年</w:t>
      </w:r>
      <w:r w:rsidR="00B87E3C">
        <w:rPr>
          <w:rFonts w:asciiTheme="majorEastAsia" w:eastAsiaTheme="majorEastAsia" w:hAnsiTheme="majorEastAsia" w:cs="宋体"/>
          <w:bCs/>
          <w:kern w:val="0"/>
          <w:sz w:val="24"/>
          <w:szCs w:val="24"/>
        </w:rPr>
        <w:t>4</w:t>
      </w:r>
      <w:r w:rsidRPr="0090065F">
        <w:rPr>
          <w:rFonts w:asciiTheme="majorEastAsia" w:eastAsiaTheme="majorEastAsia" w:hAnsiTheme="majorEastAsia" w:cs="宋体" w:hint="eastAsia"/>
          <w:bCs/>
          <w:kern w:val="0"/>
          <w:sz w:val="24"/>
          <w:szCs w:val="24"/>
        </w:rPr>
        <w:t>月</w:t>
      </w:r>
      <w:r w:rsidR="00392F33">
        <w:rPr>
          <w:rFonts w:asciiTheme="majorEastAsia" w:eastAsiaTheme="majorEastAsia" w:hAnsiTheme="majorEastAsia" w:cs="宋体"/>
          <w:bCs/>
          <w:kern w:val="0"/>
          <w:sz w:val="24"/>
          <w:szCs w:val="24"/>
        </w:rPr>
        <w:t>30</w:t>
      </w:r>
      <w:bookmarkStart w:id="0" w:name="_GoBack"/>
      <w:bookmarkEnd w:id="0"/>
      <w:r w:rsidRPr="0090065F">
        <w:rPr>
          <w:rFonts w:asciiTheme="majorEastAsia" w:eastAsiaTheme="majorEastAsia" w:hAnsiTheme="majorEastAsia" w:cs="宋体" w:hint="eastAsia"/>
          <w:bCs/>
          <w:kern w:val="0"/>
          <w:sz w:val="24"/>
          <w:szCs w:val="24"/>
        </w:rPr>
        <w:t>日</w:t>
      </w:r>
    </w:p>
    <w:sectPr w:rsidR="00F561F7" w:rsidRPr="00ED612C" w:rsidSect="006D05F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KGWebUrl" w:val="http://idp.efunds.com.cn/api/v1/backend/docSyncController/downloadAnnFile.json?force=true&amp;fileName=%E6%98%93%E6%96%B9%E8%BE%BE%E5%9F%BA%E9%87%91%E7%AE%A1%E7%90%86%E6%9C%89%E9%99%90%E5%85%AC%E5%8F%B8%E5%85%B3%E4%BA%8E%E6%97%97%E4%B8%8B%E5%9F%BA%E9%87%91%E7%94%B3%E8%B4%AD%E4%B8%AD%E5%9B%BD%E7%A7%BB%E5%8A%A8%E6%9C%89%E9%99%90%E5%85%AC%E5%8F%B8%E9%A6%96%E6%AC%A1%E5%85%AC%E5%BC%80%E5%8F%91%E8%A1%8C%E8%82%A1%E7%A5%A8%E7%9A%84%E5%85%AC%E5%91%8A.docx&amp;fileId=ANN_DOC_11453&amp;t=1640338996799"/>
  </w:docVars>
  <w:rsids>
    <w:rsidRoot w:val="00D40F64"/>
    <w:rsid w:val="0001536A"/>
    <w:rsid w:val="00037F8D"/>
    <w:rsid w:val="00083996"/>
    <w:rsid w:val="000E1D22"/>
    <w:rsid w:val="000F1B3C"/>
    <w:rsid w:val="0010186C"/>
    <w:rsid w:val="00104016"/>
    <w:rsid w:val="0011592C"/>
    <w:rsid w:val="0012729F"/>
    <w:rsid w:val="00140532"/>
    <w:rsid w:val="00164126"/>
    <w:rsid w:val="00177B3B"/>
    <w:rsid w:val="0018047E"/>
    <w:rsid w:val="001C62C9"/>
    <w:rsid w:val="001E31BA"/>
    <w:rsid w:val="001E4F51"/>
    <w:rsid w:val="001F12D1"/>
    <w:rsid w:val="0022203A"/>
    <w:rsid w:val="00225437"/>
    <w:rsid w:val="00282BB5"/>
    <w:rsid w:val="002968B2"/>
    <w:rsid w:val="002A359B"/>
    <w:rsid w:val="002B36C1"/>
    <w:rsid w:val="002E42F7"/>
    <w:rsid w:val="002F12C4"/>
    <w:rsid w:val="002F32A5"/>
    <w:rsid w:val="002F3F94"/>
    <w:rsid w:val="00304C1B"/>
    <w:rsid w:val="00321AEA"/>
    <w:rsid w:val="0032467A"/>
    <w:rsid w:val="00351EB9"/>
    <w:rsid w:val="00392F33"/>
    <w:rsid w:val="003A7524"/>
    <w:rsid w:val="003C233C"/>
    <w:rsid w:val="003C560F"/>
    <w:rsid w:val="003C71CD"/>
    <w:rsid w:val="003F0261"/>
    <w:rsid w:val="0041754A"/>
    <w:rsid w:val="0042083E"/>
    <w:rsid w:val="00425E3F"/>
    <w:rsid w:val="00434C61"/>
    <w:rsid w:val="00445FC6"/>
    <w:rsid w:val="004771CA"/>
    <w:rsid w:val="004B32FF"/>
    <w:rsid w:val="004E5A83"/>
    <w:rsid w:val="004F1B0A"/>
    <w:rsid w:val="004F6949"/>
    <w:rsid w:val="005116B8"/>
    <w:rsid w:val="0052196E"/>
    <w:rsid w:val="00576FC1"/>
    <w:rsid w:val="00583015"/>
    <w:rsid w:val="00583174"/>
    <w:rsid w:val="005972B2"/>
    <w:rsid w:val="005B7224"/>
    <w:rsid w:val="005D049D"/>
    <w:rsid w:val="005D1206"/>
    <w:rsid w:val="005D572F"/>
    <w:rsid w:val="005D6A40"/>
    <w:rsid w:val="00632910"/>
    <w:rsid w:val="00636371"/>
    <w:rsid w:val="00643147"/>
    <w:rsid w:val="00682D73"/>
    <w:rsid w:val="0069676A"/>
    <w:rsid w:val="006B006F"/>
    <w:rsid w:val="006B6352"/>
    <w:rsid w:val="006C066C"/>
    <w:rsid w:val="006D05F5"/>
    <w:rsid w:val="007124FD"/>
    <w:rsid w:val="007263A6"/>
    <w:rsid w:val="007719BC"/>
    <w:rsid w:val="0077544C"/>
    <w:rsid w:val="007A3C4F"/>
    <w:rsid w:val="008578F7"/>
    <w:rsid w:val="00883F9A"/>
    <w:rsid w:val="008856C7"/>
    <w:rsid w:val="008E4A88"/>
    <w:rsid w:val="0090065F"/>
    <w:rsid w:val="00937D43"/>
    <w:rsid w:val="00954324"/>
    <w:rsid w:val="009E62F0"/>
    <w:rsid w:val="009F5D05"/>
    <w:rsid w:val="009F700D"/>
    <w:rsid w:val="00A01BFB"/>
    <w:rsid w:val="00A24DE8"/>
    <w:rsid w:val="00A414E5"/>
    <w:rsid w:val="00A528BA"/>
    <w:rsid w:val="00AD1CEF"/>
    <w:rsid w:val="00B1205F"/>
    <w:rsid w:val="00B20F09"/>
    <w:rsid w:val="00B56F95"/>
    <w:rsid w:val="00B87E3C"/>
    <w:rsid w:val="00BC0DAA"/>
    <w:rsid w:val="00BC4C66"/>
    <w:rsid w:val="00C251FE"/>
    <w:rsid w:val="00C35CB6"/>
    <w:rsid w:val="00C67BB8"/>
    <w:rsid w:val="00C85A50"/>
    <w:rsid w:val="00CB480D"/>
    <w:rsid w:val="00CE55DC"/>
    <w:rsid w:val="00D11E8C"/>
    <w:rsid w:val="00D34298"/>
    <w:rsid w:val="00D35931"/>
    <w:rsid w:val="00D40F64"/>
    <w:rsid w:val="00D41C77"/>
    <w:rsid w:val="00D503EF"/>
    <w:rsid w:val="00D75BCE"/>
    <w:rsid w:val="00DB7585"/>
    <w:rsid w:val="00DE6E12"/>
    <w:rsid w:val="00DF5CDD"/>
    <w:rsid w:val="00E00FAE"/>
    <w:rsid w:val="00E214CB"/>
    <w:rsid w:val="00E905FC"/>
    <w:rsid w:val="00EC7FBE"/>
    <w:rsid w:val="00ED606C"/>
    <w:rsid w:val="00ED612C"/>
    <w:rsid w:val="00EE1D32"/>
    <w:rsid w:val="00EE665B"/>
    <w:rsid w:val="00EF58BF"/>
    <w:rsid w:val="00EF791A"/>
    <w:rsid w:val="00F254EC"/>
    <w:rsid w:val="00F431E2"/>
    <w:rsid w:val="00F561F7"/>
    <w:rsid w:val="00F60BA1"/>
    <w:rsid w:val="00F649D0"/>
    <w:rsid w:val="00F72F45"/>
    <w:rsid w:val="00F830F1"/>
    <w:rsid w:val="00FB3A10"/>
    <w:rsid w:val="00FC6EF0"/>
    <w:rsid w:val="00FD70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C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34C61"/>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rsid w:val="00434C61"/>
    <w:rPr>
      <w:sz w:val="18"/>
      <w:szCs w:val="18"/>
    </w:rPr>
  </w:style>
  <w:style w:type="paragraph" w:styleId="a4">
    <w:name w:val="footer"/>
    <w:basedOn w:val="a"/>
    <w:link w:val="Char0"/>
    <w:uiPriority w:val="99"/>
    <w:unhideWhenUsed/>
    <w:rsid w:val="00434C61"/>
    <w:pPr>
      <w:tabs>
        <w:tab w:val="center" w:pos="4153"/>
        <w:tab w:val="right" w:pos="8306"/>
      </w:tabs>
      <w:snapToGrid w:val="0"/>
      <w:jc w:val="left"/>
    </w:pPr>
    <w:rPr>
      <w:kern w:val="0"/>
      <w:sz w:val="18"/>
      <w:szCs w:val="18"/>
    </w:rPr>
  </w:style>
  <w:style w:type="character" w:customStyle="1" w:styleId="Char0">
    <w:name w:val="页脚 Char"/>
    <w:link w:val="a4"/>
    <w:uiPriority w:val="99"/>
    <w:rsid w:val="00434C61"/>
    <w:rPr>
      <w:sz w:val="18"/>
      <w:szCs w:val="18"/>
    </w:rPr>
  </w:style>
  <w:style w:type="character" w:styleId="a5">
    <w:name w:val="annotation reference"/>
    <w:semiHidden/>
    <w:rsid w:val="00434C61"/>
    <w:rPr>
      <w:rFonts w:cs="Times New Roman"/>
      <w:sz w:val="21"/>
      <w:szCs w:val="21"/>
    </w:rPr>
  </w:style>
  <w:style w:type="paragraph" w:styleId="a6">
    <w:name w:val="annotation text"/>
    <w:basedOn w:val="a"/>
    <w:link w:val="Char1"/>
    <w:semiHidden/>
    <w:rsid w:val="00434C61"/>
    <w:pPr>
      <w:jc w:val="left"/>
    </w:pPr>
    <w:rPr>
      <w:kern w:val="0"/>
      <w:sz w:val="20"/>
      <w:szCs w:val="20"/>
    </w:rPr>
  </w:style>
  <w:style w:type="character" w:customStyle="1" w:styleId="Char1">
    <w:name w:val="批注文字 Char"/>
    <w:link w:val="a6"/>
    <w:semiHidden/>
    <w:rsid w:val="00434C61"/>
    <w:rPr>
      <w:rFonts w:ascii="Calibri" w:eastAsia="宋体" w:hAnsi="Calibri" w:cs="Times New Roman"/>
    </w:rPr>
  </w:style>
  <w:style w:type="paragraph" w:styleId="a7">
    <w:name w:val="Balloon Text"/>
    <w:basedOn w:val="a"/>
    <w:link w:val="Char2"/>
    <w:uiPriority w:val="99"/>
    <w:semiHidden/>
    <w:unhideWhenUsed/>
    <w:rsid w:val="00434C61"/>
    <w:rPr>
      <w:kern w:val="0"/>
      <w:sz w:val="18"/>
      <w:szCs w:val="18"/>
    </w:rPr>
  </w:style>
  <w:style w:type="character" w:customStyle="1" w:styleId="Char2">
    <w:name w:val="批注框文本 Char"/>
    <w:link w:val="a7"/>
    <w:uiPriority w:val="99"/>
    <w:semiHidden/>
    <w:rsid w:val="00434C61"/>
    <w:rPr>
      <w:rFonts w:ascii="Calibri" w:eastAsia="宋体" w:hAnsi="Calibri" w:cs="Times New Roman"/>
      <w:sz w:val="18"/>
      <w:szCs w:val="18"/>
    </w:rPr>
  </w:style>
  <w:style w:type="character" w:styleId="a8">
    <w:name w:val="Strong"/>
    <w:uiPriority w:val="99"/>
    <w:qFormat/>
    <w:rsid w:val="006B006F"/>
    <w:rPr>
      <w:rFonts w:ascii="Times New Roman" w:hAnsi="Times New Roman" w:cs="Times New Roman" w:hint="default"/>
      <w:b/>
      <w:bCs/>
    </w:rPr>
  </w:style>
  <w:style w:type="paragraph" w:customStyle="1" w:styleId="font14">
    <w:name w:val="font14"/>
    <w:basedOn w:val="a"/>
    <w:uiPriority w:val="99"/>
    <w:rsid w:val="006B006F"/>
    <w:pPr>
      <w:widowControl/>
      <w:spacing w:before="100" w:beforeAutospacing="1" w:after="100" w:afterAutospacing="1" w:line="360" w:lineRule="auto"/>
      <w:jc w:val="left"/>
    </w:pPr>
    <w:rPr>
      <w:rFonts w:ascii="宋体" w:hAnsi="宋体" w:cs="宋体"/>
      <w:kern w:val="0"/>
      <w:sz w:val="19"/>
      <w:szCs w:val="19"/>
    </w:rPr>
  </w:style>
  <w:style w:type="paragraph" w:customStyle="1" w:styleId="Default">
    <w:name w:val="Default"/>
    <w:rsid w:val="006B006F"/>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B759E-814D-4003-8FD6-031F87B91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Words>
  <Characters>717</Characters>
  <Application>Microsoft Office Word</Application>
  <DocSecurity>4</DocSecurity>
  <Lines>5</Lines>
  <Paragraphs>1</Paragraphs>
  <ScaleCrop>false</ScaleCrop>
  <Company/>
  <LinksUpToDate>false</LinksUpToDate>
  <CharactersWithSpaces>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2026-04-29T16:03:00Z</dcterms:created>
  <dcterms:modified xsi:type="dcterms:W3CDTF">2026-04-29T16:03:00Z</dcterms:modified>
</cp:coreProperties>
</file>