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727" w:rsidRDefault="00DD2137">
      <w:pPr>
        <w:pStyle w:val="div"/>
        <w:widowControl/>
        <w:jc w:val="center"/>
        <w:rPr>
          <w:rFonts w:ascii="黑体" w:eastAsia="黑体" w:hAnsi="黑体" w:cs="黑体"/>
          <w:kern w:val="0"/>
          <w:sz w:val="32"/>
          <w:szCs w:val="32"/>
        </w:rPr>
      </w:pPr>
      <w:r>
        <w:rPr>
          <w:rFonts w:ascii="黑体" w:eastAsia="黑体" w:hAnsi="黑体" w:hint="eastAsia"/>
          <w:bCs/>
          <w:sz w:val="32"/>
          <w:szCs w:val="32"/>
        </w:rPr>
        <w:t>嘉实原油证券投资基金（QDII-LOF）</w:t>
      </w:r>
      <w:r w:rsidR="00665B58" w:rsidRPr="00665B58">
        <w:rPr>
          <w:rFonts w:ascii="黑体" w:eastAsia="黑体" w:hAnsi="黑体" w:hint="eastAsia"/>
          <w:bCs/>
          <w:sz w:val="32"/>
          <w:szCs w:val="32"/>
        </w:rPr>
        <w:t>二级市场交易价格溢价风险提示公告</w:t>
      </w:r>
    </w:p>
    <w:p w:rsidR="00761727" w:rsidRDefault="00761727">
      <w:pPr>
        <w:pStyle w:val="p"/>
        <w:spacing w:line="360" w:lineRule="auto"/>
        <w:ind w:firstLine="480"/>
        <w:jc w:val="center"/>
        <w:rPr>
          <w:rFonts w:ascii="Times New Roman" w:eastAsia="Times New Roman" w:hAnsi="Times New Roman"/>
          <w:kern w:val="0"/>
          <w:sz w:val="24"/>
          <w:szCs w:val="24"/>
        </w:rPr>
      </w:pPr>
      <w:bookmarkStart w:id="0" w:name="_GoBack"/>
      <w:bookmarkEnd w:id="0"/>
    </w:p>
    <w:p w:rsidR="00761727" w:rsidRDefault="00B67A6F">
      <w:pPr>
        <w:pStyle w:val="div"/>
        <w:widowControl/>
        <w:spacing w:line="360" w:lineRule="auto"/>
        <w:ind w:firstLine="482"/>
        <w:rPr>
          <w:rFonts w:ascii="Times New Roman" w:eastAsia="Times New Roman" w:hAnsi="Times New Roman"/>
          <w:kern w:val="0"/>
          <w:sz w:val="24"/>
          <w:szCs w:val="24"/>
        </w:rPr>
      </w:pPr>
      <w:r>
        <w:rPr>
          <w:rFonts w:ascii="宋体" w:hAnsi="宋体" w:cs="宋体"/>
          <w:color w:val="000000" w:themeColor="text1"/>
          <w:kern w:val="0"/>
          <w:sz w:val="24"/>
          <w:szCs w:val="24"/>
        </w:rPr>
        <w:t>近期，</w:t>
      </w:r>
      <w:r w:rsidR="00DD2137" w:rsidRPr="00DD2137">
        <w:rPr>
          <w:rFonts w:ascii="宋体" w:hAnsi="宋体" w:cs="宋体" w:hint="eastAsia"/>
          <w:color w:val="000000" w:themeColor="text1"/>
          <w:kern w:val="0"/>
          <w:sz w:val="24"/>
          <w:szCs w:val="24"/>
        </w:rPr>
        <w:t>嘉实</w:t>
      </w:r>
      <w:r>
        <w:rPr>
          <w:rFonts w:ascii="宋体" w:hAnsi="宋体" w:cs="宋体"/>
          <w:color w:val="000000" w:themeColor="text1"/>
          <w:kern w:val="0"/>
          <w:sz w:val="24"/>
          <w:szCs w:val="24"/>
        </w:rPr>
        <w:t>基金管理有限公司（以下简称</w:t>
      </w:r>
      <w:r>
        <w:rPr>
          <w:rStyle w:val="custom"/>
          <w:rFonts w:ascii="宋体" w:hAnsi="宋体" w:cs="宋体"/>
          <w:color w:val="000000" w:themeColor="text1"/>
          <w:kern w:val="0"/>
          <w:sz w:val="24"/>
          <w:szCs w:val="24"/>
        </w:rPr>
        <w:t>“</w:t>
      </w:r>
      <w:r>
        <w:rPr>
          <w:rFonts w:ascii="宋体" w:hAnsi="宋体" w:cs="宋体"/>
          <w:color w:val="000000" w:themeColor="text1"/>
          <w:kern w:val="0"/>
          <w:sz w:val="24"/>
          <w:szCs w:val="24"/>
        </w:rPr>
        <w:t>本基金管理人</w:t>
      </w:r>
      <w:r>
        <w:rPr>
          <w:rStyle w:val="custom"/>
          <w:rFonts w:ascii="宋体" w:hAnsi="宋体" w:cs="宋体"/>
          <w:color w:val="000000" w:themeColor="text1"/>
          <w:kern w:val="0"/>
          <w:sz w:val="24"/>
          <w:szCs w:val="24"/>
        </w:rPr>
        <w:t>”</w:t>
      </w:r>
      <w:r>
        <w:rPr>
          <w:rFonts w:ascii="宋体" w:hAnsi="宋体" w:cs="宋体"/>
          <w:color w:val="000000" w:themeColor="text1"/>
          <w:kern w:val="0"/>
          <w:sz w:val="24"/>
          <w:szCs w:val="24"/>
        </w:rPr>
        <w:t>）旗下</w:t>
      </w:r>
      <w:r w:rsidR="00DD2137" w:rsidRPr="00DD2137">
        <w:rPr>
          <w:rFonts w:ascii="宋体" w:hAnsi="宋体" w:cs="宋体" w:hint="eastAsia"/>
          <w:color w:val="000000" w:themeColor="text1"/>
          <w:kern w:val="0"/>
          <w:sz w:val="24"/>
          <w:szCs w:val="24"/>
        </w:rPr>
        <w:t>嘉实原油证券投资基金（QDII-LOF）（</w:t>
      </w:r>
      <w:r>
        <w:rPr>
          <w:rFonts w:ascii="宋体" w:hAnsi="宋体" w:cs="宋体"/>
          <w:color w:val="000000" w:themeColor="text1"/>
          <w:kern w:val="0"/>
          <w:sz w:val="24"/>
          <w:szCs w:val="24"/>
        </w:rPr>
        <w:t>场内简称：</w:t>
      </w:r>
      <w:r w:rsidR="00DD2137" w:rsidRPr="00DD2137">
        <w:rPr>
          <w:rFonts w:ascii="宋体" w:hAnsi="宋体" w:cs="宋体" w:hint="eastAsia"/>
          <w:color w:val="000000" w:themeColor="text1"/>
          <w:kern w:val="0"/>
          <w:sz w:val="24"/>
          <w:szCs w:val="24"/>
        </w:rPr>
        <w:t>嘉实原油LOF</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基金</w:t>
      </w:r>
      <w:r>
        <w:rPr>
          <w:rFonts w:ascii="宋体" w:hAnsi="宋体" w:cs="宋体"/>
          <w:color w:val="000000" w:themeColor="text1"/>
          <w:kern w:val="0"/>
          <w:sz w:val="24"/>
          <w:szCs w:val="24"/>
        </w:rPr>
        <w:t>代码：</w:t>
      </w:r>
      <w:r w:rsidR="00DD2137" w:rsidRPr="00DD2137">
        <w:rPr>
          <w:rFonts w:ascii="宋体" w:hAnsi="宋体" w:cs="宋体"/>
          <w:color w:val="000000" w:themeColor="text1"/>
          <w:kern w:val="0"/>
          <w:sz w:val="24"/>
          <w:szCs w:val="24"/>
        </w:rPr>
        <w:t>160723</w:t>
      </w:r>
      <w:r>
        <w:rPr>
          <w:rFonts w:ascii="宋体" w:hAnsi="宋体" w:cs="宋体"/>
          <w:color w:val="000000" w:themeColor="text1"/>
          <w:kern w:val="0"/>
          <w:sz w:val="24"/>
          <w:szCs w:val="24"/>
        </w:rPr>
        <w:t>，以下简称</w:t>
      </w:r>
      <w:r>
        <w:rPr>
          <w:rStyle w:val="custom"/>
          <w:rFonts w:ascii="宋体" w:hAnsi="宋体" w:cs="宋体"/>
          <w:color w:val="000000" w:themeColor="text1"/>
          <w:kern w:val="0"/>
          <w:sz w:val="24"/>
          <w:szCs w:val="24"/>
        </w:rPr>
        <w:t>“</w:t>
      </w:r>
      <w:r>
        <w:rPr>
          <w:rFonts w:ascii="宋体" w:hAnsi="宋体" w:cs="宋体"/>
          <w:kern w:val="0"/>
          <w:sz w:val="24"/>
          <w:szCs w:val="24"/>
        </w:rPr>
        <w:t>本基金</w:t>
      </w:r>
      <w:r>
        <w:rPr>
          <w:rStyle w:val="custom"/>
          <w:rFonts w:ascii="宋体" w:hAnsi="宋体" w:cs="宋体"/>
          <w:kern w:val="0"/>
          <w:sz w:val="24"/>
          <w:szCs w:val="24"/>
        </w:rPr>
        <w:t>”</w:t>
      </w:r>
      <w:r>
        <w:rPr>
          <w:rFonts w:ascii="宋体" w:hAnsi="宋体" w:cs="宋体"/>
          <w:kern w:val="0"/>
          <w:sz w:val="24"/>
          <w:szCs w:val="24"/>
        </w:rPr>
        <w:t>）二级市场交易价格明显高于基金份额净值，出现较大幅度溢价。</w:t>
      </w:r>
      <w:bookmarkStart w:id="1" w:name="_Hlk223421640"/>
      <w:r w:rsidR="00DD2137" w:rsidRPr="00DD2137">
        <w:rPr>
          <w:rFonts w:ascii="宋体" w:hAnsi="宋体" w:cs="宋体" w:hint="eastAsia"/>
          <w:kern w:val="0"/>
          <w:sz w:val="24"/>
          <w:szCs w:val="24"/>
        </w:rPr>
        <w:t>2026年4月</w:t>
      </w:r>
      <w:r w:rsidR="00DD2137">
        <w:rPr>
          <w:rFonts w:ascii="宋体" w:hAnsi="宋体" w:cs="宋体"/>
          <w:kern w:val="0"/>
          <w:sz w:val="24"/>
          <w:szCs w:val="24"/>
        </w:rPr>
        <w:t>29</w:t>
      </w:r>
      <w:r w:rsidR="00DD2137" w:rsidRPr="00DD2137">
        <w:rPr>
          <w:rFonts w:ascii="宋体" w:hAnsi="宋体" w:cs="宋体" w:hint="eastAsia"/>
          <w:kern w:val="0"/>
          <w:sz w:val="24"/>
          <w:szCs w:val="24"/>
        </w:rPr>
        <w:t>日</w:t>
      </w:r>
      <w:r>
        <w:rPr>
          <w:rFonts w:ascii="宋体" w:hAnsi="宋体" w:cs="宋体" w:hint="eastAsia"/>
          <w:kern w:val="0"/>
          <w:sz w:val="24"/>
          <w:szCs w:val="24"/>
        </w:rPr>
        <w:t>，本基金二级市场的收盘价为</w:t>
      </w:r>
      <w:r w:rsidR="00DD2137">
        <w:rPr>
          <w:rFonts w:ascii="宋体" w:hAnsi="宋体" w:cs="宋体"/>
          <w:color w:val="000000" w:themeColor="text1"/>
          <w:kern w:val="0"/>
          <w:sz w:val="24"/>
          <w:szCs w:val="24"/>
        </w:rPr>
        <w:t>2.402</w:t>
      </w:r>
      <w:r>
        <w:rPr>
          <w:rFonts w:ascii="宋体" w:hAnsi="宋体" w:cs="宋体" w:hint="eastAsia"/>
          <w:color w:val="000000" w:themeColor="text1"/>
          <w:kern w:val="0"/>
          <w:sz w:val="24"/>
          <w:szCs w:val="24"/>
        </w:rPr>
        <w:t>元，截至</w:t>
      </w:r>
      <w:r w:rsidR="00DD2137">
        <w:rPr>
          <w:rFonts w:ascii="宋体" w:hAnsi="宋体" w:cs="宋体"/>
          <w:color w:val="000000" w:themeColor="text1"/>
          <w:kern w:val="0"/>
          <w:sz w:val="24"/>
          <w:szCs w:val="24"/>
        </w:rPr>
        <w:t>2026</w:t>
      </w:r>
      <w:r>
        <w:rPr>
          <w:rFonts w:ascii="宋体" w:hAnsi="宋体" w:cs="宋体" w:hint="eastAsia"/>
          <w:color w:val="000000" w:themeColor="text1"/>
          <w:kern w:val="0"/>
          <w:sz w:val="24"/>
          <w:szCs w:val="24"/>
        </w:rPr>
        <w:t>年</w:t>
      </w:r>
      <w:r w:rsidR="00DD2137">
        <w:rPr>
          <w:rFonts w:ascii="宋体" w:hAnsi="宋体" w:cs="宋体"/>
          <w:color w:val="000000" w:themeColor="text1"/>
          <w:kern w:val="0"/>
          <w:sz w:val="24"/>
          <w:szCs w:val="24"/>
        </w:rPr>
        <w:t>4</w:t>
      </w:r>
      <w:r>
        <w:rPr>
          <w:rFonts w:ascii="宋体" w:hAnsi="宋体" w:cs="宋体" w:hint="eastAsia"/>
          <w:color w:val="000000" w:themeColor="text1"/>
          <w:kern w:val="0"/>
          <w:sz w:val="24"/>
          <w:szCs w:val="24"/>
        </w:rPr>
        <w:t>月</w:t>
      </w:r>
      <w:r w:rsidR="00DD2137">
        <w:rPr>
          <w:rFonts w:ascii="宋体" w:hAnsi="宋体" w:cs="宋体"/>
          <w:color w:val="000000" w:themeColor="text1"/>
          <w:kern w:val="0"/>
          <w:sz w:val="24"/>
          <w:szCs w:val="24"/>
        </w:rPr>
        <w:t>2</w:t>
      </w:r>
      <w:r w:rsidR="001C2FF2">
        <w:rPr>
          <w:rFonts w:ascii="宋体" w:hAnsi="宋体" w:cs="宋体"/>
          <w:color w:val="000000" w:themeColor="text1"/>
          <w:kern w:val="0"/>
          <w:sz w:val="24"/>
          <w:szCs w:val="24"/>
        </w:rPr>
        <w:t>7</w:t>
      </w:r>
      <w:r>
        <w:rPr>
          <w:rFonts w:ascii="宋体" w:hAnsi="宋体" w:cs="宋体" w:hint="eastAsia"/>
          <w:kern w:val="0"/>
          <w:sz w:val="24"/>
          <w:szCs w:val="24"/>
        </w:rPr>
        <w:t>日，本基金基金份额净值</w:t>
      </w:r>
      <w:r>
        <w:rPr>
          <w:rFonts w:ascii="宋体" w:hAnsi="宋体" w:cs="宋体" w:hint="eastAsia"/>
          <w:color w:val="000000" w:themeColor="text1"/>
          <w:kern w:val="0"/>
          <w:sz w:val="24"/>
          <w:szCs w:val="24"/>
        </w:rPr>
        <w:t>为</w:t>
      </w:r>
      <w:r w:rsidR="00DD2137" w:rsidRPr="00DD2137">
        <w:rPr>
          <w:rFonts w:ascii="宋体" w:hAnsi="宋体" w:cs="宋体"/>
          <w:color w:val="000000" w:themeColor="text1"/>
          <w:kern w:val="0"/>
          <w:sz w:val="24"/>
          <w:szCs w:val="24"/>
        </w:rPr>
        <w:t>2.1125</w:t>
      </w:r>
      <w:r>
        <w:rPr>
          <w:rFonts w:ascii="宋体" w:hAnsi="宋体" w:cs="宋体" w:hint="eastAsia"/>
          <w:color w:val="000000" w:themeColor="text1"/>
          <w:kern w:val="0"/>
          <w:sz w:val="24"/>
          <w:szCs w:val="24"/>
        </w:rPr>
        <w:t>元</w:t>
      </w:r>
      <w:r>
        <w:rPr>
          <w:rFonts w:ascii="宋体" w:hAnsi="宋体" w:cs="宋体" w:hint="eastAsia"/>
          <w:kern w:val="0"/>
          <w:sz w:val="24"/>
          <w:szCs w:val="24"/>
        </w:rPr>
        <w:t>。</w:t>
      </w:r>
      <w:r>
        <w:rPr>
          <w:rFonts w:ascii="宋体" w:hAnsi="宋体" w:cs="宋体" w:hint="eastAsia"/>
          <w:b/>
          <w:bCs/>
          <w:color w:val="000000"/>
          <w:kern w:val="0"/>
          <w:sz w:val="24"/>
          <w:szCs w:val="24"/>
        </w:rPr>
        <w:t>特此郑重提醒广大投资者，应密切</w:t>
      </w:r>
      <w:r>
        <w:rPr>
          <w:rFonts w:ascii="宋体" w:hAnsi="宋体" w:cs="宋体"/>
          <w:b/>
          <w:bCs/>
          <w:color w:val="000000"/>
          <w:kern w:val="0"/>
          <w:sz w:val="24"/>
          <w:szCs w:val="24"/>
        </w:rPr>
        <w:t>关注二级市场交易价格溢价风险，</w:t>
      </w:r>
      <w:r>
        <w:rPr>
          <w:rFonts w:ascii="宋体" w:hAnsi="宋体" w:cs="宋体" w:hint="eastAsia"/>
          <w:b/>
          <w:bCs/>
          <w:color w:val="000000"/>
          <w:kern w:val="0"/>
          <w:sz w:val="24"/>
          <w:szCs w:val="24"/>
        </w:rPr>
        <w:t>审慎做出投资决策,</w:t>
      </w:r>
      <w:r>
        <w:rPr>
          <w:rFonts w:ascii="宋体" w:hAnsi="宋体" w:cs="宋体"/>
          <w:b/>
          <w:bCs/>
          <w:color w:val="000000"/>
          <w:kern w:val="0"/>
          <w:sz w:val="24"/>
          <w:szCs w:val="24"/>
        </w:rPr>
        <w:t>如盲目投资，后续可能</w:t>
      </w:r>
      <w:r>
        <w:rPr>
          <w:rFonts w:ascii="宋体" w:hAnsi="宋体" w:cs="宋体" w:hint="eastAsia"/>
          <w:b/>
          <w:bCs/>
          <w:color w:val="000000"/>
          <w:kern w:val="0"/>
          <w:sz w:val="24"/>
          <w:szCs w:val="24"/>
        </w:rPr>
        <w:t>遭受</w:t>
      </w:r>
      <w:r>
        <w:rPr>
          <w:rFonts w:ascii="宋体" w:hAnsi="宋体" w:cs="宋体"/>
          <w:b/>
          <w:bCs/>
          <w:color w:val="000000"/>
          <w:kern w:val="0"/>
          <w:sz w:val="24"/>
          <w:szCs w:val="24"/>
        </w:rPr>
        <w:t>重大损失</w:t>
      </w:r>
      <w:r>
        <w:rPr>
          <w:rFonts w:ascii="宋体" w:hAnsi="宋体" w:cs="宋体"/>
          <w:color w:val="000000"/>
          <w:kern w:val="0"/>
          <w:sz w:val="24"/>
          <w:szCs w:val="24"/>
        </w:rPr>
        <w:t>。</w:t>
      </w:r>
      <w:bookmarkEnd w:id="1"/>
    </w:p>
    <w:p w:rsidR="00761727" w:rsidRDefault="00B67A6F">
      <w:pPr>
        <w:pStyle w:val="div"/>
        <w:widowControl/>
        <w:spacing w:line="360" w:lineRule="auto"/>
        <w:ind w:firstLine="482"/>
        <w:rPr>
          <w:rFonts w:ascii="Times New Roman" w:eastAsia="Times New Roman" w:hAnsi="Times New Roman"/>
          <w:kern w:val="0"/>
          <w:sz w:val="24"/>
          <w:szCs w:val="24"/>
        </w:rPr>
      </w:pPr>
      <w:r>
        <w:rPr>
          <w:rFonts w:ascii="宋体" w:hAnsi="宋体" w:cs="宋体"/>
          <w:b/>
          <w:bCs/>
          <w:kern w:val="0"/>
          <w:sz w:val="24"/>
          <w:szCs w:val="24"/>
        </w:rPr>
        <w:t>若本基</w:t>
      </w:r>
      <w:r>
        <w:rPr>
          <w:rFonts w:ascii="宋体" w:hAnsi="宋体" w:cs="宋体"/>
          <w:b/>
          <w:bCs/>
          <w:color w:val="000000" w:themeColor="text1"/>
          <w:kern w:val="0"/>
          <w:sz w:val="24"/>
          <w:szCs w:val="24"/>
        </w:rPr>
        <w:t>金</w:t>
      </w:r>
      <w:r w:rsidR="00DD2137">
        <w:rPr>
          <w:rFonts w:ascii="宋体" w:hAnsi="宋体" w:cs="宋体"/>
          <w:b/>
          <w:bCs/>
          <w:color w:val="000000" w:themeColor="text1"/>
          <w:kern w:val="0"/>
          <w:sz w:val="24"/>
          <w:szCs w:val="24"/>
        </w:rPr>
        <w:t>2026</w:t>
      </w:r>
      <w:r>
        <w:rPr>
          <w:rFonts w:ascii="宋体" w:hAnsi="宋体" w:cs="宋体" w:hint="eastAsia"/>
          <w:b/>
          <w:bCs/>
          <w:color w:val="000000" w:themeColor="text1"/>
          <w:kern w:val="0"/>
          <w:sz w:val="24"/>
          <w:szCs w:val="24"/>
        </w:rPr>
        <w:t>年</w:t>
      </w:r>
      <w:r w:rsidR="00DD2137">
        <w:rPr>
          <w:rFonts w:ascii="宋体" w:hAnsi="宋体" w:cs="宋体" w:hint="eastAsia"/>
          <w:b/>
          <w:bCs/>
          <w:color w:val="000000" w:themeColor="text1"/>
          <w:kern w:val="0"/>
          <w:sz w:val="24"/>
          <w:szCs w:val="24"/>
        </w:rPr>
        <w:t>4</w:t>
      </w:r>
      <w:r>
        <w:rPr>
          <w:rFonts w:ascii="宋体" w:hAnsi="宋体" w:cs="宋体" w:hint="eastAsia"/>
          <w:b/>
          <w:bCs/>
          <w:color w:val="000000" w:themeColor="text1"/>
          <w:kern w:val="0"/>
          <w:sz w:val="24"/>
          <w:szCs w:val="24"/>
        </w:rPr>
        <w:t>月</w:t>
      </w:r>
      <w:r w:rsidR="00DD2137">
        <w:rPr>
          <w:rFonts w:ascii="宋体" w:hAnsi="宋体" w:cs="宋体"/>
          <w:b/>
          <w:bCs/>
          <w:color w:val="000000" w:themeColor="text1"/>
          <w:kern w:val="0"/>
          <w:sz w:val="24"/>
          <w:szCs w:val="24"/>
        </w:rPr>
        <w:t>30</w:t>
      </w:r>
      <w:r>
        <w:rPr>
          <w:rFonts w:ascii="宋体" w:hAnsi="宋体" w:cs="宋体" w:hint="eastAsia"/>
          <w:b/>
          <w:bCs/>
          <w:color w:val="000000" w:themeColor="text1"/>
          <w:kern w:val="0"/>
          <w:sz w:val="24"/>
          <w:szCs w:val="24"/>
        </w:rPr>
        <w:t>日</w:t>
      </w:r>
      <w:r>
        <w:rPr>
          <w:rFonts w:ascii="宋体" w:hAnsi="宋体" w:cs="宋体"/>
          <w:b/>
          <w:bCs/>
          <w:kern w:val="0"/>
          <w:sz w:val="24"/>
          <w:szCs w:val="24"/>
        </w:rPr>
        <w:t>二级市场交易价格溢价幅度未有效回落，本基金有权通过向深圳证券交易所申请盘中临时停牌、延长停牌时间</w:t>
      </w:r>
      <w:r>
        <w:rPr>
          <w:rFonts w:ascii="宋体" w:hAnsi="宋体" w:cs="宋体" w:hint="eastAsia"/>
          <w:b/>
          <w:bCs/>
          <w:kern w:val="0"/>
          <w:sz w:val="24"/>
          <w:szCs w:val="24"/>
        </w:rPr>
        <w:t>及连续停牌</w:t>
      </w:r>
      <w:r>
        <w:rPr>
          <w:rFonts w:ascii="宋体" w:hAnsi="宋体" w:cs="宋体"/>
          <w:b/>
          <w:bCs/>
          <w:kern w:val="0"/>
          <w:sz w:val="24"/>
          <w:szCs w:val="24"/>
        </w:rPr>
        <w:t>等措施，向市场警示风险，具体以届时公告为准。</w:t>
      </w:r>
    </w:p>
    <w:p w:rsidR="00761727" w:rsidRDefault="00B67A6F">
      <w:pPr>
        <w:pStyle w:val="div"/>
        <w:widowControl/>
        <w:spacing w:line="360" w:lineRule="auto"/>
        <w:ind w:firstLine="480"/>
        <w:jc w:val="left"/>
        <w:rPr>
          <w:rFonts w:ascii="Times New Roman" w:eastAsia="Times New Roman" w:hAnsi="Times New Roman"/>
          <w:kern w:val="0"/>
          <w:sz w:val="24"/>
          <w:szCs w:val="24"/>
        </w:rPr>
      </w:pPr>
      <w:r>
        <w:rPr>
          <w:rFonts w:ascii="宋体" w:hAnsi="宋体" w:cs="宋体"/>
          <w:kern w:val="0"/>
          <w:sz w:val="24"/>
          <w:szCs w:val="24"/>
        </w:rPr>
        <w:t>为此，本基金管理人声明如下：</w:t>
      </w:r>
    </w:p>
    <w:p w:rsidR="00761727" w:rsidRDefault="00B67A6F">
      <w:pPr>
        <w:pStyle w:val="div"/>
        <w:widowControl/>
        <w:spacing w:line="360" w:lineRule="auto"/>
        <w:ind w:firstLine="482"/>
        <w:rPr>
          <w:rFonts w:ascii="Times New Roman" w:eastAsia="Times New Roman" w:hAnsi="Times New Roman"/>
          <w:color w:val="C00000"/>
          <w:kern w:val="0"/>
          <w:sz w:val="24"/>
          <w:szCs w:val="24"/>
        </w:rPr>
      </w:pPr>
      <w:r>
        <w:rPr>
          <w:rStyle w:val="custom"/>
          <w:rFonts w:ascii="宋体" w:hAnsi="宋体" w:cs="宋体"/>
          <w:kern w:val="0"/>
          <w:sz w:val="24"/>
          <w:szCs w:val="24"/>
        </w:rPr>
        <w:t>1、本基金主要投资</w:t>
      </w:r>
      <w:r>
        <w:rPr>
          <w:rStyle w:val="custom"/>
          <w:rFonts w:ascii="宋体" w:hAnsi="宋体" w:cs="宋体" w:hint="eastAsia"/>
          <w:color w:val="000000" w:themeColor="text1"/>
          <w:kern w:val="0"/>
          <w:sz w:val="24"/>
          <w:szCs w:val="24"/>
        </w:rPr>
        <w:t>于</w:t>
      </w:r>
      <w:r w:rsidR="00DD2137" w:rsidRPr="00DD2137">
        <w:rPr>
          <w:rStyle w:val="custom"/>
          <w:rFonts w:ascii="宋体" w:hAnsi="宋体" w:cs="宋体" w:hint="eastAsia"/>
          <w:color w:val="000000" w:themeColor="text1"/>
          <w:kern w:val="0"/>
          <w:sz w:val="24"/>
          <w:szCs w:val="24"/>
        </w:rPr>
        <w:t>以跟踪原油价格指数或原油价格为投资目标的公募基金（包含ETF）</w:t>
      </w:r>
      <w:r>
        <w:rPr>
          <w:rStyle w:val="custom"/>
          <w:rFonts w:ascii="宋体" w:hAnsi="宋体" w:cs="宋体"/>
          <w:kern w:val="0"/>
          <w:sz w:val="24"/>
          <w:szCs w:val="24"/>
        </w:rPr>
        <w:t>，敬请投资者</w:t>
      </w:r>
      <w:r>
        <w:rPr>
          <w:rStyle w:val="custom"/>
          <w:rFonts w:ascii="宋体" w:hAnsi="宋体" w:cs="宋体" w:hint="eastAsia"/>
          <w:kern w:val="0"/>
          <w:sz w:val="24"/>
          <w:szCs w:val="24"/>
        </w:rPr>
        <w:t>关注产品</w:t>
      </w:r>
      <w:r>
        <w:rPr>
          <w:rStyle w:val="custom"/>
          <w:rFonts w:ascii="宋体" w:hAnsi="宋体" w:cs="宋体"/>
          <w:kern w:val="0"/>
          <w:sz w:val="24"/>
          <w:szCs w:val="24"/>
        </w:rPr>
        <w:t>风险，选择适合自身风险承受能力的产品进行投资。</w:t>
      </w:r>
    </w:p>
    <w:p w:rsidR="00761727" w:rsidRDefault="00B67A6F" w:rsidP="00100759">
      <w:pPr>
        <w:pStyle w:val="div"/>
        <w:widowControl/>
        <w:spacing w:line="360" w:lineRule="auto"/>
        <w:ind w:firstLine="482"/>
        <w:rPr>
          <w:rFonts w:ascii="宋体" w:hAnsi="宋体" w:cs="宋体"/>
          <w:kern w:val="0"/>
          <w:sz w:val="24"/>
          <w:szCs w:val="24"/>
        </w:rPr>
      </w:pPr>
      <w:r>
        <w:rPr>
          <w:rStyle w:val="custom"/>
          <w:rFonts w:ascii="宋体" w:hAnsi="宋体" w:cs="宋体"/>
          <w:kern w:val="0"/>
          <w:sz w:val="24"/>
          <w:szCs w:val="24"/>
        </w:rPr>
        <w:t>2、</w:t>
      </w:r>
      <w:r>
        <w:rPr>
          <w:rFonts w:ascii="宋体" w:hAnsi="宋体" w:cs="宋体" w:hint="eastAsia"/>
          <w:kern w:val="0"/>
          <w:sz w:val="24"/>
          <w:szCs w:val="24"/>
        </w:rPr>
        <w:t>投资者可在二级市场交易本基金，也可以申购、赎回本基金，</w:t>
      </w:r>
      <w:r>
        <w:rPr>
          <w:rFonts w:ascii="宋体" w:hAnsi="宋体" w:cs="宋体" w:hint="eastAsia"/>
          <w:b/>
          <w:bCs/>
          <w:kern w:val="0"/>
          <w:sz w:val="24"/>
          <w:szCs w:val="24"/>
        </w:rPr>
        <w:t>实际申赎状态请以最新公告为准。</w:t>
      </w:r>
      <w:bookmarkStart w:id="2" w:name="_Hlk220417954"/>
      <w:r>
        <w:rPr>
          <w:rFonts w:ascii="宋体" w:hAnsi="宋体" w:cs="宋体" w:hint="eastAsia"/>
          <w:kern w:val="0"/>
          <w:sz w:val="24"/>
          <w:szCs w:val="24"/>
        </w:rPr>
        <w:t>申购、赎回价格以申请当日的基金份额净值进行计算，投资者可通过基金管理人网站或交易行情系统查询本基金的最新份额净值。</w:t>
      </w:r>
      <w:r>
        <w:rPr>
          <w:rFonts w:ascii="宋体" w:hAnsi="宋体" w:cs="宋体"/>
          <w:kern w:val="0"/>
          <w:sz w:val="24"/>
          <w:szCs w:val="24"/>
        </w:rPr>
        <w:t>本基金二级市场的交易价格，除了有基金份额净值波动的风险外，还会受到市场供求关系、系统性风险、流动性风险等其他因素的影响，可能使投资者面临损失。</w:t>
      </w:r>
    </w:p>
    <w:bookmarkEnd w:id="2"/>
    <w:p w:rsidR="00761727" w:rsidRDefault="00B67A6F">
      <w:pPr>
        <w:pStyle w:val="div"/>
        <w:widowControl/>
        <w:spacing w:line="360" w:lineRule="auto"/>
        <w:ind w:firstLine="480"/>
        <w:jc w:val="left"/>
        <w:rPr>
          <w:rFonts w:ascii="Times New Roman" w:eastAsia="Times New Roman" w:hAnsi="Times New Roman"/>
          <w:b/>
          <w:bCs/>
          <w:kern w:val="0"/>
          <w:sz w:val="24"/>
          <w:szCs w:val="24"/>
        </w:rPr>
      </w:pPr>
      <w:r>
        <w:rPr>
          <w:rStyle w:val="custom"/>
          <w:rFonts w:ascii="宋体" w:hAnsi="宋体" w:cs="宋体"/>
          <w:kern w:val="0"/>
          <w:sz w:val="24"/>
          <w:szCs w:val="24"/>
        </w:rPr>
        <w:t>3、截至</w:t>
      </w:r>
      <w:r>
        <w:rPr>
          <w:rFonts w:ascii="宋体" w:hAnsi="宋体" w:cs="宋体"/>
          <w:kern w:val="0"/>
          <w:sz w:val="24"/>
          <w:szCs w:val="24"/>
        </w:rPr>
        <w:t>目前，本基金运作正常</w:t>
      </w:r>
      <w:r>
        <w:rPr>
          <w:rFonts w:ascii="宋体" w:hAnsi="宋体" w:cs="宋体" w:hint="eastAsia"/>
          <w:kern w:val="0"/>
          <w:sz w:val="24"/>
          <w:szCs w:val="24"/>
        </w:rPr>
        <w:t>且</w:t>
      </w:r>
      <w:r>
        <w:rPr>
          <w:rFonts w:ascii="宋体" w:hAnsi="宋体" w:cs="宋体"/>
          <w:kern w:val="0"/>
          <w:sz w:val="24"/>
          <w:szCs w:val="24"/>
        </w:rPr>
        <w:t>无其他应披露而未披露的重大信息</w:t>
      </w:r>
      <w:r>
        <w:rPr>
          <w:rFonts w:ascii="宋体" w:hAnsi="宋体" w:cs="宋体" w:hint="eastAsia"/>
          <w:kern w:val="0"/>
          <w:sz w:val="24"/>
          <w:szCs w:val="24"/>
        </w:rPr>
        <w:t>，</w:t>
      </w:r>
      <w:r>
        <w:rPr>
          <w:rFonts w:ascii="宋体" w:hAnsi="宋体" w:cs="宋体"/>
          <w:kern w:val="0"/>
          <w:sz w:val="24"/>
          <w:szCs w:val="24"/>
        </w:rPr>
        <w:t>本基金管理人仍将严格按照法律法规及基金合同的相关规定进行投资运作，及时做好信息披露工作。</w:t>
      </w:r>
    </w:p>
    <w:p w:rsidR="00761727" w:rsidRDefault="00B67A6F">
      <w:pPr>
        <w:pStyle w:val="div"/>
        <w:widowControl/>
        <w:spacing w:line="360" w:lineRule="auto"/>
        <w:ind w:firstLine="482"/>
        <w:rPr>
          <w:rFonts w:ascii="Times New Roman" w:eastAsia="Times New Roman" w:hAnsi="Times New Roman"/>
          <w:kern w:val="0"/>
          <w:sz w:val="24"/>
          <w:szCs w:val="24"/>
        </w:rPr>
      </w:pPr>
      <w:r>
        <w:rPr>
          <w:rFonts w:ascii="宋体" w:hAnsi="宋体" w:cs="宋体"/>
          <w:kern w:val="0"/>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w:t>
      </w:r>
      <w:r>
        <w:rPr>
          <w:rFonts w:ascii="宋体" w:hAnsi="宋体" w:cs="宋体"/>
          <w:kern w:val="0"/>
          <w:sz w:val="24"/>
          <w:szCs w:val="24"/>
        </w:rPr>
        <w:lastRenderedPageBreak/>
        <w:t>文件，全面认识基金产品的风险收益特征，在了解产品情况及听取销售机构适当性意见的基础上，根据自身的风险承受能力、投资期限和投资目标，对基金投资作出独立决策，选择合适的基金产品。基金管理人提醒投资者基金投资的</w:t>
      </w:r>
      <w:r>
        <w:rPr>
          <w:rStyle w:val="custom"/>
          <w:rFonts w:ascii="宋体" w:hAnsi="宋体" w:cs="宋体"/>
          <w:kern w:val="0"/>
          <w:sz w:val="24"/>
          <w:szCs w:val="24"/>
        </w:rPr>
        <w:t>“</w:t>
      </w:r>
      <w:r>
        <w:rPr>
          <w:rFonts w:ascii="宋体" w:hAnsi="宋体" w:cs="宋体"/>
          <w:kern w:val="0"/>
          <w:sz w:val="24"/>
          <w:szCs w:val="24"/>
        </w:rPr>
        <w:t>买者自负</w:t>
      </w:r>
      <w:r>
        <w:rPr>
          <w:rStyle w:val="custom"/>
          <w:rFonts w:ascii="宋体" w:hAnsi="宋体" w:cs="宋体"/>
          <w:kern w:val="0"/>
          <w:sz w:val="24"/>
          <w:szCs w:val="24"/>
        </w:rPr>
        <w:t>”</w:t>
      </w:r>
      <w:r>
        <w:rPr>
          <w:rFonts w:ascii="宋体" w:hAnsi="宋体" w:cs="宋体"/>
          <w:kern w:val="0"/>
          <w:sz w:val="24"/>
          <w:szCs w:val="24"/>
        </w:rPr>
        <w:t>原则，在投资者作出投资决策后，基金运营状况与基金净值变化引致的投资风险，由投资者自行负责。</w:t>
      </w:r>
    </w:p>
    <w:p w:rsidR="00761727" w:rsidRDefault="00B67A6F">
      <w:pPr>
        <w:pStyle w:val="div"/>
        <w:widowControl/>
        <w:spacing w:line="360" w:lineRule="auto"/>
        <w:ind w:firstLine="480"/>
        <w:jc w:val="left"/>
        <w:rPr>
          <w:rFonts w:ascii="Times New Roman" w:eastAsia="Times New Roman" w:hAnsi="Times New Roman"/>
          <w:kern w:val="0"/>
          <w:sz w:val="24"/>
          <w:szCs w:val="24"/>
        </w:rPr>
      </w:pPr>
      <w:r>
        <w:rPr>
          <w:rFonts w:ascii="宋体" w:hAnsi="宋体" w:cs="宋体"/>
          <w:kern w:val="0"/>
          <w:sz w:val="24"/>
          <w:szCs w:val="24"/>
        </w:rPr>
        <w:t>特此公告。</w:t>
      </w:r>
    </w:p>
    <w:p w:rsidR="00761727" w:rsidRDefault="00761727">
      <w:pPr>
        <w:pStyle w:val="p"/>
        <w:widowControl/>
        <w:jc w:val="left"/>
        <w:rPr>
          <w:rFonts w:ascii="Times New Roman" w:eastAsia="Times New Roman" w:hAnsi="Times New Roman"/>
          <w:kern w:val="0"/>
          <w:sz w:val="24"/>
          <w:szCs w:val="24"/>
        </w:rPr>
      </w:pPr>
    </w:p>
    <w:p w:rsidR="00761727" w:rsidRDefault="00B67A6F">
      <w:pPr>
        <w:pStyle w:val="div"/>
        <w:spacing w:line="360" w:lineRule="auto"/>
        <w:ind w:firstLine="480"/>
        <w:jc w:val="right"/>
        <w:rPr>
          <w:rFonts w:ascii="Times New Roman" w:eastAsia="Times New Roman" w:hAnsi="Times New Roman"/>
          <w:color w:val="000000" w:themeColor="text1"/>
          <w:kern w:val="0"/>
          <w:sz w:val="24"/>
          <w:szCs w:val="24"/>
        </w:rPr>
      </w:pPr>
      <w:r>
        <w:rPr>
          <w:rFonts w:ascii="宋体" w:hAnsi="宋体" w:cs="宋体" w:hint="eastAsia"/>
          <w:color w:val="000000" w:themeColor="text1"/>
          <w:kern w:val="0"/>
          <w:sz w:val="24"/>
          <w:szCs w:val="24"/>
        </w:rPr>
        <w:t>嘉实</w:t>
      </w:r>
      <w:r>
        <w:rPr>
          <w:rFonts w:ascii="宋体" w:hAnsi="宋体" w:cs="宋体"/>
          <w:color w:val="000000" w:themeColor="text1"/>
          <w:kern w:val="0"/>
          <w:sz w:val="24"/>
          <w:szCs w:val="24"/>
        </w:rPr>
        <w:t>基金管理有限公司</w:t>
      </w:r>
    </w:p>
    <w:p w:rsidR="00761727" w:rsidRDefault="00B67A6F">
      <w:pPr>
        <w:pStyle w:val="div"/>
        <w:widowControl/>
        <w:spacing w:line="360" w:lineRule="auto"/>
        <w:ind w:firstLine="480"/>
        <w:jc w:val="right"/>
        <w:rPr>
          <w:rFonts w:ascii="宋体" w:hAnsi="宋体" w:cs="宋体"/>
          <w:color w:val="000000" w:themeColor="text1"/>
          <w:kern w:val="0"/>
          <w:sz w:val="24"/>
          <w:szCs w:val="24"/>
        </w:rPr>
      </w:pPr>
      <w:r>
        <w:rPr>
          <w:rFonts w:ascii="宋体" w:hAnsi="宋体" w:cs="宋体"/>
          <w:color w:val="000000" w:themeColor="text1"/>
          <w:kern w:val="0"/>
          <w:sz w:val="24"/>
          <w:szCs w:val="24"/>
        </w:rPr>
        <w:t>2026年4月30日</w:t>
      </w:r>
    </w:p>
    <w:p w:rsidR="00761727" w:rsidRDefault="00761727">
      <w:pPr>
        <w:rPr>
          <w:color w:val="000000" w:themeColor="text1"/>
        </w:rPr>
      </w:pPr>
    </w:p>
    <w:sectPr w:rsidR="00761727" w:rsidSect="00FD46A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B58" w:rsidRDefault="00665B58" w:rsidP="00665B58">
      <w:r>
        <w:separator/>
      </w:r>
    </w:p>
  </w:endnote>
  <w:endnote w:type="continuationSeparator" w:id="0">
    <w:p w:rsidR="00665B58" w:rsidRDefault="00665B58" w:rsidP="0066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B58" w:rsidRDefault="00665B58" w:rsidP="00665B58">
      <w:r>
        <w:separator/>
      </w:r>
    </w:p>
  </w:footnote>
  <w:footnote w:type="continuationSeparator" w:id="0">
    <w:p w:rsidR="00665B58" w:rsidRDefault="00665B58" w:rsidP="0066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7E29"/>
    <w:rsid w:val="00100759"/>
    <w:rsid w:val="00172A27"/>
    <w:rsid w:val="001C2FF2"/>
    <w:rsid w:val="002077B7"/>
    <w:rsid w:val="00665B58"/>
    <w:rsid w:val="00761727"/>
    <w:rsid w:val="00B67A6F"/>
    <w:rsid w:val="00CB6866"/>
    <w:rsid w:val="00DD2137"/>
    <w:rsid w:val="00FD46A7"/>
    <w:rsid w:val="09D52BB1"/>
    <w:rsid w:val="0C016F9C"/>
    <w:rsid w:val="12F44E9B"/>
    <w:rsid w:val="167671E4"/>
    <w:rsid w:val="1B980DB4"/>
    <w:rsid w:val="1CC53F5F"/>
    <w:rsid w:val="20905B4B"/>
    <w:rsid w:val="215F1FD9"/>
    <w:rsid w:val="21D50045"/>
    <w:rsid w:val="23B60CC5"/>
    <w:rsid w:val="2B1A739B"/>
    <w:rsid w:val="348C2EF3"/>
    <w:rsid w:val="3A764D56"/>
    <w:rsid w:val="3B5570E7"/>
    <w:rsid w:val="3BF965E9"/>
    <w:rsid w:val="3F295E7C"/>
    <w:rsid w:val="429A175C"/>
    <w:rsid w:val="43CF0E18"/>
    <w:rsid w:val="44B51384"/>
    <w:rsid w:val="4A745D9D"/>
    <w:rsid w:val="57F8600E"/>
    <w:rsid w:val="5BEC0B30"/>
    <w:rsid w:val="5D5D4A3D"/>
    <w:rsid w:val="5FF24416"/>
    <w:rsid w:val="61BA739E"/>
    <w:rsid w:val="623B749B"/>
    <w:rsid w:val="640F35BD"/>
    <w:rsid w:val="659B6629"/>
    <w:rsid w:val="6A3762AD"/>
    <w:rsid w:val="6B4D54E3"/>
    <w:rsid w:val="6C555BF0"/>
    <w:rsid w:val="711133F5"/>
    <w:rsid w:val="72D2769F"/>
    <w:rsid w:val="74461FC3"/>
    <w:rsid w:val="7C4F5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6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FD46A7"/>
    <w:pPr>
      <w:tabs>
        <w:tab w:val="center" w:pos="4153"/>
        <w:tab w:val="right" w:pos="8306"/>
      </w:tabs>
      <w:snapToGrid w:val="0"/>
      <w:jc w:val="left"/>
    </w:pPr>
    <w:rPr>
      <w:sz w:val="18"/>
    </w:rPr>
  </w:style>
  <w:style w:type="paragraph" w:customStyle="1" w:styleId="p">
    <w:name w:val="p"/>
    <w:basedOn w:val="a"/>
    <w:qFormat/>
    <w:rsid w:val="00FD46A7"/>
  </w:style>
  <w:style w:type="paragraph" w:customStyle="1" w:styleId="div">
    <w:name w:val="div"/>
    <w:basedOn w:val="a"/>
    <w:qFormat/>
    <w:rsid w:val="00FD46A7"/>
  </w:style>
  <w:style w:type="character" w:customStyle="1" w:styleId="custom">
    <w:name w:val="custom"/>
    <w:basedOn w:val="a0"/>
    <w:qFormat/>
    <w:rsid w:val="00FD46A7"/>
  </w:style>
  <w:style w:type="paragraph" w:styleId="a4">
    <w:name w:val="header"/>
    <w:basedOn w:val="a"/>
    <w:link w:val="Char"/>
    <w:rsid w:val="00665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65B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0FBFD-EDAD-4E1D-95EB-8AA4E632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4</DocSecurity>
  <Lines>7</Lines>
  <Paragraphs>2</Paragraphs>
  <ScaleCrop>false</ScaleCrop>
  <Company>嘉实基金</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黄伟郑</dc:creator>
  <cp:lastModifiedBy>ZHONGM</cp:lastModifiedBy>
  <cp:revision>2</cp:revision>
  <dcterms:created xsi:type="dcterms:W3CDTF">2026-04-29T16:04:00Z</dcterms:created>
  <dcterms:modified xsi:type="dcterms:W3CDTF">2026-04-29T16:04:00Z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178263C388AD4897AAE4EF7E33F6BC3A</vt:lpwstr>
  </property>
</Properties>
</file>