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BDB" w:rsidRDefault="00DD03AF">
      <w:pPr>
        <w:widowControl/>
        <w:snapToGrid w:val="0"/>
        <w:spacing w:line="440" w:lineRule="exact"/>
        <w:jc w:val="center"/>
        <w:rPr>
          <w:rFonts w:ascii="宋体" w:hAnsi="宋体"/>
          <w:b/>
          <w:kern w:val="0"/>
          <w:sz w:val="30"/>
          <w:szCs w:val="30"/>
        </w:rPr>
      </w:pPr>
      <w:r>
        <w:rPr>
          <w:rFonts w:ascii="宋体" w:hAnsi="宋体" w:hint="eastAsia"/>
          <w:b/>
          <w:kern w:val="0"/>
          <w:sz w:val="30"/>
          <w:szCs w:val="30"/>
        </w:rPr>
        <w:t>嘉实基金管理有限公司</w:t>
      </w:r>
    </w:p>
    <w:p w:rsidR="00AD1BDB" w:rsidRDefault="00DD03AF">
      <w:pPr>
        <w:widowControl/>
        <w:snapToGrid w:val="0"/>
        <w:spacing w:line="440" w:lineRule="exact"/>
        <w:jc w:val="center"/>
        <w:rPr>
          <w:rFonts w:ascii="宋体" w:hAnsi="宋体"/>
          <w:b/>
          <w:kern w:val="0"/>
          <w:sz w:val="30"/>
          <w:szCs w:val="30"/>
        </w:rPr>
      </w:pPr>
      <w:r>
        <w:rPr>
          <w:rFonts w:ascii="宋体" w:hAnsi="宋体" w:hint="eastAsia"/>
          <w:b/>
          <w:kern w:val="0"/>
          <w:sz w:val="30"/>
          <w:szCs w:val="30"/>
        </w:rPr>
        <w:t>关于指定旗下部分证券投资基金主流动性服务商的公告</w:t>
      </w:r>
    </w:p>
    <w:p w:rsidR="00AD1BDB" w:rsidRDefault="00AD1BDB">
      <w:pPr>
        <w:widowControl/>
        <w:snapToGrid w:val="0"/>
        <w:spacing w:line="440" w:lineRule="exact"/>
        <w:ind w:firstLine="600"/>
        <w:jc w:val="center"/>
        <w:rPr>
          <w:rFonts w:ascii="宋体" w:hAnsi="宋体"/>
          <w:kern w:val="0"/>
          <w:sz w:val="30"/>
          <w:szCs w:val="30"/>
        </w:rPr>
      </w:pPr>
    </w:p>
    <w:p w:rsidR="00AD1BDB" w:rsidRDefault="00DD03AF">
      <w:pPr>
        <w:spacing w:line="440" w:lineRule="exact"/>
        <w:ind w:firstLine="420"/>
        <w:rPr>
          <w:rFonts w:ascii="宋体" w:hAnsi="宋体"/>
          <w:szCs w:val="21"/>
        </w:rPr>
      </w:pPr>
      <w:r>
        <w:rPr>
          <w:rFonts w:ascii="宋体" w:hAnsi="宋体" w:hint="eastAsia"/>
          <w:szCs w:val="21"/>
        </w:rPr>
        <w:t>根据《深圳证券交易所证券投资基金业务指引第</w:t>
      </w:r>
      <w:r>
        <w:rPr>
          <w:rFonts w:ascii="宋体" w:hAnsi="宋体" w:hint="eastAsia"/>
          <w:szCs w:val="21"/>
        </w:rPr>
        <w:t>2</w:t>
      </w:r>
      <w:r>
        <w:rPr>
          <w:rFonts w:ascii="宋体" w:hAnsi="宋体" w:hint="eastAsia"/>
          <w:szCs w:val="21"/>
        </w:rPr>
        <w:t>号——流动性服务》等有关规定，自</w:t>
      </w:r>
      <w:r>
        <w:rPr>
          <w:rFonts w:ascii="宋体" w:hAnsi="宋体" w:hint="eastAsia"/>
          <w:szCs w:val="21"/>
        </w:rPr>
        <w:t>2026</w:t>
      </w:r>
      <w:r>
        <w:rPr>
          <w:rFonts w:ascii="宋体" w:hAnsi="宋体" w:hint="eastAsia"/>
          <w:szCs w:val="21"/>
        </w:rPr>
        <w:t>年</w:t>
      </w:r>
      <w:r>
        <w:rPr>
          <w:rFonts w:ascii="宋体" w:hAnsi="宋体" w:hint="eastAsia"/>
          <w:szCs w:val="21"/>
        </w:rPr>
        <w:t>4</w:t>
      </w:r>
      <w:r>
        <w:rPr>
          <w:rFonts w:ascii="宋体" w:hAnsi="宋体" w:hint="eastAsia"/>
          <w:szCs w:val="21"/>
        </w:rPr>
        <w:t>月</w:t>
      </w:r>
      <w:r>
        <w:rPr>
          <w:rFonts w:ascii="宋体" w:hAnsi="宋体" w:hint="eastAsia"/>
          <w:szCs w:val="21"/>
        </w:rPr>
        <w:t>29</w:t>
      </w:r>
      <w:r>
        <w:rPr>
          <w:rFonts w:ascii="宋体" w:hAnsi="宋体" w:hint="eastAsia"/>
          <w:szCs w:val="21"/>
        </w:rPr>
        <w:t>日</w:t>
      </w:r>
      <w:r>
        <w:rPr>
          <w:rFonts w:ascii="宋体" w:hAnsi="宋体" w:hint="eastAsia"/>
          <w:szCs w:val="21"/>
        </w:rPr>
        <w:t>起，本公司指定下列流动性服务商为相关证券投资基金的主流动性服务商：</w:t>
      </w:r>
    </w:p>
    <w:p w:rsidR="00AD1BDB" w:rsidRDefault="00AD1BDB">
      <w:pPr>
        <w:spacing w:line="440" w:lineRule="exact"/>
        <w:ind w:firstLine="420"/>
        <w:rPr>
          <w:rFonts w:ascii="宋体" w:hAnsi="宋体"/>
          <w:szCs w:val="21"/>
        </w:rPr>
      </w:pPr>
    </w:p>
    <w:p w:rsidR="00AD1BDB" w:rsidRDefault="00DD03AF">
      <w:pPr>
        <w:spacing w:line="440" w:lineRule="exact"/>
        <w:ind w:firstLineChars="200" w:firstLine="420"/>
        <w:rPr>
          <w:rFonts w:ascii="宋体" w:hAnsi="宋体"/>
          <w:szCs w:val="21"/>
        </w:rPr>
      </w:pPr>
      <w:r>
        <w:rPr>
          <w:rFonts w:ascii="宋体" w:hAnsi="宋体"/>
          <w:szCs w:val="21"/>
        </w:rPr>
        <w:t>1</w:t>
      </w:r>
      <w:r>
        <w:rPr>
          <w:rFonts w:ascii="宋体" w:hAnsi="宋体" w:hint="eastAsia"/>
          <w:szCs w:val="21"/>
        </w:rPr>
        <w:t>、嘉实中证</w:t>
      </w:r>
      <w:r>
        <w:rPr>
          <w:rFonts w:ascii="宋体" w:hAnsi="宋体" w:hint="eastAsia"/>
          <w:szCs w:val="21"/>
        </w:rPr>
        <w:t>A500</w:t>
      </w:r>
      <w:r>
        <w:rPr>
          <w:rFonts w:ascii="宋体" w:hAnsi="宋体" w:hint="eastAsia"/>
          <w:szCs w:val="21"/>
        </w:rPr>
        <w:t>交易型开放式指数证券投资基金（</w:t>
      </w:r>
      <w:r>
        <w:rPr>
          <w:rFonts w:ascii="宋体" w:hAnsi="宋体" w:hint="eastAsia"/>
          <w:szCs w:val="21"/>
        </w:rPr>
        <w:t>159351</w:t>
      </w:r>
      <w:r>
        <w:rPr>
          <w:rFonts w:ascii="宋体" w:hAnsi="宋体" w:hint="eastAsia"/>
          <w:szCs w:val="21"/>
        </w:rPr>
        <w:t>）：</w:t>
      </w:r>
    </w:p>
    <w:p w:rsidR="00AD1BDB" w:rsidRDefault="00DD03AF">
      <w:pPr>
        <w:spacing w:line="440" w:lineRule="exact"/>
        <w:rPr>
          <w:rFonts w:ascii="宋体" w:hAnsi="宋体"/>
          <w:szCs w:val="21"/>
        </w:rPr>
      </w:pPr>
      <w:r>
        <w:rPr>
          <w:rFonts w:ascii="宋体" w:hAnsi="宋体" w:hint="eastAsia"/>
          <w:szCs w:val="21"/>
        </w:rPr>
        <w:t xml:space="preserve">      </w:t>
      </w:r>
      <w:r>
        <w:rPr>
          <w:rFonts w:ascii="宋体" w:hAnsi="宋体"/>
          <w:szCs w:val="21"/>
        </w:rPr>
        <w:t xml:space="preserve">  </w:t>
      </w:r>
      <w:r>
        <w:rPr>
          <w:rFonts w:ascii="宋体" w:hAnsi="宋体" w:hint="eastAsia"/>
          <w:szCs w:val="21"/>
        </w:rPr>
        <w:t>国泰海通证券股份有限公司</w:t>
      </w:r>
    </w:p>
    <w:p w:rsidR="00AD1BDB" w:rsidRDefault="00AD1BDB">
      <w:pPr>
        <w:spacing w:line="440" w:lineRule="exact"/>
        <w:rPr>
          <w:rFonts w:ascii="宋体" w:hAnsi="宋体"/>
          <w:szCs w:val="21"/>
        </w:rPr>
      </w:pPr>
    </w:p>
    <w:p w:rsidR="00AD1BDB" w:rsidRDefault="00DD03AF">
      <w:pPr>
        <w:spacing w:line="440" w:lineRule="exact"/>
        <w:ind w:firstLineChars="200" w:firstLine="420"/>
        <w:rPr>
          <w:rFonts w:ascii="宋体" w:hAnsi="宋体"/>
          <w:szCs w:val="21"/>
        </w:rPr>
      </w:pPr>
      <w:r>
        <w:rPr>
          <w:rFonts w:ascii="宋体" w:hAnsi="宋体"/>
          <w:szCs w:val="21"/>
        </w:rPr>
        <w:t>2</w:t>
      </w:r>
      <w:r>
        <w:rPr>
          <w:rFonts w:ascii="宋体" w:hAnsi="宋体" w:hint="eastAsia"/>
          <w:szCs w:val="21"/>
        </w:rPr>
        <w:t>、嘉实国证绿色电力交易型开放式指数证券投资基金（</w:t>
      </w:r>
      <w:r>
        <w:rPr>
          <w:rFonts w:ascii="宋体" w:hAnsi="宋体" w:hint="eastAsia"/>
          <w:szCs w:val="21"/>
        </w:rPr>
        <w:t>159625</w:t>
      </w:r>
      <w:r>
        <w:rPr>
          <w:rFonts w:ascii="宋体" w:hAnsi="宋体" w:hint="eastAsia"/>
          <w:szCs w:val="21"/>
        </w:rPr>
        <w:t>）：</w:t>
      </w:r>
    </w:p>
    <w:p w:rsidR="00AD1BDB" w:rsidRDefault="00DD03AF">
      <w:pPr>
        <w:spacing w:line="440" w:lineRule="exact"/>
        <w:rPr>
          <w:rFonts w:ascii="宋体" w:hAnsi="宋体"/>
          <w:szCs w:val="21"/>
        </w:rPr>
      </w:pP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bookmarkStart w:id="0" w:name="_GoBack"/>
      <w:bookmarkEnd w:id="0"/>
      <w:r>
        <w:rPr>
          <w:rFonts w:ascii="宋体" w:hAnsi="宋体" w:hint="eastAsia"/>
          <w:szCs w:val="21"/>
        </w:rPr>
        <w:t>国泰海通证券股份有限公司</w:t>
      </w:r>
    </w:p>
    <w:p w:rsidR="00AD1BDB" w:rsidRDefault="00AD1BDB">
      <w:pPr>
        <w:spacing w:line="440" w:lineRule="exact"/>
        <w:rPr>
          <w:rFonts w:ascii="宋体" w:hAnsi="宋体"/>
          <w:szCs w:val="21"/>
        </w:rPr>
      </w:pPr>
    </w:p>
    <w:p w:rsidR="00AD1BDB" w:rsidRDefault="00DD03AF">
      <w:pPr>
        <w:spacing w:line="440" w:lineRule="exact"/>
        <w:ind w:firstLineChars="200" w:firstLine="420"/>
        <w:rPr>
          <w:rFonts w:ascii="宋体" w:hAnsi="宋体"/>
          <w:szCs w:val="21"/>
        </w:rPr>
      </w:pPr>
      <w:r>
        <w:rPr>
          <w:rFonts w:ascii="宋体" w:hAnsi="宋体"/>
          <w:szCs w:val="21"/>
        </w:rPr>
        <w:t>3</w:t>
      </w:r>
      <w:r>
        <w:rPr>
          <w:rFonts w:ascii="宋体" w:hAnsi="宋体" w:hint="eastAsia"/>
          <w:szCs w:val="21"/>
        </w:rPr>
        <w:t>、嘉实中证高端装备细分</w:t>
      </w:r>
      <w:r>
        <w:rPr>
          <w:rFonts w:ascii="宋体" w:hAnsi="宋体" w:hint="eastAsia"/>
          <w:szCs w:val="21"/>
        </w:rPr>
        <w:t>50</w:t>
      </w:r>
      <w:r>
        <w:rPr>
          <w:rFonts w:ascii="宋体" w:hAnsi="宋体" w:hint="eastAsia"/>
          <w:szCs w:val="21"/>
        </w:rPr>
        <w:t>交易型开放式指数证券投资基金（</w:t>
      </w:r>
      <w:r>
        <w:rPr>
          <w:rFonts w:ascii="宋体" w:hAnsi="宋体" w:hint="eastAsia"/>
          <w:szCs w:val="21"/>
        </w:rPr>
        <w:t>159638</w:t>
      </w:r>
      <w:r>
        <w:rPr>
          <w:rFonts w:ascii="宋体" w:hAnsi="宋体" w:hint="eastAsia"/>
          <w:szCs w:val="21"/>
        </w:rPr>
        <w:t>）：</w:t>
      </w:r>
    </w:p>
    <w:p w:rsidR="00AD1BDB" w:rsidRDefault="00DD03AF">
      <w:pPr>
        <w:spacing w:line="440" w:lineRule="exact"/>
        <w:rPr>
          <w:rFonts w:ascii="宋体" w:hAnsi="宋体"/>
          <w:szCs w:val="21"/>
        </w:rPr>
      </w:pPr>
      <w:r>
        <w:rPr>
          <w:rFonts w:ascii="宋体" w:hAnsi="宋体" w:hint="eastAsia"/>
          <w:szCs w:val="21"/>
        </w:rPr>
        <w:t xml:space="preserve">      </w:t>
      </w:r>
      <w:r>
        <w:rPr>
          <w:rFonts w:ascii="宋体" w:hAnsi="宋体"/>
          <w:szCs w:val="21"/>
        </w:rPr>
        <w:t xml:space="preserve">  </w:t>
      </w:r>
      <w:r>
        <w:rPr>
          <w:rFonts w:ascii="宋体" w:hAnsi="宋体" w:hint="eastAsia"/>
          <w:szCs w:val="21"/>
        </w:rPr>
        <w:t>国泰海通证券股份有限公司</w:t>
      </w:r>
    </w:p>
    <w:p w:rsidR="00AD1BDB" w:rsidRDefault="00AD1BDB">
      <w:pPr>
        <w:spacing w:line="440" w:lineRule="exact"/>
        <w:rPr>
          <w:rFonts w:ascii="宋体" w:hAnsi="宋体"/>
          <w:szCs w:val="21"/>
        </w:rPr>
      </w:pPr>
    </w:p>
    <w:p w:rsidR="00AD1BDB" w:rsidRDefault="00DD03AF">
      <w:pPr>
        <w:spacing w:line="440" w:lineRule="exact"/>
        <w:ind w:firstLineChars="200" w:firstLine="420"/>
        <w:rPr>
          <w:rFonts w:ascii="宋体" w:hAnsi="宋体"/>
          <w:szCs w:val="21"/>
        </w:rPr>
      </w:pPr>
      <w:r>
        <w:rPr>
          <w:rFonts w:ascii="宋体" w:hAnsi="宋体"/>
          <w:szCs w:val="21"/>
        </w:rPr>
        <w:t>4</w:t>
      </w:r>
      <w:r>
        <w:rPr>
          <w:rFonts w:ascii="宋体" w:hAnsi="宋体" w:hint="eastAsia"/>
          <w:szCs w:val="21"/>
        </w:rPr>
        <w:t>、嘉实中证软件服务交易型开放式指数证券投资基金（</w:t>
      </w:r>
      <w:r>
        <w:rPr>
          <w:rFonts w:ascii="宋体" w:hAnsi="宋体" w:hint="eastAsia"/>
          <w:szCs w:val="21"/>
        </w:rPr>
        <w:t>159852</w:t>
      </w:r>
      <w:r>
        <w:rPr>
          <w:rFonts w:ascii="宋体" w:hAnsi="宋体" w:hint="eastAsia"/>
          <w:szCs w:val="21"/>
        </w:rPr>
        <w:t>）：</w:t>
      </w:r>
    </w:p>
    <w:p w:rsidR="00AD1BDB" w:rsidRDefault="00DD03AF">
      <w:pPr>
        <w:spacing w:line="440" w:lineRule="exact"/>
        <w:rPr>
          <w:rFonts w:ascii="宋体" w:hAnsi="宋体"/>
          <w:szCs w:val="21"/>
        </w:rPr>
      </w:pPr>
      <w:r>
        <w:rPr>
          <w:rFonts w:ascii="宋体" w:hAnsi="宋体" w:hint="eastAsia"/>
          <w:szCs w:val="21"/>
        </w:rPr>
        <w:t xml:space="preserve">      </w:t>
      </w:r>
      <w:r>
        <w:rPr>
          <w:rFonts w:ascii="宋体" w:hAnsi="宋体"/>
          <w:szCs w:val="21"/>
        </w:rPr>
        <w:t xml:space="preserve">  </w:t>
      </w:r>
      <w:r>
        <w:rPr>
          <w:rFonts w:ascii="宋体" w:hAnsi="宋体" w:hint="eastAsia"/>
          <w:szCs w:val="21"/>
        </w:rPr>
        <w:t>国泰海通证券股份有限公司</w:t>
      </w:r>
    </w:p>
    <w:p w:rsidR="00AD1BDB" w:rsidRDefault="00AD1BDB">
      <w:pPr>
        <w:spacing w:line="440" w:lineRule="exact"/>
        <w:rPr>
          <w:rFonts w:ascii="宋体" w:hAnsi="宋体"/>
          <w:szCs w:val="21"/>
        </w:rPr>
      </w:pPr>
    </w:p>
    <w:p w:rsidR="00AD1BDB" w:rsidRDefault="00DD03AF">
      <w:pPr>
        <w:spacing w:line="440" w:lineRule="exact"/>
        <w:ind w:firstLineChars="200" w:firstLine="420"/>
        <w:rPr>
          <w:rFonts w:ascii="宋体" w:hAnsi="宋体"/>
          <w:szCs w:val="21"/>
        </w:rPr>
      </w:pPr>
      <w:r>
        <w:rPr>
          <w:rFonts w:ascii="宋体" w:hAnsi="宋体"/>
          <w:szCs w:val="21"/>
        </w:rPr>
        <w:t>5</w:t>
      </w:r>
      <w:r>
        <w:rPr>
          <w:rFonts w:ascii="宋体" w:hAnsi="宋体" w:hint="eastAsia"/>
          <w:szCs w:val="21"/>
        </w:rPr>
        <w:t>、嘉实中证新能源交易型开放式指数证券投资基金（</w:t>
      </w:r>
      <w:r>
        <w:rPr>
          <w:rFonts w:ascii="宋体" w:hAnsi="宋体" w:hint="eastAsia"/>
          <w:szCs w:val="21"/>
        </w:rPr>
        <w:t>159875</w:t>
      </w:r>
      <w:r>
        <w:rPr>
          <w:rFonts w:ascii="宋体" w:hAnsi="宋体" w:hint="eastAsia"/>
          <w:szCs w:val="21"/>
        </w:rPr>
        <w:t>）：</w:t>
      </w:r>
    </w:p>
    <w:p w:rsidR="00AD1BDB" w:rsidRDefault="00DD03AF">
      <w:pPr>
        <w:spacing w:line="440" w:lineRule="exact"/>
        <w:rPr>
          <w:rFonts w:ascii="宋体" w:hAnsi="宋体"/>
          <w:szCs w:val="21"/>
        </w:rPr>
      </w:pPr>
      <w:r>
        <w:rPr>
          <w:rFonts w:ascii="宋体" w:hAnsi="宋体" w:hint="eastAsia"/>
          <w:szCs w:val="21"/>
        </w:rPr>
        <w:t xml:space="preserve">      </w:t>
      </w:r>
      <w:r>
        <w:rPr>
          <w:rFonts w:ascii="宋体" w:hAnsi="宋体"/>
          <w:szCs w:val="21"/>
        </w:rPr>
        <w:t xml:space="preserve">  </w:t>
      </w:r>
      <w:r>
        <w:rPr>
          <w:rFonts w:ascii="宋体" w:hAnsi="宋体" w:hint="eastAsia"/>
          <w:szCs w:val="21"/>
        </w:rPr>
        <w:t>国泰海通证券股份有限公司</w:t>
      </w:r>
    </w:p>
    <w:p w:rsidR="00AD1BDB" w:rsidRDefault="00AD1BDB">
      <w:pPr>
        <w:spacing w:line="440" w:lineRule="exact"/>
        <w:rPr>
          <w:rFonts w:ascii="宋体" w:hAnsi="宋体"/>
          <w:szCs w:val="21"/>
        </w:rPr>
      </w:pPr>
    </w:p>
    <w:p w:rsidR="00AD1BDB" w:rsidRDefault="00DD03AF">
      <w:pPr>
        <w:spacing w:line="440" w:lineRule="exact"/>
        <w:ind w:firstLineChars="200" w:firstLine="420"/>
        <w:rPr>
          <w:rFonts w:ascii="宋体" w:hAnsi="宋体"/>
          <w:szCs w:val="21"/>
        </w:rPr>
      </w:pPr>
      <w:r>
        <w:rPr>
          <w:rFonts w:ascii="宋体" w:hAnsi="宋体" w:hint="eastAsia"/>
          <w:szCs w:val="21"/>
        </w:rPr>
        <w:t>6</w:t>
      </w:r>
      <w:r>
        <w:rPr>
          <w:rFonts w:ascii="宋体" w:hAnsi="宋体" w:hint="eastAsia"/>
          <w:szCs w:val="21"/>
        </w:rPr>
        <w:t>、嘉实沪深</w:t>
      </w:r>
      <w:r>
        <w:rPr>
          <w:rFonts w:ascii="宋体" w:hAnsi="宋体" w:hint="eastAsia"/>
          <w:szCs w:val="21"/>
        </w:rPr>
        <w:t>300</w:t>
      </w:r>
      <w:r>
        <w:rPr>
          <w:rFonts w:ascii="宋体" w:hAnsi="宋体" w:hint="eastAsia"/>
          <w:szCs w:val="21"/>
        </w:rPr>
        <w:t>交易型开放式指数证券投资基金（</w:t>
      </w:r>
      <w:r>
        <w:rPr>
          <w:rFonts w:ascii="宋体" w:hAnsi="宋体" w:hint="eastAsia"/>
          <w:szCs w:val="21"/>
        </w:rPr>
        <w:t>159919</w:t>
      </w:r>
      <w:r>
        <w:rPr>
          <w:rFonts w:ascii="宋体" w:hAnsi="宋体" w:hint="eastAsia"/>
          <w:szCs w:val="21"/>
        </w:rPr>
        <w:t>）：</w:t>
      </w:r>
    </w:p>
    <w:p w:rsidR="00AD1BDB" w:rsidRDefault="00DD03AF">
      <w:pPr>
        <w:spacing w:line="440" w:lineRule="exact"/>
        <w:rPr>
          <w:rFonts w:ascii="宋体" w:hAnsi="宋体"/>
          <w:szCs w:val="21"/>
        </w:rPr>
      </w:pPr>
      <w:r>
        <w:rPr>
          <w:rFonts w:ascii="宋体" w:hAnsi="宋体" w:hint="eastAsia"/>
          <w:szCs w:val="21"/>
        </w:rPr>
        <w:t xml:space="preserve">      </w:t>
      </w:r>
      <w:r>
        <w:rPr>
          <w:rFonts w:ascii="宋体" w:hAnsi="宋体"/>
          <w:szCs w:val="21"/>
        </w:rPr>
        <w:t xml:space="preserve">  </w:t>
      </w:r>
      <w:r>
        <w:rPr>
          <w:rFonts w:ascii="宋体" w:hAnsi="宋体" w:hint="eastAsia"/>
          <w:szCs w:val="21"/>
        </w:rPr>
        <w:t>国泰海通证券股份有限公司</w:t>
      </w:r>
    </w:p>
    <w:p w:rsidR="00AD1BDB" w:rsidRDefault="00AD1BDB">
      <w:pPr>
        <w:spacing w:line="440" w:lineRule="exact"/>
        <w:rPr>
          <w:rFonts w:ascii="宋体" w:hAnsi="宋体"/>
          <w:szCs w:val="21"/>
        </w:rPr>
      </w:pPr>
    </w:p>
    <w:p w:rsidR="00AD1BDB" w:rsidRDefault="00DD03AF">
      <w:pPr>
        <w:spacing w:line="440" w:lineRule="exact"/>
        <w:ind w:firstLineChars="200" w:firstLine="420"/>
        <w:rPr>
          <w:rFonts w:ascii="宋体" w:hAnsi="宋体"/>
          <w:szCs w:val="21"/>
        </w:rPr>
      </w:pPr>
      <w:r>
        <w:rPr>
          <w:rFonts w:ascii="宋体" w:hAnsi="宋体" w:hint="eastAsia"/>
          <w:szCs w:val="21"/>
        </w:rPr>
        <w:t>7</w:t>
      </w:r>
      <w:r>
        <w:rPr>
          <w:rFonts w:ascii="宋体" w:hAnsi="宋体" w:hint="eastAsia"/>
          <w:szCs w:val="21"/>
        </w:rPr>
        <w:t>、嘉实中证</w:t>
      </w:r>
      <w:r>
        <w:rPr>
          <w:rFonts w:ascii="宋体" w:hAnsi="宋体" w:hint="eastAsia"/>
          <w:szCs w:val="21"/>
        </w:rPr>
        <w:t>500</w:t>
      </w:r>
      <w:r>
        <w:rPr>
          <w:rFonts w:ascii="宋体" w:hAnsi="宋体" w:hint="eastAsia"/>
          <w:szCs w:val="21"/>
        </w:rPr>
        <w:t>交易型开放式指数证券投资基金（</w:t>
      </w:r>
      <w:r>
        <w:rPr>
          <w:rFonts w:ascii="宋体" w:hAnsi="宋体" w:hint="eastAsia"/>
          <w:szCs w:val="21"/>
        </w:rPr>
        <w:t>159922</w:t>
      </w:r>
      <w:r>
        <w:rPr>
          <w:rFonts w:ascii="宋体" w:hAnsi="宋体" w:hint="eastAsia"/>
          <w:szCs w:val="21"/>
        </w:rPr>
        <w:t>）：</w:t>
      </w:r>
    </w:p>
    <w:p w:rsidR="00AD1BDB" w:rsidRDefault="00DD03AF">
      <w:pPr>
        <w:spacing w:line="440" w:lineRule="exact"/>
        <w:rPr>
          <w:rFonts w:ascii="宋体" w:hAnsi="宋体"/>
          <w:szCs w:val="21"/>
        </w:rPr>
      </w:pPr>
      <w:r>
        <w:rPr>
          <w:rFonts w:ascii="宋体" w:hAnsi="宋体" w:hint="eastAsia"/>
          <w:szCs w:val="21"/>
        </w:rPr>
        <w:t xml:space="preserve">      </w:t>
      </w:r>
      <w:r>
        <w:rPr>
          <w:rFonts w:ascii="宋体" w:hAnsi="宋体"/>
          <w:szCs w:val="21"/>
        </w:rPr>
        <w:t xml:space="preserve">  </w:t>
      </w:r>
      <w:r>
        <w:rPr>
          <w:rFonts w:ascii="宋体" w:hAnsi="宋体" w:hint="eastAsia"/>
          <w:szCs w:val="21"/>
        </w:rPr>
        <w:t>中信建投证券股份有限公司</w:t>
      </w:r>
    </w:p>
    <w:p w:rsidR="00AD1BDB" w:rsidRDefault="00AD1BDB">
      <w:pPr>
        <w:spacing w:line="440" w:lineRule="exact"/>
        <w:rPr>
          <w:rFonts w:ascii="宋体" w:hAnsi="宋体"/>
          <w:szCs w:val="21"/>
        </w:rPr>
      </w:pPr>
    </w:p>
    <w:p w:rsidR="00AD1BDB" w:rsidRDefault="00DD03AF">
      <w:pPr>
        <w:spacing w:line="440" w:lineRule="exact"/>
        <w:ind w:firstLine="420"/>
        <w:jc w:val="left"/>
        <w:rPr>
          <w:rFonts w:ascii="宋体" w:hAnsi="宋体"/>
          <w:szCs w:val="21"/>
        </w:rPr>
      </w:pPr>
      <w:r>
        <w:rPr>
          <w:rFonts w:ascii="宋体" w:hAnsi="宋体" w:hint="eastAsia"/>
          <w:szCs w:val="21"/>
        </w:rPr>
        <w:t>特此公告。</w:t>
      </w:r>
    </w:p>
    <w:p w:rsidR="00AD1BDB" w:rsidRDefault="00DD03AF">
      <w:pPr>
        <w:spacing w:line="440" w:lineRule="exact"/>
        <w:ind w:firstLine="420"/>
        <w:jc w:val="right"/>
        <w:rPr>
          <w:rFonts w:ascii="宋体" w:hAnsi="宋体"/>
          <w:szCs w:val="21"/>
        </w:rPr>
      </w:pPr>
      <w:r>
        <w:rPr>
          <w:rFonts w:ascii="宋体" w:hAnsi="宋体" w:hint="eastAsia"/>
          <w:szCs w:val="21"/>
        </w:rPr>
        <w:t xml:space="preserve"> </w:t>
      </w:r>
    </w:p>
    <w:p w:rsidR="00AD1BDB" w:rsidRDefault="00DD03AF">
      <w:pPr>
        <w:spacing w:line="440" w:lineRule="exact"/>
        <w:ind w:firstLine="420"/>
        <w:jc w:val="right"/>
        <w:rPr>
          <w:rFonts w:ascii="宋体" w:hAnsi="宋体"/>
          <w:szCs w:val="21"/>
        </w:rPr>
      </w:pPr>
      <w:r>
        <w:rPr>
          <w:rFonts w:ascii="宋体" w:hAnsi="宋体" w:hint="eastAsia"/>
          <w:szCs w:val="21"/>
        </w:rPr>
        <w:t>嘉实基金管理有限公司</w:t>
      </w:r>
    </w:p>
    <w:p w:rsidR="00AD1BDB" w:rsidRDefault="00DD03AF">
      <w:pPr>
        <w:spacing w:line="440" w:lineRule="exact"/>
        <w:ind w:firstLine="420"/>
        <w:jc w:val="right"/>
        <w:rPr>
          <w:rFonts w:ascii="宋体" w:hAnsi="宋体"/>
          <w:szCs w:val="21"/>
        </w:rPr>
      </w:pPr>
      <w:r>
        <w:rPr>
          <w:rFonts w:ascii="宋体" w:hAnsi="宋体" w:hint="eastAsia"/>
          <w:szCs w:val="21"/>
        </w:rPr>
        <w:t>2026</w:t>
      </w:r>
      <w:r>
        <w:rPr>
          <w:rFonts w:ascii="宋体" w:hAnsi="宋体" w:hint="eastAsia"/>
          <w:szCs w:val="21"/>
        </w:rPr>
        <w:t>年</w:t>
      </w:r>
      <w:r>
        <w:rPr>
          <w:rFonts w:ascii="宋体" w:hAnsi="宋体" w:hint="eastAsia"/>
          <w:szCs w:val="21"/>
        </w:rPr>
        <w:t>4</w:t>
      </w:r>
      <w:r>
        <w:rPr>
          <w:rFonts w:ascii="宋体" w:hAnsi="宋体" w:hint="eastAsia"/>
          <w:szCs w:val="21"/>
        </w:rPr>
        <w:t>月</w:t>
      </w:r>
      <w:r>
        <w:rPr>
          <w:rFonts w:ascii="宋体" w:hAnsi="宋体" w:hint="eastAsia"/>
          <w:szCs w:val="21"/>
        </w:rPr>
        <w:t>29</w:t>
      </w:r>
      <w:r>
        <w:rPr>
          <w:rFonts w:ascii="宋体" w:hAnsi="宋体" w:hint="eastAsia"/>
          <w:szCs w:val="21"/>
        </w:rPr>
        <w:t>日</w:t>
      </w:r>
    </w:p>
    <w:p w:rsidR="00AD1BDB" w:rsidRDefault="00AD1BDB"/>
    <w:sectPr w:rsidR="00AD1BDB" w:rsidSect="00AD1BD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9F37E"/>
    <w:multiLevelType w:val="singleLevel"/>
    <w:tmpl w:val="17E9F37E"/>
    <w:lvl w:ilvl="0">
      <w:start w:val="1"/>
      <w:numFmt w:val="decimal"/>
      <w:pStyle w:val="1"/>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D59A1"/>
    <w:rsid w:val="001767B5"/>
    <w:rsid w:val="00216E99"/>
    <w:rsid w:val="0027496C"/>
    <w:rsid w:val="002B7DF9"/>
    <w:rsid w:val="002D59A1"/>
    <w:rsid w:val="002E344C"/>
    <w:rsid w:val="0030339C"/>
    <w:rsid w:val="003573D4"/>
    <w:rsid w:val="00525230"/>
    <w:rsid w:val="0055706B"/>
    <w:rsid w:val="00595F53"/>
    <w:rsid w:val="005B0953"/>
    <w:rsid w:val="00625630"/>
    <w:rsid w:val="006A3BBB"/>
    <w:rsid w:val="00776117"/>
    <w:rsid w:val="007C19EE"/>
    <w:rsid w:val="009B401C"/>
    <w:rsid w:val="00AD1BDB"/>
    <w:rsid w:val="00B2687A"/>
    <w:rsid w:val="00B379B8"/>
    <w:rsid w:val="00B37D07"/>
    <w:rsid w:val="00B47AA2"/>
    <w:rsid w:val="00BE5B8D"/>
    <w:rsid w:val="00C20425"/>
    <w:rsid w:val="00C249C0"/>
    <w:rsid w:val="00C41FDE"/>
    <w:rsid w:val="00C428F6"/>
    <w:rsid w:val="00C93367"/>
    <w:rsid w:val="00CE6D89"/>
    <w:rsid w:val="00DD03AF"/>
    <w:rsid w:val="00E43B71"/>
    <w:rsid w:val="0A8A13FC"/>
    <w:rsid w:val="0EC15D17"/>
    <w:rsid w:val="26BA22AF"/>
    <w:rsid w:val="3E1D224B"/>
    <w:rsid w:val="547B4A8C"/>
    <w:rsid w:val="64B36465"/>
    <w:rsid w:val="73BE4B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D1BDB"/>
    <w:pPr>
      <w:widowControl w:val="0"/>
      <w:jc w:val="both"/>
    </w:pPr>
    <w:rPr>
      <w:rFonts w:ascii="Times New Roman" w:eastAsia="宋体" w:hAnsi="Times New Roman" w:cs="Times New Roman"/>
      <w:kern w:val="2"/>
      <w:sz w:val="21"/>
      <w:szCs w:val="24"/>
    </w:rPr>
  </w:style>
  <w:style w:type="paragraph" w:styleId="4">
    <w:name w:val="heading 4"/>
    <w:basedOn w:val="a"/>
    <w:next w:val="a"/>
    <w:semiHidden/>
    <w:unhideWhenUsed/>
    <w:qFormat/>
    <w:rsid w:val="00AD1BDB"/>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AD1BDB"/>
    <w:rPr>
      <w:sz w:val="18"/>
      <w:szCs w:val="18"/>
    </w:rPr>
  </w:style>
  <w:style w:type="paragraph" w:styleId="a4">
    <w:name w:val="footer"/>
    <w:basedOn w:val="a"/>
    <w:link w:val="Char0"/>
    <w:qFormat/>
    <w:rsid w:val="00AD1BDB"/>
    <w:pPr>
      <w:tabs>
        <w:tab w:val="center" w:pos="4153"/>
        <w:tab w:val="right" w:pos="8306"/>
      </w:tabs>
      <w:snapToGrid w:val="0"/>
      <w:jc w:val="left"/>
    </w:pPr>
    <w:rPr>
      <w:sz w:val="18"/>
      <w:szCs w:val="18"/>
    </w:rPr>
  </w:style>
  <w:style w:type="paragraph" w:styleId="a5">
    <w:name w:val="header"/>
    <w:basedOn w:val="a"/>
    <w:link w:val="Char1"/>
    <w:rsid w:val="00AD1BDB"/>
    <w:pPr>
      <w:pBdr>
        <w:bottom w:val="single" w:sz="6" w:space="1" w:color="auto"/>
      </w:pBdr>
      <w:tabs>
        <w:tab w:val="center" w:pos="4153"/>
        <w:tab w:val="right" w:pos="8306"/>
      </w:tabs>
      <w:snapToGrid w:val="0"/>
      <w:jc w:val="center"/>
    </w:pPr>
    <w:rPr>
      <w:sz w:val="18"/>
      <w:szCs w:val="18"/>
    </w:rPr>
  </w:style>
  <w:style w:type="paragraph" w:customStyle="1" w:styleId="1">
    <w:name w:val="样式1"/>
    <w:basedOn w:val="4"/>
    <w:next w:val="a"/>
    <w:qFormat/>
    <w:rsid w:val="00AD1BDB"/>
    <w:pPr>
      <w:numPr>
        <w:numId w:val="1"/>
      </w:numPr>
    </w:pPr>
    <w:rPr>
      <w:rFonts w:asciiTheme="minorHAnsi" w:hAnsiTheme="minorHAnsi"/>
      <w:sz w:val="24"/>
    </w:rPr>
  </w:style>
  <w:style w:type="character" w:customStyle="1" w:styleId="Char">
    <w:name w:val="批注框文本 Char"/>
    <w:basedOn w:val="a0"/>
    <w:link w:val="a3"/>
    <w:qFormat/>
    <w:rsid w:val="00AD1BDB"/>
    <w:rPr>
      <w:rFonts w:ascii="Times New Roman" w:eastAsia="宋体" w:hAnsi="Times New Roman" w:cs="Times New Roman"/>
      <w:kern w:val="2"/>
      <w:sz w:val="18"/>
      <w:szCs w:val="18"/>
    </w:rPr>
  </w:style>
  <w:style w:type="character" w:customStyle="1" w:styleId="Char1">
    <w:name w:val="页眉 Char"/>
    <w:basedOn w:val="a0"/>
    <w:link w:val="a5"/>
    <w:qFormat/>
    <w:rsid w:val="00AD1BDB"/>
    <w:rPr>
      <w:rFonts w:ascii="Times New Roman" w:eastAsia="宋体" w:hAnsi="Times New Roman" w:cs="Times New Roman"/>
      <w:kern w:val="2"/>
      <w:sz w:val="18"/>
      <w:szCs w:val="18"/>
    </w:rPr>
  </w:style>
  <w:style w:type="character" w:customStyle="1" w:styleId="Char0">
    <w:name w:val="页脚 Char"/>
    <w:basedOn w:val="a0"/>
    <w:link w:val="a4"/>
    <w:qFormat/>
    <w:rsid w:val="00AD1BDB"/>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84F08-8336-4868-A235-A65FA606D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463</Characters>
  <Application>Microsoft Office Word</Application>
  <DocSecurity>4</DocSecurity>
  <Lines>3</Lines>
  <Paragraphs>1</Paragraphs>
  <ScaleCrop>false</ScaleCrop>
  <Company>js</Company>
  <LinksUpToDate>false</LinksUpToDate>
  <CharactersWithSpaces>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yyli01.oth</dc:creator>
  <cp:lastModifiedBy>ZHONGM</cp:lastModifiedBy>
  <cp:revision>2</cp:revision>
  <dcterms:created xsi:type="dcterms:W3CDTF">2026-04-28T16:07:00Z</dcterms:created>
  <dcterms:modified xsi:type="dcterms:W3CDTF">2026-04-28T16:07:00Z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B00C3DA7780E49CFB28798986B20F482</vt:lpwstr>
  </property>
</Properties>
</file>