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40" w:rsidRDefault="005E35A6">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华宝基金关于旗下部分交易型开放式指数证券投资基金新增国海证券股份有限公司为一级交易商的公告</w:t>
      </w:r>
    </w:p>
    <w:p w:rsidR="00FE5540" w:rsidRDefault="005E35A6">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）与国海证券股份有限公司（以下简称</w:t>
      </w:r>
      <w:r>
        <w:rPr>
          <w:rFonts w:ascii="宋体" w:eastAsia="宋体" w:hAnsi="宋体" w:cs="宋体"/>
          <w:sz w:val="21"/>
          <w:szCs w:val="21"/>
        </w:rPr>
        <w:t>"</w:t>
      </w:r>
      <w:r>
        <w:rPr>
          <w:rFonts w:ascii="宋体" w:eastAsia="宋体" w:hAnsi="宋体" w:cs="宋体"/>
          <w:sz w:val="21"/>
          <w:szCs w:val="21"/>
        </w:rPr>
        <w:t>国海证券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28</w:t>
      </w:r>
      <w:r>
        <w:rPr>
          <w:rFonts w:ascii="宋体" w:eastAsia="宋体" w:hAnsi="宋体" w:cs="宋体"/>
          <w:sz w:val="21"/>
          <w:szCs w:val="21"/>
        </w:rPr>
        <w:t>日起增加国海证券为以下适用基金的一级交易商。</w:t>
      </w:r>
      <w:r>
        <w:rPr>
          <w:rFonts w:ascii="宋体" w:eastAsia="宋体" w:hAnsi="宋体" w:cs="宋体"/>
          <w:sz w:val="21"/>
          <w:szCs w:val="21"/>
        </w:rPr>
        <w:t xml:space="preserve"> </w:t>
      </w:r>
    </w:p>
    <w:p w:rsidR="00FE5540" w:rsidRDefault="005E35A6">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b/>
                <w:bCs/>
                <w:color w:val="000000"/>
                <w:sz w:val="21"/>
                <w:szCs w:val="21"/>
              </w:rPr>
            </w:pPr>
            <w:r>
              <w:rPr>
                <w:rFonts w:ascii="宋体" w:eastAsia="宋体" w:hAnsi="宋体" w:cs="宋体"/>
                <w:b/>
                <w:bCs/>
                <w:color w:val="000000"/>
                <w:sz w:val="21"/>
                <w:szCs w:val="21"/>
              </w:rPr>
              <w:t>基金代码</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159231</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159355</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159363</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地产交易型开放式指数证券投资基金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159707</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159716</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华宝中证金融科技主题交易型开放式指数证券投资基金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159851</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华宝中证有色金属交易型开放式指数证券投资基金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159876</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510030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515260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515710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516020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华宝中证消费龙头交易型开放式指数证券投资基金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516130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华宝中证新材料主题交易型开放式指数证券投资基金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516360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华宝中证智能电动汽车交易型开放式指数证券投资基金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516380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华宝中证养老产业交易型开放式指数证券投资基金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516560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华宝中证大数据产业交易型开放式指数证券投资基金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516700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华宝中证智能制造主题交易型开放式指数证券投资基金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516800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562000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华宝中证绿色能源交易型开放式指数证券投资基金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562010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562030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华宝中证制药交易型开放式指数证券投资基金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562050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562060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562080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563500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588330</w:t>
            </w:r>
          </w:p>
        </w:tc>
      </w:tr>
      <w:tr w:rsidR="00FE554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E5540" w:rsidRDefault="005E35A6">
            <w:pPr>
              <w:jc w:val="center"/>
              <w:rPr>
                <w:color w:val="000000"/>
                <w:sz w:val="21"/>
                <w:szCs w:val="21"/>
              </w:rPr>
            </w:pPr>
            <w:r>
              <w:rPr>
                <w:rFonts w:ascii="宋体" w:eastAsia="宋体" w:hAnsi="宋体" w:cs="宋体"/>
                <w:color w:val="000000"/>
                <w:sz w:val="21"/>
                <w:szCs w:val="21"/>
              </w:rPr>
              <w:t>589520</w:t>
            </w:r>
          </w:p>
        </w:tc>
      </w:tr>
    </w:tbl>
    <w:p w:rsidR="00FE5540" w:rsidRDefault="005E35A6">
      <w:pPr>
        <w:spacing w:before="210" w:after="210" w:line="560" w:lineRule="atLeast"/>
        <w:ind w:left="420"/>
        <w:rPr>
          <w:sz w:val="21"/>
          <w:szCs w:val="21"/>
        </w:rPr>
      </w:pPr>
      <w:r>
        <w:rPr>
          <w:rFonts w:ascii="宋体" w:eastAsia="宋体" w:hAnsi="宋体" w:cs="宋体"/>
          <w:sz w:val="21"/>
          <w:szCs w:val="21"/>
        </w:rPr>
        <w:t>二、投资者可到国海证券办理上述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lastRenderedPageBreak/>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国海证券股份有限公司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95563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 xml:space="preserve">www.ghzq.com.cn </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FE5540" w:rsidRDefault="005E35A6">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FE5540" w:rsidRDefault="005E35A6">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FE5540" w:rsidRDefault="005E35A6">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28</w:t>
      </w:r>
      <w:r>
        <w:rPr>
          <w:rFonts w:ascii="宋体" w:eastAsia="宋体" w:hAnsi="宋体" w:cs="宋体"/>
          <w:sz w:val="21"/>
          <w:szCs w:val="21"/>
        </w:rPr>
        <w:t>日</w:t>
      </w:r>
      <w:r>
        <w:rPr>
          <w:rFonts w:ascii="宋体" w:eastAsia="宋体" w:hAnsi="宋体" w:cs="宋体"/>
          <w:sz w:val="21"/>
          <w:szCs w:val="21"/>
        </w:rPr>
        <w:t xml:space="preserve"> </w:t>
      </w:r>
    </w:p>
    <w:p w:rsidR="00FE5540" w:rsidRDefault="00FE5540">
      <w:pPr>
        <w:spacing w:before="240" w:after="240"/>
      </w:pPr>
    </w:p>
    <w:sectPr w:rsidR="00FE5540" w:rsidSect="00FE5540">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40" w:rsidRDefault="00FE5540" w:rsidP="00FE5540">
      <w:r>
        <w:separator/>
      </w:r>
    </w:p>
  </w:endnote>
  <w:endnote w:type="continuationSeparator" w:id="0">
    <w:p w:rsidR="00FE5540" w:rsidRDefault="00FE5540" w:rsidP="00FE5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40" w:rsidRDefault="00FE5540">
    <w:pPr>
      <w:jc w:val="center"/>
      <w:rPr>
        <w:sz w:val="20"/>
      </w:rPr>
    </w:pPr>
    <w:r>
      <w:rPr>
        <w:sz w:val="20"/>
      </w:rPr>
      <w:fldChar w:fldCharType="begin"/>
    </w:r>
    <w:r w:rsidR="005E35A6">
      <w:rPr>
        <w:rFonts w:ascii="宋体" w:eastAsia="宋体" w:hAnsi="宋体" w:cs="宋体"/>
        <w:sz w:val="20"/>
      </w:rPr>
      <w:instrText>PAGE</w:instrText>
    </w:r>
    <w:r>
      <w:rPr>
        <w:sz w:val="20"/>
      </w:rPr>
      <w:fldChar w:fldCharType="separate"/>
    </w:r>
    <w:r w:rsidR="005E35A6">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40" w:rsidRDefault="00FE5540" w:rsidP="00FE5540">
      <w:r>
        <w:separator/>
      </w:r>
    </w:p>
  </w:footnote>
  <w:footnote w:type="continuationSeparator" w:id="0">
    <w:p w:rsidR="00FE5540" w:rsidRDefault="00FE5540" w:rsidP="00FE5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E35A6"/>
    <w:rsid w:val="00A77B3E"/>
    <w:rsid w:val="00CA2A55"/>
    <w:rsid w:val="00FE5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540"/>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2026-04-27T16:04:00Z</dcterms:created>
  <dcterms:modified xsi:type="dcterms:W3CDTF">2026-04-27T16:04:00Z</dcterms:modified>
</cp:coreProperties>
</file>