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BD" w:rsidRDefault="00DC6915">
      <w:pPr>
        <w:spacing w:line="360" w:lineRule="auto"/>
        <w:jc w:val="center"/>
        <w:rPr>
          <w:b/>
          <w:bCs/>
          <w:sz w:val="24"/>
        </w:rPr>
      </w:pPr>
      <w:r>
        <w:rPr>
          <w:rFonts w:ascii="宋体" w:hAnsi="宋体" w:hint="eastAsia"/>
          <w:b/>
          <w:sz w:val="24"/>
        </w:rPr>
        <w:t>关于博时基金管理有限公司旗下部分基金</w:t>
      </w:r>
      <w:r>
        <w:rPr>
          <w:rFonts w:hint="eastAsia"/>
          <w:b/>
          <w:bCs/>
          <w:sz w:val="24"/>
        </w:rPr>
        <w:t>投资非公开发行股票的公告</w:t>
      </w:r>
    </w:p>
    <w:p w:rsidR="000208BD" w:rsidRDefault="000208BD"/>
    <w:p w:rsidR="000208BD" w:rsidRDefault="00DC6915">
      <w:pPr>
        <w:spacing w:line="360" w:lineRule="auto"/>
        <w:ind w:firstLineChars="200" w:firstLine="420"/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博时基金管理有限公司（以下简称“本公司”）旗下部分基金参加了</w:t>
      </w:r>
      <w:r>
        <w:rPr>
          <w:rFonts w:ascii="Arial" w:hAnsi="宋体" w:cs="Arial" w:hint="eastAsia"/>
          <w:szCs w:val="21"/>
        </w:rPr>
        <w:t>宁德时代（代码</w:t>
      </w:r>
      <w:r>
        <w:rPr>
          <w:rFonts w:ascii="Arial" w:hAnsi="宋体" w:cs="Arial" w:hint="eastAsia"/>
          <w:szCs w:val="21"/>
        </w:rPr>
        <w:t>300750</w:t>
      </w:r>
      <w:r>
        <w:rPr>
          <w:rFonts w:ascii="Arial" w:hAnsi="宋体" w:cs="Arial" w:hint="eastAsia"/>
          <w:szCs w:val="21"/>
        </w:rPr>
        <w:t>）</w:t>
      </w:r>
      <w:r>
        <w:rPr>
          <w:rFonts w:ascii="Arial" w:hAnsi="宋体" w:cs="Arial" w:hint="eastAsia"/>
          <w:szCs w:val="21"/>
        </w:rPr>
        <w:t>非公开发行股票的认购。根据中国证监会《关于基金投资非公开发行股票等流通受限证券有关问题的通知》（证监基金字</w:t>
      </w:r>
      <w:r>
        <w:rPr>
          <w:rFonts w:ascii="Arial" w:hAnsi="宋体" w:cs="Arial" w:hint="eastAsia"/>
          <w:szCs w:val="21"/>
        </w:rPr>
        <w:t>[2006]14</w:t>
      </w:r>
      <w:r>
        <w:rPr>
          <w:rFonts w:ascii="Arial" w:hAnsi="宋体" w:cs="Arial"/>
          <w:szCs w:val="21"/>
        </w:rPr>
        <w:t>1</w:t>
      </w:r>
      <w:r>
        <w:rPr>
          <w:rFonts w:ascii="Arial" w:hAnsi="宋体" w:cs="Arial" w:hint="eastAsia"/>
          <w:szCs w:val="21"/>
        </w:rPr>
        <w:t>号）等有关规定，本公司现将旗下基金</w:t>
      </w:r>
      <w:bookmarkStart w:id="0" w:name="_GoBack"/>
      <w:bookmarkEnd w:id="0"/>
      <w:r>
        <w:rPr>
          <w:rFonts w:ascii="Arial" w:hAnsi="宋体" w:cs="Arial" w:hint="eastAsia"/>
          <w:szCs w:val="21"/>
        </w:rPr>
        <w:t>投资</w:t>
      </w:r>
      <w:r>
        <w:rPr>
          <w:rFonts w:ascii="Arial" w:hAnsi="宋体" w:cs="Arial" w:hint="eastAsia"/>
          <w:szCs w:val="21"/>
        </w:rPr>
        <w:t>宁德时代（代码</w:t>
      </w:r>
      <w:r>
        <w:rPr>
          <w:rFonts w:ascii="Arial" w:hAnsi="宋体" w:cs="Arial" w:hint="eastAsia"/>
          <w:szCs w:val="21"/>
        </w:rPr>
        <w:t>300750</w:t>
      </w:r>
      <w:r>
        <w:rPr>
          <w:rFonts w:ascii="Arial" w:hAnsi="宋体" w:cs="Arial" w:hint="eastAsia"/>
          <w:szCs w:val="21"/>
        </w:rPr>
        <w:t>）</w:t>
      </w:r>
      <w:r>
        <w:rPr>
          <w:rFonts w:ascii="Arial" w:hAnsi="宋体" w:cs="Arial" w:hint="eastAsia"/>
          <w:szCs w:val="21"/>
        </w:rPr>
        <w:t>非公开发行股票的相关信息公告如下：</w:t>
      </w: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2169"/>
        <w:gridCol w:w="1220"/>
        <w:gridCol w:w="1529"/>
        <w:gridCol w:w="981"/>
        <w:gridCol w:w="1547"/>
        <w:gridCol w:w="1005"/>
        <w:gridCol w:w="977"/>
      </w:tblGrid>
      <w:tr w:rsidR="000208BD">
        <w:trPr>
          <w:trHeight w:val="1020"/>
          <w:jc w:val="center"/>
        </w:trPr>
        <w:tc>
          <w:tcPr>
            <w:tcW w:w="984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2169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220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认购数量（股）</w:t>
            </w:r>
          </w:p>
        </w:tc>
        <w:tc>
          <w:tcPr>
            <w:tcW w:w="1529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总成本（元）</w:t>
            </w:r>
          </w:p>
        </w:tc>
        <w:tc>
          <w:tcPr>
            <w:tcW w:w="981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1547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005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977" w:type="dxa"/>
            <w:vAlign w:val="center"/>
          </w:tcPr>
          <w:p w:rsidR="000208BD" w:rsidRDefault="00DC69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限售期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159357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博时中证</w:t>
            </w:r>
            <w:r>
              <w:t>A500ETF</w:t>
            </w:r>
          </w:p>
        </w:tc>
        <w:tc>
          <w:tcPr>
            <w:tcW w:w="1220" w:type="dxa"/>
          </w:tcPr>
          <w:p w:rsidR="000208BD" w:rsidRDefault="00DC6915">
            <w:r>
              <w:t>106,700.00</w:t>
            </w:r>
          </w:p>
        </w:tc>
        <w:tc>
          <w:tcPr>
            <w:tcW w:w="1529" w:type="dxa"/>
          </w:tcPr>
          <w:p w:rsidR="000208BD" w:rsidRDefault="00DC6915">
            <w:r>
              <w:t>43,783,278.00</w:t>
            </w:r>
          </w:p>
        </w:tc>
        <w:tc>
          <w:tcPr>
            <w:tcW w:w="981" w:type="dxa"/>
          </w:tcPr>
          <w:p w:rsidR="000208BD" w:rsidRDefault="00DC6915">
            <w:r>
              <w:t>2.18%</w:t>
            </w:r>
          </w:p>
        </w:tc>
        <w:tc>
          <w:tcPr>
            <w:tcW w:w="1547" w:type="dxa"/>
          </w:tcPr>
          <w:p w:rsidR="000208BD" w:rsidRDefault="00DC6915">
            <w:r>
              <w:t>45,007,127.00</w:t>
            </w:r>
          </w:p>
        </w:tc>
        <w:tc>
          <w:tcPr>
            <w:tcW w:w="1005" w:type="dxa"/>
          </w:tcPr>
          <w:p w:rsidR="000208BD" w:rsidRDefault="00DC6915">
            <w:r>
              <w:t>2.24%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019712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博时稳合一年持有期混合</w:t>
            </w:r>
          </w:p>
        </w:tc>
        <w:tc>
          <w:tcPr>
            <w:tcW w:w="1220" w:type="dxa"/>
          </w:tcPr>
          <w:p w:rsidR="000208BD" w:rsidRDefault="00DC6915">
            <w:r>
              <w:t>19,600.00</w:t>
            </w:r>
          </w:p>
        </w:tc>
        <w:tc>
          <w:tcPr>
            <w:tcW w:w="1529" w:type="dxa"/>
          </w:tcPr>
          <w:p w:rsidR="000208BD" w:rsidRDefault="00DC6915">
            <w:r>
              <w:t>8,042,664.00</w:t>
            </w:r>
          </w:p>
        </w:tc>
        <w:tc>
          <w:tcPr>
            <w:tcW w:w="981" w:type="dxa"/>
          </w:tcPr>
          <w:p w:rsidR="000208BD" w:rsidRDefault="00DC6915">
            <w:r>
              <w:t>2.02%</w:t>
            </w:r>
          </w:p>
        </w:tc>
        <w:tc>
          <w:tcPr>
            <w:tcW w:w="1547" w:type="dxa"/>
          </w:tcPr>
          <w:p w:rsidR="000208BD" w:rsidRDefault="00DC6915">
            <w:r>
              <w:t>8,267,476.00</w:t>
            </w:r>
          </w:p>
        </w:tc>
        <w:tc>
          <w:tcPr>
            <w:tcW w:w="1005" w:type="dxa"/>
          </w:tcPr>
          <w:p w:rsidR="000208BD" w:rsidRDefault="00DC6915">
            <w:r>
              <w:t>2.08%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159824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博时新能源汽车</w:t>
            </w:r>
            <w:r>
              <w:t>ETF</w:t>
            </w:r>
          </w:p>
        </w:tc>
        <w:tc>
          <w:tcPr>
            <w:tcW w:w="1220" w:type="dxa"/>
          </w:tcPr>
          <w:p w:rsidR="000208BD" w:rsidRDefault="00DC6915">
            <w:r>
              <w:t>3,700.00</w:t>
            </w:r>
          </w:p>
        </w:tc>
        <w:tc>
          <w:tcPr>
            <w:tcW w:w="1529" w:type="dxa"/>
          </w:tcPr>
          <w:p w:rsidR="000208BD" w:rsidRDefault="00DC6915">
            <w:r>
              <w:t>1,518,258.00</w:t>
            </w:r>
          </w:p>
        </w:tc>
        <w:tc>
          <w:tcPr>
            <w:tcW w:w="981" w:type="dxa"/>
          </w:tcPr>
          <w:p w:rsidR="000208BD" w:rsidRDefault="00DC6915">
            <w:r>
              <w:t>0.61%</w:t>
            </w:r>
          </w:p>
        </w:tc>
        <w:tc>
          <w:tcPr>
            <w:tcW w:w="1547" w:type="dxa"/>
          </w:tcPr>
          <w:p w:rsidR="000208BD" w:rsidRDefault="00DC6915">
            <w:r>
              <w:t>1,560,697.00</w:t>
            </w:r>
          </w:p>
        </w:tc>
        <w:tc>
          <w:tcPr>
            <w:tcW w:w="1005" w:type="dxa"/>
          </w:tcPr>
          <w:p w:rsidR="000208BD" w:rsidRDefault="00DC6915">
            <w:r>
              <w:t>0.62%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588390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博时中证科创创业</w:t>
            </w:r>
            <w:r>
              <w:t>50ETF</w:t>
            </w:r>
          </w:p>
        </w:tc>
        <w:tc>
          <w:tcPr>
            <w:tcW w:w="1220" w:type="dxa"/>
          </w:tcPr>
          <w:p w:rsidR="000208BD" w:rsidRDefault="00DC6915">
            <w:r>
              <w:t>3,300.00</w:t>
            </w:r>
          </w:p>
        </w:tc>
        <w:tc>
          <w:tcPr>
            <w:tcW w:w="1529" w:type="dxa"/>
          </w:tcPr>
          <w:p w:rsidR="000208BD" w:rsidRDefault="00DC6915">
            <w:r>
              <w:t>1,354,122.00</w:t>
            </w:r>
          </w:p>
        </w:tc>
        <w:tc>
          <w:tcPr>
            <w:tcW w:w="981" w:type="dxa"/>
          </w:tcPr>
          <w:p w:rsidR="000208BD" w:rsidRDefault="00DC6915">
            <w:r>
              <w:t>0.69%</w:t>
            </w:r>
          </w:p>
        </w:tc>
        <w:tc>
          <w:tcPr>
            <w:tcW w:w="1547" w:type="dxa"/>
          </w:tcPr>
          <w:p w:rsidR="000208BD" w:rsidRDefault="00DC6915">
            <w:r>
              <w:t>1,391,973.00</w:t>
            </w:r>
          </w:p>
        </w:tc>
        <w:tc>
          <w:tcPr>
            <w:tcW w:w="1005" w:type="dxa"/>
          </w:tcPr>
          <w:p w:rsidR="000208BD" w:rsidRDefault="00DC6915">
            <w:r>
              <w:t>0.71%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013465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博时智选量化多因子股票</w:t>
            </w:r>
          </w:p>
        </w:tc>
        <w:tc>
          <w:tcPr>
            <w:tcW w:w="1220" w:type="dxa"/>
          </w:tcPr>
          <w:p w:rsidR="000208BD" w:rsidRDefault="00DC6915">
            <w:r>
              <w:t>234,000.00</w:t>
            </w:r>
          </w:p>
        </w:tc>
        <w:tc>
          <w:tcPr>
            <w:tcW w:w="1529" w:type="dxa"/>
          </w:tcPr>
          <w:p w:rsidR="000208BD" w:rsidRDefault="00DC6915">
            <w:r>
              <w:t>96,019,560.00</w:t>
            </w:r>
          </w:p>
        </w:tc>
        <w:tc>
          <w:tcPr>
            <w:tcW w:w="981" w:type="dxa"/>
          </w:tcPr>
          <w:p w:rsidR="000208BD" w:rsidRDefault="00DC6915">
            <w:r>
              <w:t>4.26%</w:t>
            </w:r>
          </w:p>
        </w:tc>
        <w:tc>
          <w:tcPr>
            <w:tcW w:w="1547" w:type="dxa"/>
          </w:tcPr>
          <w:p w:rsidR="000208BD" w:rsidRDefault="00DC6915">
            <w:r>
              <w:t>98,703,540.00</w:t>
            </w:r>
          </w:p>
        </w:tc>
        <w:tc>
          <w:tcPr>
            <w:tcW w:w="1005" w:type="dxa"/>
          </w:tcPr>
          <w:p w:rsidR="000208BD" w:rsidRDefault="00DC6915">
            <w:r>
              <w:t>4.38%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011177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博时汇融回报一年持有期混合</w:t>
            </w:r>
          </w:p>
        </w:tc>
        <w:tc>
          <w:tcPr>
            <w:tcW w:w="1220" w:type="dxa"/>
          </w:tcPr>
          <w:p w:rsidR="000208BD" w:rsidRDefault="00DC6915">
            <w:r>
              <w:t>90,000.00</w:t>
            </w:r>
          </w:p>
        </w:tc>
        <w:tc>
          <w:tcPr>
            <w:tcW w:w="1529" w:type="dxa"/>
          </w:tcPr>
          <w:p w:rsidR="000208BD" w:rsidRDefault="00DC6915">
            <w:r>
              <w:t>36,930,600.00</w:t>
            </w:r>
          </w:p>
        </w:tc>
        <w:tc>
          <w:tcPr>
            <w:tcW w:w="981" w:type="dxa"/>
          </w:tcPr>
          <w:p w:rsidR="000208BD" w:rsidRDefault="00DC6915">
            <w:r>
              <w:t>3.12%</w:t>
            </w:r>
          </w:p>
        </w:tc>
        <w:tc>
          <w:tcPr>
            <w:tcW w:w="1547" w:type="dxa"/>
          </w:tcPr>
          <w:p w:rsidR="000208BD" w:rsidRDefault="00DC6915">
            <w:r>
              <w:t>37,962,900.00</w:t>
            </w:r>
          </w:p>
        </w:tc>
        <w:tc>
          <w:tcPr>
            <w:tcW w:w="1005" w:type="dxa"/>
          </w:tcPr>
          <w:p w:rsidR="000208BD" w:rsidRDefault="00DC6915">
            <w:r>
              <w:t>3.20%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018130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</w:t>
            </w:r>
            <w:r>
              <w:t>ESG</w:t>
            </w:r>
            <w:r>
              <w:t>量化选股混合</w:t>
            </w:r>
          </w:p>
        </w:tc>
        <w:tc>
          <w:tcPr>
            <w:tcW w:w="1220" w:type="dxa"/>
          </w:tcPr>
          <w:p w:rsidR="000208BD" w:rsidRDefault="00DC6915">
            <w:r>
              <w:t>94,000.00</w:t>
            </w:r>
          </w:p>
        </w:tc>
        <w:tc>
          <w:tcPr>
            <w:tcW w:w="1529" w:type="dxa"/>
          </w:tcPr>
          <w:p w:rsidR="000208BD" w:rsidRDefault="00DC6915">
            <w:r>
              <w:t>38,571,960.00</w:t>
            </w:r>
          </w:p>
        </w:tc>
        <w:tc>
          <w:tcPr>
            <w:tcW w:w="981" w:type="dxa"/>
          </w:tcPr>
          <w:p w:rsidR="000208BD" w:rsidRDefault="00DC6915">
            <w:r>
              <w:t>3.99%</w:t>
            </w:r>
          </w:p>
        </w:tc>
        <w:tc>
          <w:tcPr>
            <w:tcW w:w="1547" w:type="dxa"/>
          </w:tcPr>
          <w:p w:rsidR="000208BD" w:rsidRDefault="00DC6915">
            <w:r>
              <w:t>39,650,140.00</w:t>
            </w:r>
          </w:p>
        </w:tc>
        <w:tc>
          <w:tcPr>
            <w:tcW w:w="1005" w:type="dxa"/>
          </w:tcPr>
          <w:p w:rsidR="000208BD" w:rsidRDefault="00DC6915">
            <w:r>
              <w:t>4.10%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516580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博时新能源</w:t>
            </w:r>
            <w:r>
              <w:t>ETF</w:t>
            </w:r>
          </w:p>
        </w:tc>
        <w:tc>
          <w:tcPr>
            <w:tcW w:w="1220" w:type="dxa"/>
          </w:tcPr>
          <w:p w:rsidR="000208BD" w:rsidRDefault="00DC6915">
            <w:r>
              <w:t>1,700.00</w:t>
            </w:r>
          </w:p>
        </w:tc>
        <w:tc>
          <w:tcPr>
            <w:tcW w:w="1529" w:type="dxa"/>
          </w:tcPr>
          <w:p w:rsidR="000208BD" w:rsidRDefault="00DC6915">
            <w:r>
              <w:t>697,578.00</w:t>
            </w:r>
          </w:p>
        </w:tc>
        <w:tc>
          <w:tcPr>
            <w:tcW w:w="981" w:type="dxa"/>
          </w:tcPr>
          <w:p w:rsidR="000208BD" w:rsidRDefault="00DC6915">
            <w:r>
              <w:t>0.60%</w:t>
            </w:r>
          </w:p>
        </w:tc>
        <w:tc>
          <w:tcPr>
            <w:tcW w:w="1547" w:type="dxa"/>
          </w:tcPr>
          <w:p w:rsidR="000208BD" w:rsidRDefault="00DC6915">
            <w:r>
              <w:t>717,077.00</w:t>
            </w:r>
          </w:p>
        </w:tc>
        <w:tc>
          <w:tcPr>
            <w:tcW w:w="1005" w:type="dxa"/>
          </w:tcPr>
          <w:p w:rsidR="000208BD" w:rsidRDefault="00DC6915">
            <w:r>
              <w:t>0.62%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050002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博时沪深</w:t>
            </w:r>
            <w:r>
              <w:t>300</w:t>
            </w:r>
            <w:r>
              <w:t>指数</w:t>
            </w:r>
          </w:p>
        </w:tc>
        <w:tc>
          <w:tcPr>
            <w:tcW w:w="1220" w:type="dxa"/>
          </w:tcPr>
          <w:p w:rsidR="000208BD" w:rsidRDefault="00DC6915">
            <w:r>
              <w:t>347,000.00</w:t>
            </w:r>
          </w:p>
        </w:tc>
        <w:tc>
          <w:tcPr>
            <w:tcW w:w="1529" w:type="dxa"/>
          </w:tcPr>
          <w:p w:rsidR="000208BD" w:rsidRDefault="00DC6915">
            <w:r>
              <w:t>142,387,980.00</w:t>
            </w:r>
          </w:p>
        </w:tc>
        <w:tc>
          <w:tcPr>
            <w:tcW w:w="981" w:type="dxa"/>
          </w:tcPr>
          <w:p w:rsidR="000208BD" w:rsidRDefault="00DC6915">
            <w:r>
              <w:t>2.66%</w:t>
            </w:r>
          </w:p>
        </w:tc>
        <w:tc>
          <w:tcPr>
            <w:tcW w:w="1547" w:type="dxa"/>
          </w:tcPr>
          <w:p w:rsidR="000208BD" w:rsidRDefault="00DC6915">
            <w:r>
              <w:t>146,368,070.00</w:t>
            </w:r>
          </w:p>
        </w:tc>
        <w:tc>
          <w:tcPr>
            <w:tcW w:w="1005" w:type="dxa"/>
          </w:tcPr>
          <w:p w:rsidR="000208BD" w:rsidRDefault="00DC6915">
            <w:r>
              <w:t>2.74%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  <w:tr w:rsidR="000208BD">
        <w:trPr>
          <w:jc w:val="center"/>
        </w:trPr>
        <w:tc>
          <w:tcPr>
            <w:tcW w:w="984" w:type="dxa"/>
          </w:tcPr>
          <w:p w:rsidR="000208BD" w:rsidRDefault="00DC6915">
            <w:r>
              <w:rPr>
                <w:rFonts w:hint="eastAsia"/>
              </w:rPr>
              <w:t>159908</w:t>
            </w:r>
          </w:p>
        </w:tc>
        <w:tc>
          <w:tcPr>
            <w:tcW w:w="2169" w:type="dxa"/>
          </w:tcPr>
          <w:p w:rsidR="000208BD" w:rsidRDefault="00DC6915">
            <w:pPr>
              <w:jc w:val="left"/>
            </w:pPr>
            <w:r>
              <w:t>博时创业板</w:t>
            </w:r>
            <w:r>
              <w:t>ETF</w:t>
            </w:r>
          </w:p>
        </w:tc>
        <w:tc>
          <w:tcPr>
            <w:tcW w:w="1220" w:type="dxa"/>
          </w:tcPr>
          <w:p w:rsidR="000208BD" w:rsidRDefault="00DC6915">
            <w:r>
              <w:t>30,000.00</w:t>
            </w:r>
          </w:p>
        </w:tc>
        <w:tc>
          <w:tcPr>
            <w:tcW w:w="1529" w:type="dxa"/>
          </w:tcPr>
          <w:p w:rsidR="000208BD" w:rsidRDefault="00DC6915">
            <w:r>
              <w:t>12,310,200.00</w:t>
            </w:r>
          </w:p>
        </w:tc>
        <w:tc>
          <w:tcPr>
            <w:tcW w:w="981" w:type="dxa"/>
          </w:tcPr>
          <w:p w:rsidR="000208BD" w:rsidRDefault="00DC6915">
            <w:r>
              <w:t>1.14%</w:t>
            </w:r>
          </w:p>
        </w:tc>
        <w:tc>
          <w:tcPr>
            <w:tcW w:w="1547" w:type="dxa"/>
          </w:tcPr>
          <w:p w:rsidR="000208BD" w:rsidRDefault="00DC6915">
            <w:r>
              <w:t>12,654,300.00</w:t>
            </w:r>
          </w:p>
        </w:tc>
        <w:tc>
          <w:tcPr>
            <w:tcW w:w="1005" w:type="dxa"/>
          </w:tcPr>
          <w:p w:rsidR="000208BD" w:rsidRDefault="00DC6915">
            <w:r>
              <w:t>1.17%</w:t>
            </w:r>
          </w:p>
        </w:tc>
        <w:tc>
          <w:tcPr>
            <w:tcW w:w="977" w:type="dxa"/>
          </w:tcPr>
          <w:p w:rsidR="000208BD" w:rsidRDefault="00DC6915">
            <w:r>
              <w:t>6</w:t>
            </w:r>
            <w:r>
              <w:t>个月</w:t>
            </w:r>
          </w:p>
        </w:tc>
      </w:tr>
    </w:tbl>
    <w:p w:rsidR="000208BD" w:rsidRDefault="00DC6915">
      <w:pPr>
        <w:spacing w:line="360" w:lineRule="auto"/>
        <w:ind w:firstLineChars="200" w:firstLine="400"/>
        <w:rPr>
          <w:rFonts w:ascii="Arial" w:hAnsi="宋体" w:cs="Arial"/>
          <w:sz w:val="20"/>
          <w:szCs w:val="21"/>
        </w:rPr>
      </w:pPr>
      <w:r>
        <w:rPr>
          <w:rFonts w:ascii="Arial" w:hAnsi="宋体" w:cs="Arial" w:hint="eastAsia"/>
          <w:sz w:val="20"/>
          <w:szCs w:val="21"/>
        </w:rPr>
        <w:t>注：基金资产净值、账面价值为</w:t>
      </w:r>
      <w:r>
        <w:rPr>
          <w:rFonts w:ascii="Arial" w:hAnsi="宋体" w:cs="Arial" w:hint="eastAsia"/>
          <w:sz w:val="20"/>
          <w:szCs w:val="21"/>
        </w:rPr>
        <w:t>2026</w:t>
      </w:r>
      <w:r>
        <w:rPr>
          <w:rFonts w:ascii="Arial" w:hAnsi="宋体" w:cs="Arial" w:hint="eastAsia"/>
          <w:sz w:val="20"/>
          <w:szCs w:val="21"/>
        </w:rPr>
        <w:t>年</w:t>
      </w:r>
      <w:r>
        <w:rPr>
          <w:rFonts w:ascii="Arial" w:hAnsi="宋体" w:cs="Arial" w:hint="eastAsia"/>
          <w:sz w:val="20"/>
          <w:szCs w:val="21"/>
        </w:rPr>
        <w:t>04</w:t>
      </w:r>
      <w:r>
        <w:rPr>
          <w:rFonts w:ascii="Arial" w:hAnsi="宋体" w:cs="Arial" w:hint="eastAsia"/>
          <w:sz w:val="20"/>
          <w:szCs w:val="21"/>
        </w:rPr>
        <w:t>月</w:t>
      </w:r>
      <w:r>
        <w:rPr>
          <w:rFonts w:ascii="Arial" w:hAnsi="宋体" w:cs="Arial" w:hint="eastAsia"/>
          <w:sz w:val="20"/>
          <w:szCs w:val="21"/>
        </w:rPr>
        <w:t>24</w:t>
      </w:r>
      <w:r>
        <w:rPr>
          <w:rFonts w:ascii="Arial" w:hAnsi="宋体" w:cs="Arial" w:hint="eastAsia"/>
          <w:sz w:val="20"/>
          <w:szCs w:val="21"/>
        </w:rPr>
        <w:t>日</w:t>
      </w:r>
      <w:r>
        <w:rPr>
          <w:rFonts w:ascii="Arial" w:hAnsi="宋体" w:cs="Arial"/>
          <w:sz w:val="20"/>
          <w:szCs w:val="21"/>
        </w:rPr>
        <w:t>数据。</w:t>
      </w:r>
    </w:p>
    <w:p w:rsidR="000208BD" w:rsidRDefault="000208BD">
      <w:pPr>
        <w:widowControl/>
        <w:snapToGrid w:val="0"/>
        <w:spacing w:line="360" w:lineRule="auto"/>
        <w:ind w:firstLineChars="200" w:firstLine="420"/>
        <w:jc w:val="left"/>
        <w:rPr>
          <w:rFonts w:ascii="Arial" w:hAnsi="Arial" w:cs="Arial"/>
          <w:szCs w:val="21"/>
        </w:rPr>
      </w:pPr>
    </w:p>
    <w:p w:rsidR="000208BD" w:rsidRDefault="00DC6915">
      <w:pPr>
        <w:ind w:right="525"/>
        <w:rPr>
          <w:rFonts w:ascii="Arial" w:hAnsi="宋体" w:cs="Arial"/>
          <w:szCs w:val="21"/>
        </w:rPr>
      </w:pPr>
      <w:r>
        <w:rPr>
          <w:rFonts w:ascii="Arial" w:hAnsi="宋体" w:cs="Arial"/>
          <w:szCs w:val="21"/>
        </w:rPr>
        <w:t>特此公告。</w:t>
      </w:r>
    </w:p>
    <w:p w:rsidR="000208BD" w:rsidRDefault="000208BD">
      <w:pPr>
        <w:ind w:right="525"/>
        <w:rPr>
          <w:rFonts w:ascii="Arial" w:hAnsi="Arial" w:cs="Arial"/>
        </w:rPr>
      </w:pPr>
    </w:p>
    <w:p w:rsidR="000208BD" w:rsidRDefault="00DC6915">
      <w:pPr>
        <w:widowControl/>
        <w:snapToGrid w:val="0"/>
        <w:spacing w:line="360" w:lineRule="auto"/>
        <w:ind w:firstLineChars="200" w:firstLine="420"/>
        <w:jc w:val="righ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博时基金管理有限公司</w:t>
      </w:r>
    </w:p>
    <w:p w:rsidR="000208BD" w:rsidRDefault="00DC6915">
      <w:pPr>
        <w:widowControl/>
        <w:snapToGrid w:val="0"/>
        <w:spacing w:line="360" w:lineRule="auto"/>
        <w:ind w:firstLineChars="200" w:firstLine="420"/>
        <w:jc w:val="right"/>
      </w:pPr>
      <w:r>
        <w:rPr>
          <w:rFonts w:ascii="Arial" w:hAnsi="Arial" w:cs="Arial" w:hint="eastAsia"/>
          <w:kern w:val="0"/>
          <w:szCs w:val="21"/>
        </w:rPr>
        <w:t>2026</w:t>
      </w:r>
      <w:r>
        <w:rPr>
          <w:rFonts w:ascii="Arial" w:hAnsi="Arial" w:cs="Arial" w:hint="eastAsia"/>
          <w:kern w:val="0"/>
          <w:szCs w:val="21"/>
        </w:rPr>
        <w:t>年</w:t>
      </w:r>
      <w:r>
        <w:rPr>
          <w:rFonts w:ascii="Arial" w:hAnsi="Arial" w:cs="Arial" w:hint="eastAsia"/>
          <w:kern w:val="0"/>
          <w:szCs w:val="21"/>
        </w:rPr>
        <w:t>04</w:t>
      </w:r>
      <w:r>
        <w:rPr>
          <w:rFonts w:ascii="Arial" w:hAnsi="Arial" w:cs="Arial" w:hint="eastAsia"/>
          <w:kern w:val="0"/>
          <w:szCs w:val="21"/>
        </w:rPr>
        <w:t>月</w:t>
      </w:r>
      <w:r>
        <w:rPr>
          <w:rFonts w:ascii="Arial" w:hAnsi="Arial" w:cs="Arial" w:hint="eastAsia"/>
          <w:kern w:val="0"/>
          <w:szCs w:val="21"/>
        </w:rPr>
        <w:t>28</w:t>
      </w:r>
      <w:r>
        <w:rPr>
          <w:rFonts w:ascii="Arial" w:hAnsi="Arial" w:cs="Arial" w:hint="eastAsia"/>
          <w:kern w:val="0"/>
          <w:szCs w:val="21"/>
        </w:rPr>
        <w:t>日</w:t>
      </w:r>
    </w:p>
    <w:p w:rsidR="000208BD" w:rsidRDefault="000208BD"/>
    <w:sectPr w:rsidR="000208BD" w:rsidSect="000208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1D31E9"/>
    <w:rsid w:val="FFFC63CA"/>
    <w:rsid w:val="000208BD"/>
    <w:rsid w:val="00DC6915"/>
    <w:rsid w:val="02B73E03"/>
    <w:rsid w:val="05534675"/>
    <w:rsid w:val="193C06D0"/>
    <w:rsid w:val="33113D4E"/>
    <w:rsid w:val="331F5DAE"/>
    <w:rsid w:val="3BF874D2"/>
    <w:rsid w:val="42D26E55"/>
    <w:rsid w:val="431D31E9"/>
    <w:rsid w:val="4BD815C5"/>
    <w:rsid w:val="4BF973C2"/>
    <w:rsid w:val="630F7674"/>
    <w:rsid w:val="649D011F"/>
    <w:rsid w:val="B7FE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8B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4</DocSecurity>
  <Lines>7</Lines>
  <Paragraphs>2</Paragraphs>
  <ScaleCrop>false</ScaleCrop>
  <Company>CNSTOCK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ZHONGM</cp:lastModifiedBy>
  <cp:revision>2</cp:revision>
  <dcterms:created xsi:type="dcterms:W3CDTF">2026-04-27T16:06:00Z</dcterms:created>
  <dcterms:modified xsi:type="dcterms:W3CDTF">2026-04-27T16:06:00Z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5DC12D9F7C264E28B4CCE4C7D16195C9</vt:lpwstr>
  </property>
</Properties>
</file>