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E69" w:rsidRPr="00EC7970" w:rsidRDefault="007D5E69" w:rsidP="00EC7970">
      <w:pPr>
        <w:spacing w:line="360" w:lineRule="auto"/>
        <w:jc w:val="center"/>
        <w:rPr>
          <w:b/>
          <w:sz w:val="28"/>
        </w:rPr>
      </w:pPr>
      <w:r w:rsidRPr="00EC7970">
        <w:rPr>
          <w:rFonts w:hint="eastAsia"/>
          <w:b/>
          <w:sz w:val="28"/>
        </w:rPr>
        <w:t>信达澳亚基金管理有限公司</w:t>
      </w:r>
    </w:p>
    <w:p w:rsidR="007D5E69" w:rsidRPr="00EC7970" w:rsidRDefault="00236950" w:rsidP="00EC7970">
      <w:pPr>
        <w:spacing w:line="360" w:lineRule="auto"/>
        <w:jc w:val="center"/>
        <w:rPr>
          <w:b/>
          <w:sz w:val="28"/>
        </w:rPr>
      </w:pPr>
      <w:r w:rsidRPr="00236950">
        <w:rPr>
          <w:rFonts w:hint="eastAsia"/>
          <w:b/>
          <w:sz w:val="28"/>
        </w:rPr>
        <w:t>关于调整旗下部分基金风险等级的公告</w:t>
      </w:r>
    </w:p>
    <w:p w:rsidR="002F39AD" w:rsidRPr="00EC7970" w:rsidRDefault="007D5E69" w:rsidP="00EC7970">
      <w:pPr>
        <w:spacing w:line="360" w:lineRule="auto"/>
        <w:ind w:firstLine="420"/>
        <w:rPr>
          <w:sz w:val="24"/>
          <w:szCs w:val="24"/>
        </w:rPr>
      </w:pPr>
      <w:r w:rsidRPr="00EC7970">
        <w:rPr>
          <w:rFonts w:hint="eastAsia"/>
          <w:sz w:val="24"/>
          <w:szCs w:val="24"/>
        </w:rPr>
        <w:t>根据《证券投资基金销售适用性指导意见》、《证券期货投资者适当性管理办法》及《基金募集机构投资者适当性管理实施指引（试行）》等相关法规规定，以及信达澳亚基金管理有限公司（以下简称“本公司”）投资者适当性管理要求，本公司对旗下公募基金产品风险等级进行了评估，对涉及风险等级调整的产品公告如下，敬请广大投资者及相关销售机构关注基金风险等级的变化以及对投资决策带来的影响。</w:t>
      </w:r>
    </w:p>
    <w:p w:rsidR="007D5E69" w:rsidRPr="00EC7970" w:rsidRDefault="007D5E69" w:rsidP="00EC7970">
      <w:pPr>
        <w:spacing w:line="360" w:lineRule="auto"/>
        <w:ind w:firstLine="420"/>
        <w:rPr>
          <w:sz w:val="24"/>
          <w:szCs w:val="24"/>
        </w:rPr>
      </w:pPr>
      <w:r w:rsidRPr="00EC7970">
        <w:rPr>
          <w:rFonts w:hint="eastAsia"/>
          <w:sz w:val="24"/>
          <w:szCs w:val="24"/>
        </w:rPr>
        <w:t>本次风险等级调整事项自公告之日起生效。投资者可登陆本公司官方网站（</w:t>
      </w:r>
      <w:r w:rsidRPr="00EC7970">
        <w:rPr>
          <w:rFonts w:hint="eastAsia"/>
          <w:sz w:val="24"/>
          <w:szCs w:val="24"/>
        </w:rPr>
        <w:t>www.fscinda.com</w:t>
      </w:r>
      <w:r w:rsidRPr="00EC7970">
        <w:rPr>
          <w:rFonts w:hint="eastAsia"/>
          <w:sz w:val="24"/>
          <w:szCs w:val="24"/>
        </w:rPr>
        <w:t>）查询、了解各公募基金的风险等级，或拨打本公司客户服务电话</w:t>
      </w:r>
      <w:r w:rsidRPr="00EC7970">
        <w:rPr>
          <w:rFonts w:hint="eastAsia"/>
          <w:sz w:val="24"/>
          <w:szCs w:val="24"/>
        </w:rPr>
        <w:t xml:space="preserve"> </w:t>
      </w:r>
      <w:r w:rsidRPr="00EC7970">
        <w:rPr>
          <w:sz w:val="24"/>
          <w:szCs w:val="24"/>
        </w:rPr>
        <w:t>400-8888-118/ 0755-83160160</w:t>
      </w:r>
      <w:r w:rsidRPr="00EC7970">
        <w:rPr>
          <w:rFonts w:hint="eastAsia"/>
          <w:sz w:val="24"/>
          <w:szCs w:val="24"/>
        </w:rPr>
        <w:t>咨询详情。</w:t>
      </w:r>
    </w:p>
    <w:p w:rsidR="007D5E69" w:rsidRPr="00257114" w:rsidRDefault="007D5E69" w:rsidP="00EC7970">
      <w:pPr>
        <w:spacing w:line="360" w:lineRule="auto"/>
        <w:ind w:firstLine="420"/>
        <w:jc w:val="center"/>
        <w:rPr>
          <w:b/>
          <w:sz w:val="24"/>
          <w:szCs w:val="24"/>
        </w:rPr>
      </w:pPr>
      <w:r w:rsidRPr="00257114">
        <w:rPr>
          <w:rFonts w:hint="eastAsia"/>
          <w:b/>
          <w:sz w:val="24"/>
          <w:szCs w:val="24"/>
        </w:rPr>
        <w:t>风险等级变化一览表</w:t>
      </w:r>
    </w:p>
    <w:tbl>
      <w:tblPr>
        <w:tblW w:w="0" w:type="auto"/>
        <w:tblLayout w:type="fixed"/>
        <w:tblLook w:val="04A0"/>
      </w:tblPr>
      <w:tblGrid>
        <w:gridCol w:w="2405"/>
        <w:gridCol w:w="2126"/>
        <w:gridCol w:w="851"/>
        <w:gridCol w:w="1417"/>
        <w:gridCol w:w="1497"/>
      </w:tblGrid>
      <w:tr w:rsidR="007D5E69" w:rsidRPr="00257114" w:rsidTr="003E4785">
        <w:trPr>
          <w:trHeight w:val="56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5E69" w:rsidRPr="00257114" w:rsidRDefault="007D5E69" w:rsidP="007D5E69">
            <w:pPr>
              <w:widowControl/>
              <w:jc w:val="center"/>
              <w:rPr>
                <w:rFonts w:asciiTheme="minorEastAsia" w:hAnsiTheme="minorEastAsia" w:cs="Arial"/>
                <w:b/>
                <w:bCs/>
                <w:color w:val="000000"/>
                <w:kern w:val="0"/>
                <w:szCs w:val="21"/>
              </w:rPr>
            </w:pPr>
            <w:r w:rsidRPr="00257114">
              <w:rPr>
                <w:rFonts w:asciiTheme="minorEastAsia" w:hAnsiTheme="minorEastAsia" w:cs="Arial" w:hint="eastAsia"/>
                <w:b/>
                <w:bCs/>
                <w:color w:val="000000"/>
                <w:kern w:val="0"/>
                <w:szCs w:val="21"/>
              </w:rPr>
              <w:t>基金全称</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D5E69" w:rsidRPr="00257114" w:rsidRDefault="00217F22" w:rsidP="003E4785">
            <w:pPr>
              <w:widowControl/>
              <w:jc w:val="center"/>
              <w:rPr>
                <w:rFonts w:asciiTheme="minorEastAsia" w:hAnsiTheme="minorEastAsia" w:cs="Arial"/>
                <w:b/>
                <w:bCs/>
                <w:color w:val="000000"/>
                <w:kern w:val="0"/>
                <w:szCs w:val="21"/>
              </w:rPr>
            </w:pPr>
            <w:r>
              <w:rPr>
                <w:rFonts w:asciiTheme="minorEastAsia" w:hAnsiTheme="minorEastAsia" w:cs="Arial" w:hint="eastAsia"/>
                <w:b/>
                <w:bCs/>
                <w:color w:val="000000"/>
                <w:kern w:val="0"/>
                <w:szCs w:val="21"/>
              </w:rPr>
              <w:t>基金简称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D5E69" w:rsidRPr="00257114" w:rsidRDefault="00217F22" w:rsidP="007D5E69">
            <w:pPr>
              <w:widowControl/>
              <w:jc w:val="center"/>
              <w:rPr>
                <w:rFonts w:asciiTheme="minorEastAsia" w:hAnsiTheme="minorEastAsia" w:cs="Arial"/>
                <w:b/>
                <w:bCs/>
                <w:color w:val="000000"/>
                <w:kern w:val="0"/>
                <w:szCs w:val="21"/>
              </w:rPr>
            </w:pPr>
            <w:r>
              <w:rPr>
                <w:rFonts w:asciiTheme="minorEastAsia" w:hAnsiTheme="minorEastAsia" w:cs="Arial"/>
                <w:b/>
                <w:bCs/>
                <w:color w:val="000000"/>
                <w:kern w:val="0"/>
                <w:szCs w:val="21"/>
              </w:rPr>
              <w:t>基金</w:t>
            </w:r>
            <w:r w:rsidR="007D5E69" w:rsidRPr="00257114">
              <w:rPr>
                <w:rFonts w:asciiTheme="minorEastAsia" w:hAnsiTheme="minorEastAsia" w:cs="Arial" w:hint="eastAsia"/>
                <w:b/>
                <w:bCs/>
                <w:color w:val="000000"/>
                <w:kern w:val="0"/>
                <w:szCs w:val="21"/>
              </w:rPr>
              <w:t>代码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D5E69" w:rsidRPr="00257114" w:rsidRDefault="007D5E69" w:rsidP="007D5E69">
            <w:pPr>
              <w:widowControl/>
              <w:jc w:val="center"/>
              <w:rPr>
                <w:rFonts w:asciiTheme="minorEastAsia" w:hAnsiTheme="minorEastAsia" w:cs="Arial"/>
                <w:b/>
                <w:bCs/>
                <w:color w:val="000000"/>
                <w:kern w:val="0"/>
                <w:szCs w:val="21"/>
              </w:rPr>
            </w:pPr>
            <w:r w:rsidRPr="00257114">
              <w:rPr>
                <w:rFonts w:asciiTheme="minorEastAsia" w:hAnsiTheme="minorEastAsia" w:cs="Arial" w:hint="eastAsia"/>
                <w:b/>
                <w:bCs/>
                <w:color w:val="000000"/>
                <w:kern w:val="0"/>
                <w:szCs w:val="21"/>
              </w:rPr>
              <w:t>风险等级</w:t>
            </w:r>
            <w:r w:rsidRPr="00257114">
              <w:rPr>
                <w:rFonts w:asciiTheme="minorEastAsia" w:hAnsiTheme="minorEastAsia" w:cs="Arial" w:hint="eastAsia"/>
                <w:b/>
                <w:bCs/>
                <w:color w:val="000000"/>
                <w:kern w:val="0"/>
                <w:szCs w:val="21"/>
              </w:rPr>
              <w:br/>
              <w:t>(调整前）</w:t>
            </w:r>
          </w:p>
        </w:tc>
        <w:tc>
          <w:tcPr>
            <w:tcW w:w="1497" w:type="dxa"/>
            <w:tcBorders>
              <w:top w:val="single" w:sz="4" w:space="0" w:color="auto"/>
              <w:left w:val="nil"/>
              <w:bottom w:val="single" w:sz="4" w:space="0" w:color="auto"/>
              <w:right w:val="single" w:sz="4" w:space="0" w:color="auto"/>
            </w:tcBorders>
            <w:shd w:val="clear" w:color="auto" w:fill="auto"/>
            <w:vAlign w:val="center"/>
            <w:hideMark/>
          </w:tcPr>
          <w:p w:rsidR="007D5E69" w:rsidRPr="00257114" w:rsidRDefault="007D5E69" w:rsidP="007D5E69">
            <w:pPr>
              <w:widowControl/>
              <w:jc w:val="center"/>
              <w:rPr>
                <w:rFonts w:asciiTheme="minorEastAsia" w:hAnsiTheme="minorEastAsia" w:cs="Arial"/>
                <w:b/>
                <w:bCs/>
                <w:color w:val="000000"/>
                <w:kern w:val="0"/>
                <w:szCs w:val="21"/>
              </w:rPr>
            </w:pPr>
            <w:r w:rsidRPr="00257114">
              <w:rPr>
                <w:rFonts w:asciiTheme="minorEastAsia" w:hAnsiTheme="minorEastAsia" w:cs="Arial" w:hint="eastAsia"/>
                <w:b/>
                <w:bCs/>
                <w:color w:val="000000"/>
                <w:kern w:val="0"/>
                <w:szCs w:val="21"/>
              </w:rPr>
              <w:t>风险等级</w:t>
            </w:r>
            <w:r w:rsidRPr="00257114">
              <w:rPr>
                <w:rFonts w:asciiTheme="minorEastAsia" w:hAnsiTheme="minorEastAsia" w:cs="Arial" w:hint="eastAsia"/>
                <w:b/>
                <w:bCs/>
                <w:color w:val="000000"/>
                <w:kern w:val="0"/>
                <w:szCs w:val="21"/>
              </w:rPr>
              <w:br/>
              <w:t>(调整后）</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信澳博见成长一年定期开放混合型证券投资基金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信澳博见成长一年定期开放混合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016810</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信澳博见成长一年定期开放混合型证券投资基金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信澳博见成长一年定期开放混合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016811</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信澳产业升级混合型证券投资基金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信澳产业升级混合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610006</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信澳产业升级混合型证券投资基金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信澳产业升级混合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024207</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信澳产业优选一年持有期混合型证券投资基金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信澳产业优选一年持有混合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013495</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信澳产业优选一年持有期混合型证券投资基金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信澳产业优选一年持有混合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013496</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信澳成长精选混合型证券投资基金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信澳成长精选混合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012223</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信澳成长精选混合型证券投资基金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信澳成长精选混合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012224</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信澳高端装备混合型证券投资基金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信澳高端装备混合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024841</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信澳高端装备混合型证券投资基金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信澳高端装备混合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024842</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信澳国企智选混合型证</w:t>
            </w:r>
            <w:r w:rsidRPr="00257114">
              <w:rPr>
                <w:rFonts w:asciiTheme="minorEastAsia" w:hAnsiTheme="minorEastAsia" w:cs="Arial"/>
                <w:kern w:val="0"/>
                <w:szCs w:val="21"/>
              </w:rPr>
              <w:lastRenderedPageBreak/>
              <w:t>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lastRenderedPageBreak/>
              <w:t>信澳国企智选混合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021333</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lastRenderedPageBreak/>
              <w:t>信澳国企智选混合型证券投资基金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信澳国企智选混合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021334</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信澳核心科技混合型证券投资基金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信澳核心科技混合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007484</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信澳核心科技混合型证券投资基金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信澳核心科技混合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018203</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信澳核心智选混合型证券投资基金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信澳核心智选混合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020158</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信澳核心智选混合型证券投资基金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信澳核心智选混合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020159</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信澳恒盛混合型证券投资基金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信澳恒盛混合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012005</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R2-中低风险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信澳恒盛混合型证券投资基金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信澳恒盛混合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012006</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R2-中低风险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信澳红利回报混合型证券投资基金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信澳红利回报混合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610005</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信澳红利回报混合型证券投资基金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信澳红利回报混合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024173</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信澳红利智选混合型证券投资基金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信澳红利智选混合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020657</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信澳红利智选混合型证券投资基金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信澳红利智选混合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020658</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信澳汇智优选一年持有期混合型证券投资基金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信澳汇智优选一年持有期混合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013556</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信澳汇智优选一年持有期混合型证券投资基金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信澳汇智优选一年持有期混合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013557</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信澳价值精选混合型证券投资基金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信澳价值精选混合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013393</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信澳价值精选混合型证券投资基金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信澳价值精选混合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013394</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信澳健康中国灵活配置混合型证券投资基金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信澳健康中国混合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003291</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信澳健康中国灵活配置混合型证券投资基金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信澳健康中国混合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015208</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信澳匠心回报混合型证券投资基金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信澳匠心回报混合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017835</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信澳匠心回报混合型证券投资基金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信澳匠心回报混合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017836</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信澳匠心严选一年持有期混合型证券投资基金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信澳匠心严选一年持有期混合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016372</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信澳匠心严选一年持有期混合型证券投资基金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信澳匠心严选一年持有期混合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016373</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信澳匠心臻选两年持有期混合型证券投资基金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信澳匠心臻选两年持有期混合</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010363</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信澳景气优选混合型证券投资基金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信澳景气优选混合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013721</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信澳景气优选混合型证券投资基金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信澳景气优选混合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013722</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信澳聚优智选混合型证券投资基金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信澳聚优智选混合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017648</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信澳聚优智选混合型证券投资基金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信澳聚优智选混合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017649</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信澳科创创业智选混合型证券投资基金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信澳双创智选混合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018985</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信澳科创创业智选混合型证券投资基金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信澳双创智选混合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018986</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信澳科技创新一年定期开放混合型证券投资基金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信澳科技创新一年定开混合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009437</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信澳科技创新一年定期开放混合型证券投资基金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信澳科技创新一年定开混合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009438</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信澳科技驱动混合型证券投资基金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信澳科技驱动混合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021501</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信澳科技驱动混合型证券投资基金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信澳科技驱动混合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021502</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信澳量化多因子混合型证券投资基金(LOF)</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信澳量化多因子混合</w:t>
            </w:r>
            <w:r>
              <w:rPr>
                <w:rFonts w:hint="eastAsia"/>
                <w:color w:val="000000"/>
                <w:szCs w:val="21"/>
              </w:rPr>
              <w:t>(LOF)A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166107</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信澳量化多因子混合型证券投资基金(LOF)</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信澳量化多因子混合</w:t>
            </w:r>
            <w:r>
              <w:rPr>
                <w:rFonts w:hint="eastAsia"/>
                <w:color w:val="000000"/>
                <w:szCs w:val="21"/>
              </w:rPr>
              <w:t>(LOF)C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166108</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信澳量化先锋混合型证券投资基金(LOF)</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信澳量化先锋混合</w:t>
            </w:r>
            <w:r>
              <w:rPr>
                <w:rFonts w:hint="eastAsia"/>
                <w:color w:val="000000"/>
                <w:szCs w:val="21"/>
              </w:rPr>
              <w:t>(LOF)A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166109</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信澳量化先锋混合型证券投资基金(LOF)</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信澳量化先锋混合</w:t>
            </w:r>
            <w:r>
              <w:rPr>
                <w:rFonts w:hint="eastAsia"/>
                <w:color w:val="000000"/>
                <w:szCs w:val="21"/>
              </w:rPr>
              <w:t>(LOF)C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166110</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信澳领先增长混合型证券投资基金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信澳领先增长混合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610001</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信澳领先增长混合型证券投资基金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信澳领先增长混合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015456</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信澳领先智选混合型证券投资基金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信澳领先智选混合</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012608</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信澳宁隽智选混合型证券投资基金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信澳宁隽智选混合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019720</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信澳宁隽智选混合型证券投资基金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信澳宁隽智选混合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019721</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信澳品质回报6个月持有期混合型证券投资基金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信澳品质回报</w:t>
            </w:r>
            <w:r>
              <w:rPr>
                <w:rFonts w:hint="eastAsia"/>
                <w:color w:val="000000"/>
                <w:szCs w:val="21"/>
              </w:rPr>
              <w:t>6</w:t>
            </w:r>
            <w:r>
              <w:rPr>
                <w:rFonts w:hint="eastAsia"/>
                <w:color w:val="000000"/>
                <w:szCs w:val="21"/>
              </w:rPr>
              <w:t>个月持有混合</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012389</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信澳通合稳健三个月持有期混合型基金中基金(FOF)</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信澳通合稳健三个月持有期混合型</w:t>
            </w:r>
            <w:r>
              <w:rPr>
                <w:rFonts w:hint="eastAsia"/>
                <w:color w:val="000000"/>
                <w:szCs w:val="21"/>
              </w:rPr>
              <w:t>(FOF)A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018651</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R2-中低风险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信澳通合稳健三个月持有期混合型基金中基金(FOF)</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信澳通合稳健三个月持有期混合型</w:t>
            </w:r>
            <w:r>
              <w:rPr>
                <w:rFonts w:hint="eastAsia"/>
                <w:color w:val="000000"/>
                <w:szCs w:val="21"/>
              </w:rPr>
              <w:t>(FOF)C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018652</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R2-中低风险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信澳消费优选混合型证券投资基金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信澳消费优选混合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610007</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信澳消费优选混合型证券投资基金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信澳消费优选混合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024187</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信澳新材料精选混合型证券投资基金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信澳新材料精选混合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019468</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信澳新材料精选混合型证券投资基金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信澳新材料精选混合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019469</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信澳鑫悦智选6个月持有期混合型证券投资基金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信澳鑫悦智选</w:t>
            </w:r>
            <w:r>
              <w:rPr>
                <w:rFonts w:hint="eastAsia"/>
                <w:color w:val="000000"/>
                <w:szCs w:val="21"/>
              </w:rPr>
              <w:t>6</w:t>
            </w:r>
            <w:r>
              <w:rPr>
                <w:rFonts w:hint="eastAsia"/>
                <w:color w:val="000000"/>
                <w:szCs w:val="21"/>
              </w:rPr>
              <w:t>个月持有期混合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019692</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R2-中低风险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信澳鑫悦智选6个月持有期混合型证券投资基金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信澳鑫悦智选</w:t>
            </w:r>
            <w:r>
              <w:rPr>
                <w:rFonts w:hint="eastAsia"/>
                <w:color w:val="000000"/>
                <w:szCs w:val="21"/>
              </w:rPr>
              <w:t>6</w:t>
            </w:r>
            <w:r>
              <w:rPr>
                <w:rFonts w:hint="eastAsia"/>
                <w:color w:val="000000"/>
                <w:szCs w:val="21"/>
              </w:rPr>
              <w:t>个月持有期混合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019693</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R2-中低风险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信澳星亮智选混合型证券投资基金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信澳星亮智选混合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020303</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信澳星亮智选混合型证券投资基金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信澳星亮智选混合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020304</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信澳星瑞智选混合型证券投资基金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信澳星瑞智选混合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023344</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信澳星瑞智选混合型证券投资基金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信澳星瑞智选混合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023345</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信澳星耀智选混合型证券投资基金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信澳星耀智选混合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019030</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信澳星耀智选混合型证券投资基金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信澳星耀智选混合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019031</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信澳星奕混合型证券投资基金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信澳星奕混合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011188</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信澳星奕混合型证券投资基金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信澳星奕混合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011223</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信澳星煜智选混合型证券投资基金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信澳星煜智选混合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020305</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信澳星煜智选混合型证券投资基金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信澳星煜智选混合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020306</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信澳研究优选混合型证券投资基金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信澳研究优选混合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009511</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信澳研究优选混合型证券投资基金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信澳研究优选混合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014954</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信澳业绩驱动混合型证券投资基金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信澳业绩驱动混合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016370</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信澳业绩驱动混合型证券投资基金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信澳业绩驱动混合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016371</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信澳医药健康混合型证券投资基金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信澳医药健康混合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011598</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信澳医药健康混合型证券投资基金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信澳医药健康混合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024171</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信澳颐宁养老目标一年持有期混合型基金中基金(FOF)</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信澳颐宁养老目标一年持有期混合</w:t>
            </w:r>
            <w:r>
              <w:rPr>
                <w:rFonts w:hint="eastAsia"/>
                <w:color w:val="000000"/>
                <w:szCs w:val="21"/>
              </w:rPr>
              <w:t>(FOF)A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017023</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R2-中低风险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信澳颐宁养老目标一年持有期混合型基金中基金(FOF)</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信澳颐宁养老目标一年持有期混合</w:t>
            </w:r>
            <w:r>
              <w:rPr>
                <w:rFonts w:hint="eastAsia"/>
                <w:color w:val="000000"/>
                <w:szCs w:val="21"/>
              </w:rPr>
              <w:t>(FOF)Y</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019779</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R2-中低风险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信澳盈泰稳健3个月持有期混合型基金中基金(FOF)</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信澳盈泰稳健</w:t>
            </w:r>
            <w:r>
              <w:rPr>
                <w:rFonts w:hint="eastAsia"/>
                <w:color w:val="000000"/>
                <w:szCs w:val="21"/>
              </w:rPr>
              <w:t>3</w:t>
            </w:r>
            <w:r>
              <w:rPr>
                <w:rFonts w:hint="eastAsia"/>
                <w:color w:val="000000"/>
                <w:szCs w:val="21"/>
              </w:rPr>
              <w:t>个月持有期混合型</w:t>
            </w:r>
            <w:r>
              <w:rPr>
                <w:rFonts w:hint="eastAsia"/>
                <w:color w:val="000000"/>
                <w:szCs w:val="21"/>
              </w:rPr>
              <w:t>(FOF)A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026349</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R2-中低风险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信澳盈泰稳健3个月持有期混合型基金中基金(FOF)</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信澳盈泰稳健</w:t>
            </w:r>
            <w:r>
              <w:rPr>
                <w:rFonts w:hint="eastAsia"/>
                <w:color w:val="000000"/>
                <w:szCs w:val="21"/>
              </w:rPr>
              <w:t>3</w:t>
            </w:r>
            <w:r>
              <w:rPr>
                <w:rFonts w:hint="eastAsia"/>
                <w:color w:val="000000"/>
                <w:szCs w:val="21"/>
              </w:rPr>
              <w:t>个月持有期混合型</w:t>
            </w:r>
            <w:r>
              <w:rPr>
                <w:rFonts w:hint="eastAsia"/>
                <w:color w:val="000000"/>
                <w:szCs w:val="21"/>
              </w:rPr>
              <w:t>(FOF)C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026350</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R2-中低风险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信澳优势产业混合型证券投资基金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信澳优势产业混合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018287</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信澳优势产业混合型证券投资基金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信澳优势产业混合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018288</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信澳优势价值混合型证券投资基金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信澳优势价值混合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013385</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信澳优势价值混合型证券投资基金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信澳优势价值混合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013386</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信澳优势行业混合型证券投资基金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信澳优势行业混合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024473</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信澳优势行业混合型证券投资基金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信澳优势行业混合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024889</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信澳优享生活混合型证券投资基金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信澳优享生活混合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017977</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信澳优享生活混合型证券投资基金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信澳优享生活混合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017978</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信澳远见价值混合型证券投资基金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信澳远见价值混合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013554</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信澳远见价值混合型证券投资基金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信澳远见价值混合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013555</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信澳至诚精选混合型证券投资基金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信澳至诚精选混合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011186</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信澳至诚精选混合型证券投资基金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信澳至诚精选混合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014953</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信澳智选先锋一年持有期混合型证券投资基金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信澳智选先锋一年持有期混合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015440</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信澳智选先锋一年持有期混合型证券投资基金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信澳智选先锋一年持有期混合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015441</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信澳智远三年持有期混合型证券投资基金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信澳智远三年持有期混合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014254</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信澳智远三年持有期混合型证券投资基金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信澳智远三年持有期混合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014255</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信澳中小盘混合型证券投资基金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信澳中小盘混合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610004</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信澳中小盘混合型证券投资基金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信澳中小盘混合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024172</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信澳周期动力混合型证券投资基金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信澳周期动力混合</w:t>
            </w:r>
            <w:r>
              <w:rPr>
                <w:rFonts w:hint="eastAsia"/>
                <w:color w:val="000000"/>
                <w:szCs w:val="21"/>
              </w:rPr>
              <w:t>A</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010963</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r w:rsidR="00217F22" w:rsidRPr="00257114" w:rsidTr="003E4785">
        <w:trPr>
          <w:trHeight w:val="25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信澳周期动力混合型证券投资基金</w:t>
            </w:r>
          </w:p>
        </w:tc>
        <w:tc>
          <w:tcPr>
            <w:tcW w:w="2126"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Pr>
                <w:rFonts w:hint="eastAsia"/>
                <w:color w:val="000000"/>
                <w:szCs w:val="21"/>
              </w:rPr>
              <w:t>信澳周期动力混合</w:t>
            </w:r>
            <w:r>
              <w:rPr>
                <w:rFonts w:hint="eastAsia"/>
                <w:color w:val="000000"/>
                <w:szCs w:val="21"/>
              </w:rPr>
              <w:t>C</w:t>
            </w:r>
          </w:p>
        </w:tc>
        <w:tc>
          <w:tcPr>
            <w:tcW w:w="851"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015455</w:t>
            </w:r>
          </w:p>
        </w:tc>
        <w:tc>
          <w:tcPr>
            <w:tcW w:w="141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R3-中风险</w:t>
            </w:r>
          </w:p>
        </w:tc>
        <w:tc>
          <w:tcPr>
            <w:tcW w:w="1497" w:type="dxa"/>
            <w:tcBorders>
              <w:top w:val="nil"/>
              <w:left w:val="nil"/>
              <w:bottom w:val="single" w:sz="4" w:space="0" w:color="auto"/>
              <w:right w:val="single" w:sz="4" w:space="0" w:color="auto"/>
            </w:tcBorders>
            <w:shd w:val="clear" w:color="auto" w:fill="auto"/>
            <w:noWrap/>
            <w:vAlign w:val="center"/>
            <w:hideMark/>
          </w:tcPr>
          <w:p w:rsidR="00217F22" w:rsidRPr="00257114" w:rsidRDefault="00217F22" w:rsidP="00217F22">
            <w:pPr>
              <w:widowControl/>
              <w:jc w:val="center"/>
              <w:rPr>
                <w:rFonts w:asciiTheme="minorEastAsia" w:hAnsiTheme="minorEastAsia" w:cs="Arial"/>
                <w:kern w:val="0"/>
                <w:szCs w:val="21"/>
              </w:rPr>
            </w:pPr>
            <w:r w:rsidRPr="00257114">
              <w:rPr>
                <w:rFonts w:asciiTheme="minorEastAsia" w:hAnsiTheme="minorEastAsia" w:cs="Arial"/>
                <w:kern w:val="0"/>
                <w:szCs w:val="21"/>
              </w:rPr>
              <w:t>R4-中高风险</w:t>
            </w:r>
          </w:p>
        </w:tc>
      </w:tr>
    </w:tbl>
    <w:p w:rsidR="00EC7970" w:rsidRPr="00EC7970" w:rsidRDefault="00EC7970" w:rsidP="00EC7970">
      <w:pPr>
        <w:spacing w:line="360" w:lineRule="auto"/>
        <w:rPr>
          <w:sz w:val="24"/>
          <w:szCs w:val="24"/>
        </w:rPr>
      </w:pPr>
      <w:r w:rsidRPr="00EC7970">
        <w:rPr>
          <w:sz w:val="24"/>
          <w:szCs w:val="24"/>
        </w:rPr>
        <w:t>风险提示：</w:t>
      </w:r>
    </w:p>
    <w:p w:rsidR="00EC7970" w:rsidRPr="00EC7970" w:rsidRDefault="00EC7970" w:rsidP="00EC7970">
      <w:pPr>
        <w:spacing w:line="360" w:lineRule="auto"/>
        <w:ind w:firstLine="420"/>
        <w:rPr>
          <w:sz w:val="24"/>
          <w:szCs w:val="24"/>
        </w:rPr>
      </w:pPr>
      <w:r w:rsidRPr="00EC7970">
        <w:rPr>
          <w:sz w:val="24"/>
          <w:szCs w:val="24"/>
        </w:rPr>
        <w:t xml:space="preserve"> 1</w:t>
      </w:r>
      <w:r w:rsidRPr="00EC7970">
        <w:rPr>
          <w:sz w:val="24"/>
          <w:szCs w:val="24"/>
        </w:rPr>
        <w:t>、销售机构根据投资者适当性法律法规对基金进行风险评价，不同的销售机构采用的评价方法不同，因此不同销售机</w:t>
      </w:r>
      <w:bookmarkStart w:id="0" w:name="_GoBack"/>
      <w:bookmarkEnd w:id="0"/>
      <w:r w:rsidRPr="00EC7970">
        <w:rPr>
          <w:sz w:val="24"/>
          <w:szCs w:val="24"/>
        </w:rPr>
        <w:t>构对基金的风险等级评价结果可能存在不同。</w:t>
      </w:r>
      <w:r w:rsidRPr="00EC7970">
        <w:rPr>
          <w:sz w:val="24"/>
          <w:szCs w:val="24"/>
        </w:rPr>
        <w:t xml:space="preserve"> </w:t>
      </w:r>
    </w:p>
    <w:p w:rsidR="00EC7970" w:rsidRPr="00EC7970" w:rsidRDefault="00EC7970" w:rsidP="00EC7970">
      <w:pPr>
        <w:spacing w:line="360" w:lineRule="auto"/>
        <w:ind w:firstLine="420"/>
        <w:rPr>
          <w:sz w:val="24"/>
          <w:szCs w:val="24"/>
        </w:rPr>
      </w:pPr>
      <w:r w:rsidRPr="00EC7970">
        <w:rPr>
          <w:sz w:val="24"/>
          <w:szCs w:val="24"/>
        </w:rPr>
        <w:t>2</w:t>
      </w:r>
      <w:r w:rsidRPr="00EC7970">
        <w:rPr>
          <w:sz w:val="24"/>
          <w:szCs w:val="24"/>
        </w:rPr>
        <w:t>、投资者购买基金后，所购买的基金产品风险等级可能因市场或运作情况</w:t>
      </w:r>
      <w:r w:rsidRPr="00EC7970">
        <w:rPr>
          <w:sz w:val="24"/>
          <w:szCs w:val="24"/>
        </w:rPr>
        <w:t xml:space="preserve"> </w:t>
      </w:r>
      <w:r w:rsidRPr="00EC7970">
        <w:rPr>
          <w:sz w:val="24"/>
          <w:szCs w:val="24"/>
        </w:rPr>
        <w:t>等影响而发生调整，并可能超出投资者自身风险承受能力，从而可能产生不利后</w:t>
      </w:r>
      <w:r w:rsidRPr="00EC7970">
        <w:rPr>
          <w:sz w:val="24"/>
          <w:szCs w:val="24"/>
        </w:rPr>
        <w:t xml:space="preserve"> </w:t>
      </w:r>
      <w:r w:rsidRPr="00EC7970">
        <w:rPr>
          <w:sz w:val="24"/>
          <w:szCs w:val="24"/>
        </w:rPr>
        <w:t>果和损失。投资者应及时关注基金风险等级的变化并谨慎决策，以确保自身的投</w:t>
      </w:r>
      <w:r w:rsidRPr="00EC7970">
        <w:rPr>
          <w:sz w:val="24"/>
          <w:szCs w:val="24"/>
        </w:rPr>
        <w:t xml:space="preserve"> </w:t>
      </w:r>
      <w:r w:rsidRPr="00EC7970">
        <w:rPr>
          <w:sz w:val="24"/>
          <w:szCs w:val="24"/>
        </w:rPr>
        <w:t>资决策与风险承受能力相匹配。如投资者开立基金账户时提供的相关信息发生重</w:t>
      </w:r>
      <w:r w:rsidRPr="00EC7970">
        <w:rPr>
          <w:sz w:val="24"/>
          <w:szCs w:val="24"/>
        </w:rPr>
        <w:t xml:space="preserve"> </w:t>
      </w:r>
      <w:r w:rsidRPr="00EC7970">
        <w:rPr>
          <w:sz w:val="24"/>
          <w:szCs w:val="24"/>
        </w:rPr>
        <w:t>要变化，可能影响风险承受能力评价结果，请及时告知销售机构并更新风险承受</w:t>
      </w:r>
      <w:r w:rsidRPr="00EC7970">
        <w:rPr>
          <w:sz w:val="24"/>
          <w:szCs w:val="24"/>
        </w:rPr>
        <w:t xml:space="preserve"> </w:t>
      </w:r>
      <w:r w:rsidRPr="00EC7970">
        <w:rPr>
          <w:sz w:val="24"/>
          <w:szCs w:val="24"/>
        </w:rPr>
        <w:t>能力测评结果。</w:t>
      </w:r>
      <w:r w:rsidRPr="00EC7970">
        <w:rPr>
          <w:sz w:val="24"/>
          <w:szCs w:val="24"/>
        </w:rPr>
        <w:t xml:space="preserve"> </w:t>
      </w:r>
    </w:p>
    <w:p w:rsidR="00393DAC" w:rsidRDefault="00EC7970" w:rsidP="00EC7970">
      <w:pPr>
        <w:spacing w:line="360" w:lineRule="auto"/>
        <w:ind w:firstLine="420"/>
        <w:rPr>
          <w:sz w:val="24"/>
          <w:szCs w:val="24"/>
        </w:rPr>
      </w:pPr>
      <w:r w:rsidRPr="00EC7970">
        <w:rPr>
          <w:sz w:val="24"/>
          <w:szCs w:val="24"/>
        </w:rPr>
        <w:t>3</w:t>
      </w:r>
      <w:r w:rsidRPr="00EC7970">
        <w:rPr>
          <w:sz w:val="24"/>
          <w:szCs w:val="24"/>
        </w:rPr>
        <w:t>、本公司承诺以诚实信用、勤勉尽责的原则管理和运用基金资产，但不保</w:t>
      </w:r>
      <w:r w:rsidRPr="00EC7970">
        <w:rPr>
          <w:sz w:val="24"/>
          <w:szCs w:val="24"/>
        </w:rPr>
        <w:t xml:space="preserve"> </w:t>
      </w:r>
      <w:r w:rsidRPr="00EC7970">
        <w:rPr>
          <w:sz w:val="24"/>
          <w:szCs w:val="24"/>
        </w:rPr>
        <w:t>证投资本基金一定盈利，也不保证最低收益。基金的过往业绩及其净值高低并不</w:t>
      </w:r>
      <w:r w:rsidRPr="00EC7970">
        <w:rPr>
          <w:sz w:val="24"/>
          <w:szCs w:val="24"/>
        </w:rPr>
        <w:t xml:space="preserve"> </w:t>
      </w:r>
      <w:r w:rsidRPr="00EC7970">
        <w:rPr>
          <w:sz w:val="24"/>
          <w:szCs w:val="24"/>
        </w:rPr>
        <w:t>预示其未来业绩表现，基金管理人管理的其他基金的业绩并不构成基金业绩表现</w:t>
      </w:r>
      <w:r w:rsidRPr="00EC7970">
        <w:rPr>
          <w:sz w:val="24"/>
          <w:szCs w:val="24"/>
        </w:rPr>
        <w:t xml:space="preserve"> </w:t>
      </w:r>
      <w:r w:rsidRPr="00EC7970">
        <w:rPr>
          <w:sz w:val="24"/>
          <w:szCs w:val="24"/>
        </w:rPr>
        <w:t>的保证。基金投资者在做出投资决策前，请务必详细阅读拟投资基金相关的基金</w:t>
      </w:r>
      <w:r w:rsidRPr="00EC7970">
        <w:rPr>
          <w:sz w:val="24"/>
          <w:szCs w:val="24"/>
        </w:rPr>
        <w:t xml:space="preserve"> </w:t>
      </w:r>
      <w:r w:rsidRPr="00EC7970">
        <w:rPr>
          <w:sz w:val="24"/>
          <w:szCs w:val="24"/>
        </w:rPr>
        <w:t>合同、招募说明书、基金产品资料概要及其更新等法律文件，全面了解该基金的</w:t>
      </w:r>
      <w:r w:rsidRPr="00EC7970">
        <w:rPr>
          <w:sz w:val="24"/>
          <w:szCs w:val="24"/>
        </w:rPr>
        <w:t xml:space="preserve"> </w:t>
      </w:r>
      <w:r w:rsidRPr="00EC7970">
        <w:rPr>
          <w:sz w:val="24"/>
          <w:szCs w:val="24"/>
        </w:rPr>
        <w:t>具体情况、风险评级及特有风险，根据自身的风险承受能力选择适合自己的基金</w:t>
      </w:r>
      <w:r w:rsidRPr="00EC7970">
        <w:rPr>
          <w:sz w:val="24"/>
          <w:szCs w:val="24"/>
        </w:rPr>
        <w:t xml:space="preserve"> </w:t>
      </w:r>
      <w:r w:rsidRPr="00EC7970">
        <w:rPr>
          <w:sz w:val="24"/>
          <w:szCs w:val="24"/>
        </w:rPr>
        <w:t>产品，注意基金投资风险。基金有风险，投资需谨慎。</w:t>
      </w:r>
      <w:r w:rsidRPr="00EC7970">
        <w:rPr>
          <w:sz w:val="24"/>
          <w:szCs w:val="24"/>
        </w:rPr>
        <w:t xml:space="preserve"> </w:t>
      </w:r>
    </w:p>
    <w:p w:rsidR="007D5E69" w:rsidRPr="00EC7970" w:rsidRDefault="00EC7970" w:rsidP="00EC7970">
      <w:pPr>
        <w:spacing w:line="360" w:lineRule="auto"/>
        <w:ind w:firstLine="420"/>
        <w:rPr>
          <w:sz w:val="24"/>
          <w:szCs w:val="24"/>
        </w:rPr>
      </w:pPr>
      <w:r w:rsidRPr="00EC7970">
        <w:rPr>
          <w:sz w:val="24"/>
          <w:szCs w:val="24"/>
        </w:rPr>
        <w:t>特此公告。</w:t>
      </w:r>
    </w:p>
    <w:p w:rsidR="00EC7970" w:rsidRPr="00EC7970" w:rsidRDefault="00EC7970" w:rsidP="00EC7970">
      <w:pPr>
        <w:spacing w:line="360" w:lineRule="auto"/>
        <w:ind w:firstLine="420"/>
        <w:rPr>
          <w:sz w:val="24"/>
          <w:szCs w:val="24"/>
        </w:rPr>
      </w:pPr>
    </w:p>
    <w:p w:rsidR="00EC7970" w:rsidRPr="00EC7970" w:rsidRDefault="00EC7970" w:rsidP="00EC7970">
      <w:pPr>
        <w:spacing w:line="360" w:lineRule="auto"/>
        <w:ind w:firstLine="420"/>
        <w:jc w:val="right"/>
        <w:rPr>
          <w:sz w:val="24"/>
          <w:szCs w:val="24"/>
        </w:rPr>
      </w:pPr>
      <w:r w:rsidRPr="00EC7970">
        <w:rPr>
          <w:sz w:val="24"/>
          <w:szCs w:val="24"/>
        </w:rPr>
        <w:t>信达澳亚基金管理有限公司</w:t>
      </w:r>
    </w:p>
    <w:p w:rsidR="00EC7970" w:rsidRPr="00EC7970" w:rsidRDefault="00EC7970" w:rsidP="00EC7970">
      <w:pPr>
        <w:spacing w:line="360" w:lineRule="auto"/>
        <w:ind w:firstLine="420"/>
        <w:jc w:val="right"/>
        <w:rPr>
          <w:sz w:val="24"/>
          <w:szCs w:val="24"/>
        </w:rPr>
      </w:pPr>
      <w:r w:rsidRPr="00EC7970">
        <w:rPr>
          <w:rFonts w:hint="eastAsia"/>
          <w:sz w:val="24"/>
          <w:szCs w:val="24"/>
        </w:rPr>
        <w:t>2</w:t>
      </w:r>
      <w:r w:rsidRPr="00EC7970">
        <w:rPr>
          <w:sz w:val="24"/>
          <w:szCs w:val="24"/>
        </w:rPr>
        <w:t>026</w:t>
      </w:r>
      <w:r w:rsidRPr="00EC7970">
        <w:rPr>
          <w:sz w:val="24"/>
          <w:szCs w:val="24"/>
        </w:rPr>
        <w:t>年</w:t>
      </w:r>
      <w:r w:rsidRPr="00EC7970">
        <w:rPr>
          <w:rFonts w:hint="eastAsia"/>
          <w:sz w:val="24"/>
          <w:szCs w:val="24"/>
        </w:rPr>
        <w:t>4</w:t>
      </w:r>
      <w:r w:rsidRPr="00EC7970">
        <w:rPr>
          <w:rFonts w:hint="eastAsia"/>
          <w:sz w:val="24"/>
          <w:szCs w:val="24"/>
        </w:rPr>
        <w:t>月</w:t>
      </w:r>
      <w:r w:rsidRPr="00EC7970">
        <w:rPr>
          <w:rFonts w:hint="eastAsia"/>
          <w:sz w:val="24"/>
          <w:szCs w:val="24"/>
        </w:rPr>
        <w:t>2</w:t>
      </w:r>
      <w:r w:rsidRPr="00EC7970">
        <w:rPr>
          <w:sz w:val="24"/>
          <w:szCs w:val="24"/>
        </w:rPr>
        <w:t>7</w:t>
      </w:r>
      <w:r w:rsidRPr="00EC7970">
        <w:rPr>
          <w:sz w:val="24"/>
          <w:szCs w:val="24"/>
        </w:rPr>
        <w:t>日</w:t>
      </w:r>
    </w:p>
    <w:sectPr w:rsidR="00EC7970" w:rsidRPr="00EC7970" w:rsidSect="001E7D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785" w:rsidRDefault="00B05785" w:rsidP="00DF38F9">
      <w:r>
        <w:separator/>
      </w:r>
    </w:p>
  </w:endnote>
  <w:endnote w:type="continuationSeparator" w:id="0">
    <w:p w:rsidR="00B05785" w:rsidRDefault="00B05785" w:rsidP="00DF38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785" w:rsidRDefault="00B05785" w:rsidP="00DF38F9">
      <w:r>
        <w:separator/>
      </w:r>
    </w:p>
  </w:footnote>
  <w:footnote w:type="continuationSeparator" w:id="0">
    <w:p w:rsidR="00B05785" w:rsidRDefault="00B05785" w:rsidP="00DF38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6ED1"/>
    <w:rsid w:val="001A6ED1"/>
    <w:rsid w:val="001E7D0C"/>
    <w:rsid w:val="00217F22"/>
    <w:rsid w:val="00236950"/>
    <w:rsid w:val="00257114"/>
    <w:rsid w:val="002F39AD"/>
    <w:rsid w:val="00393DAC"/>
    <w:rsid w:val="003E4785"/>
    <w:rsid w:val="004C1E85"/>
    <w:rsid w:val="004F2C00"/>
    <w:rsid w:val="005E16BF"/>
    <w:rsid w:val="007D5E69"/>
    <w:rsid w:val="009A6B3C"/>
    <w:rsid w:val="00B05785"/>
    <w:rsid w:val="00DF38F9"/>
    <w:rsid w:val="00E556F4"/>
    <w:rsid w:val="00EC79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D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38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38F9"/>
    <w:rPr>
      <w:sz w:val="18"/>
      <w:szCs w:val="18"/>
    </w:rPr>
  </w:style>
  <w:style w:type="paragraph" w:styleId="a4">
    <w:name w:val="footer"/>
    <w:basedOn w:val="a"/>
    <w:link w:val="Char0"/>
    <w:uiPriority w:val="99"/>
    <w:unhideWhenUsed/>
    <w:rsid w:val="00DF38F9"/>
    <w:pPr>
      <w:tabs>
        <w:tab w:val="center" w:pos="4153"/>
        <w:tab w:val="right" w:pos="8306"/>
      </w:tabs>
      <w:snapToGrid w:val="0"/>
      <w:jc w:val="left"/>
    </w:pPr>
    <w:rPr>
      <w:sz w:val="18"/>
      <w:szCs w:val="18"/>
    </w:rPr>
  </w:style>
  <w:style w:type="character" w:customStyle="1" w:styleId="Char0">
    <w:name w:val="页脚 Char"/>
    <w:basedOn w:val="a0"/>
    <w:link w:val="a4"/>
    <w:uiPriority w:val="99"/>
    <w:rsid w:val="00DF38F9"/>
    <w:rPr>
      <w:sz w:val="18"/>
      <w:szCs w:val="18"/>
    </w:rPr>
  </w:style>
  <w:style w:type="character" w:styleId="a5">
    <w:name w:val="annotation reference"/>
    <w:basedOn w:val="a0"/>
    <w:uiPriority w:val="99"/>
    <w:semiHidden/>
    <w:unhideWhenUsed/>
    <w:rsid w:val="00DF38F9"/>
    <w:rPr>
      <w:sz w:val="21"/>
      <w:szCs w:val="21"/>
    </w:rPr>
  </w:style>
  <w:style w:type="paragraph" w:styleId="a6">
    <w:name w:val="annotation text"/>
    <w:basedOn w:val="a"/>
    <w:link w:val="Char1"/>
    <w:uiPriority w:val="99"/>
    <w:semiHidden/>
    <w:unhideWhenUsed/>
    <w:rsid w:val="00DF38F9"/>
    <w:pPr>
      <w:jc w:val="left"/>
    </w:pPr>
  </w:style>
  <w:style w:type="character" w:customStyle="1" w:styleId="Char1">
    <w:name w:val="批注文字 Char"/>
    <w:basedOn w:val="a0"/>
    <w:link w:val="a6"/>
    <w:uiPriority w:val="99"/>
    <w:semiHidden/>
    <w:rsid w:val="00DF38F9"/>
  </w:style>
  <w:style w:type="paragraph" w:styleId="a7">
    <w:name w:val="annotation subject"/>
    <w:basedOn w:val="a6"/>
    <w:next w:val="a6"/>
    <w:link w:val="Char2"/>
    <w:uiPriority w:val="99"/>
    <w:semiHidden/>
    <w:unhideWhenUsed/>
    <w:rsid w:val="00DF38F9"/>
    <w:rPr>
      <w:b/>
      <w:bCs/>
    </w:rPr>
  </w:style>
  <w:style w:type="character" w:customStyle="1" w:styleId="Char2">
    <w:name w:val="批注主题 Char"/>
    <w:basedOn w:val="Char1"/>
    <w:link w:val="a7"/>
    <w:uiPriority w:val="99"/>
    <w:semiHidden/>
    <w:rsid w:val="00DF38F9"/>
    <w:rPr>
      <w:b/>
      <w:bCs/>
    </w:rPr>
  </w:style>
  <w:style w:type="paragraph" w:styleId="a8">
    <w:name w:val="Balloon Text"/>
    <w:basedOn w:val="a"/>
    <w:link w:val="Char3"/>
    <w:uiPriority w:val="99"/>
    <w:semiHidden/>
    <w:unhideWhenUsed/>
    <w:rsid w:val="00DF38F9"/>
    <w:rPr>
      <w:sz w:val="18"/>
      <w:szCs w:val="18"/>
    </w:rPr>
  </w:style>
  <w:style w:type="character" w:customStyle="1" w:styleId="Char3">
    <w:name w:val="批注框文本 Char"/>
    <w:basedOn w:val="a0"/>
    <w:link w:val="a8"/>
    <w:uiPriority w:val="99"/>
    <w:semiHidden/>
    <w:rsid w:val="00DF38F9"/>
    <w:rPr>
      <w:sz w:val="18"/>
      <w:szCs w:val="18"/>
    </w:rPr>
  </w:style>
</w:styles>
</file>

<file path=word/webSettings.xml><?xml version="1.0" encoding="utf-8"?>
<w:webSettings xmlns:r="http://schemas.openxmlformats.org/officeDocument/2006/relationships" xmlns:w="http://schemas.openxmlformats.org/wordprocessingml/2006/main">
  <w:divs>
    <w:div w:id="83318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927</Words>
  <Characters>5284</Characters>
  <Application>Microsoft Office Word</Application>
  <DocSecurity>4</DocSecurity>
  <Lines>44</Lines>
  <Paragraphs>12</Paragraphs>
  <ScaleCrop>false</ScaleCrop>
  <Company/>
  <LinksUpToDate>false</LinksUpToDate>
  <CharactersWithSpaces>6199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华源</dc:creator>
  <cp:keywords/>
  <dc:description/>
  <cp:lastModifiedBy>ZHONGM</cp:lastModifiedBy>
  <cp:revision>2</cp:revision>
  <dcterms:created xsi:type="dcterms:W3CDTF">2026-04-26T16:02:00Z</dcterms:created>
  <dcterms:modified xsi:type="dcterms:W3CDTF">2026-04-26T16:02:00Z</dcterms:modified>
</cp:coreProperties>
</file>