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245" w:rsidRDefault="004F2245">
      <w:pPr>
        <w:pStyle w:val="biaogecenter"/>
        <w:rPr>
          <w:sz w:val="30"/>
          <w:szCs w:val="30"/>
        </w:rPr>
      </w:pPr>
      <w:r>
        <w:rPr>
          <w:rFonts w:hint="eastAsia"/>
          <w:b/>
          <w:bCs/>
          <w:sz w:val="30"/>
          <w:szCs w:val="30"/>
        </w:rPr>
        <w:t>浙商汇金锦利增强30天持有期债券型证券投资基金暂停大额申购公告</w:t>
      </w:r>
    </w:p>
    <w:p w:rsidR="004F2245" w:rsidRDefault="004F2245">
      <w:pPr>
        <w:pStyle w:val="biaogecenter"/>
        <w:rPr>
          <w:rFonts w:hint="eastAsia"/>
        </w:rPr>
      </w:pPr>
    </w:p>
    <w:p w:rsidR="004F2245" w:rsidRDefault="004F2245">
      <w:pPr>
        <w:pStyle w:val="biaogecenter"/>
        <w:rPr>
          <w:rFonts w:hint="eastAsia"/>
        </w:rPr>
      </w:pPr>
      <w:r>
        <w:rPr>
          <w:rFonts w:hint="eastAsia"/>
        </w:rPr>
        <w:t>公告送出日期：2026年04月27日</w:t>
      </w:r>
    </w:p>
    <w:p w:rsidR="004F2245" w:rsidRDefault="004F2245">
      <w:pPr>
        <w:pStyle w:val="dazhangjie"/>
        <w:divId w:val="1678800301"/>
        <w:rPr>
          <w:rFonts w:hint="eastAsia"/>
        </w:rPr>
      </w:pPr>
      <w:r>
        <w:rPr>
          <w:rFonts w:hint="eastAsia"/>
          <w:b/>
          <w:bCs/>
        </w:rPr>
        <w:t>1、 公告基本信息</w:t>
      </w:r>
    </w:p>
    <w:p w:rsidR="004F2245" w:rsidRDefault="004F2245">
      <w:pPr>
        <w:widowControl/>
        <w:jc w:val="left"/>
        <w:divId w:val="1678800301"/>
        <w:rPr>
          <w:rFonts w:ascii="宋体" w:hAnsi="宋体" w:cs="宋体" w:hint="eastAsia"/>
          <w:kern w:val="0"/>
          <w:sz w:val="24"/>
          <w:szCs w:val="24"/>
        </w:rPr>
      </w:pPr>
    </w:p>
    <w:tbl>
      <w:tblPr>
        <w:tblW w:w="9045" w:type="dxa"/>
        <w:tblInd w:w="108" w:type="dxa"/>
        <w:tblLook w:val="04A0"/>
      </w:tblPr>
      <w:tblGrid>
        <w:gridCol w:w="1168"/>
        <w:gridCol w:w="2449"/>
        <w:gridCol w:w="2714"/>
        <w:gridCol w:w="2714"/>
      </w:tblGrid>
      <w:tr w:rsidR="004F2245" w:rsidRPr="00F820B1" w:rsidTr="00C95F02">
        <w:trPr>
          <w:divId w:val="1678800301"/>
        </w:trPr>
        <w:tc>
          <w:tcPr>
            <w:tcW w:w="19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基金名称</w:t>
            </w:r>
          </w:p>
        </w:tc>
        <w:tc>
          <w:tcPr>
            <w:tcW w:w="300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浙商汇金锦利增强30天持有期债券型证券投资基金</w:t>
            </w:r>
          </w:p>
        </w:tc>
      </w:tr>
      <w:tr w:rsidR="004F2245" w:rsidRPr="00F820B1" w:rsidTr="00C95F02">
        <w:trPr>
          <w:divId w:val="1678800301"/>
        </w:trPr>
        <w:tc>
          <w:tcPr>
            <w:tcW w:w="19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基金简称</w:t>
            </w:r>
          </w:p>
        </w:tc>
        <w:tc>
          <w:tcPr>
            <w:tcW w:w="300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浙商汇金锦利增强30天持有期债券</w:t>
            </w:r>
          </w:p>
        </w:tc>
      </w:tr>
      <w:tr w:rsidR="004F2245" w:rsidRPr="00F820B1" w:rsidTr="00C95F02">
        <w:trPr>
          <w:divId w:val="1678800301"/>
        </w:trPr>
        <w:tc>
          <w:tcPr>
            <w:tcW w:w="19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基金主代码</w:t>
            </w:r>
          </w:p>
        </w:tc>
        <w:tc>
          <w:tcPr>
            <w:tcW w:w="300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024102</w:t>
            </w:r>
          </w:p>
        </w:tc>
      </w:tr>
      <w:tr w:rsidR="004F2245" w:rsidRPr="00F820B1" w:rsidTr="00C95F02">
        <w:trPr>
          <w:divId w:val="1678800301"/>
        </w:trPr>
        <w:tc>
          <w:tcPr>
            <w:tcW w:w="19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基金管理人名称</w:t>
            </w:r>
          </w:p>
        </w:tc>
        <w:tc>
          <w:tcPr>
            <w:tcW w:w="300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浙江浙商证券资产管理有限公司</w:t>
            </w:r>
          </w:p>
        </w:tc>
      </w:tr>
      <w:tr w:rsidR="004F2245" w:rsidRPr="00F820B1" w:rsidTr="00C95F02">
        <w:trPr>
          <w:divId w:val="1678800301"/>
        </w:trPr>
        <w:tc>
          <w:tcPr>
            <w:tcW w:w="19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公告依据</w:t>
            </w:r>
          </w:p>
        </w:tc>
        <w:tc>
          <w:tcPr>
            <w:tcW w:w="300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《公开募集证券投资基金信息披露管理办法》</w:t>
            </w:r>
          </w:p>
        </w:tc>
      </w:tr>
      <w:tr w:rsidR="004F2245" w:rsidRPr="00F820B1" w:rsidTr="00C95F02">
        <w:trPr>
          <w:divId w:val="1678800301"/>
        </w:trPr>
        <w:tc>
          <w:tcPr>
            <w:tcW w:w="646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  <w:rPr>
                <w:rFonts w:hint="eastAsia"/>
              </w:rPr>
            </w:pPr>
            <w:r w:rsidRPr="00F820B1">
              <w:rPr>
                <w:rFonts w:hAnsi="Calibri" w:hint="eastAsia"/>
                <w:color w:val="000000"/>
              </w:rPr>
              <w:t>暂停相关业务的起始日、</w:t>
            </w:r>
          </w:p>
          <w:p w:rsidR="004F2245" w:rsidRDefault="004F2245">
            <w:pPr>
              <w:pStyle w:val="biaogeleft"/>
              <w:wordWrap w:val="0"/>
            </w:pPr>
            <w:r w:rsidRPr="00F820B1">
              <w:rPr>
                <w:rFonts w:hAnsi="Calibri" w:hint="eastAsia"/>
                <w:color w:val="000000"/>
              </w:rPr>
              <w:t>金额及原因说明</w:t>
            </w:r>
          </w:p>
        </w:tc>
        <w:tc>
          <w:tcPr>
            <w:tcW w:w="13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暂停大额申购起始日</w:t>
            </w:r>
          </w:p>
        </w:tc>
        <w:tc>
          <w:tcPr>
            <w:tcW w:w="300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2026-04-28</w:t>
            </w:r>
          </w:p>
        </w:tc>
      </w:tr>
      <w:tr w:rsidR="004F2245" w:rsidRPr="00F820B1" w:rsidTr="00C95F02">
        <w:trPr>
          <w:divId w:val="1678800301"/>
        </w:trPr>
        <w:tc>
          <w:tcPr>
            <w:tcW w:w="646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widowControl/>
              <w:jc w:val="left"/>
              <w:rPr>
                <w:rFonts w:ascii="宋体" w:hAnsi="宋体" w:cs="宋体"/>
                <w:kern w:val="0"/>
                <w:sz w:val="24"/>
                <w:szCs w:val="24"/>
              </w:rPr>
            </w:pPr>
          </w:p>
        </w:tc>
        <w:tc>
          <w:tcPr>
            <w:tcW w:w="135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暂停（大额）申购（转换转入、赎回、转换转出、定期定额投资）的原因说明</w:t>
            </w:r>
          </w:p>
        </w:tc>
        <w:tc>
          <w:tcPr>
            <w:tcW w:w="3001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为了保证基金的平稳运行，保护基金份额持有人利益。</w:t>
            </w:r>
          </w:p>
        </w:tc>
      </w:tr>
      <w:tr w:rsidR="004F2245" w:rsidRPr="00F820B1" w:rsidTr="00C95F02">
        <w:trPr>
          <w:divId w:val="1678800301"/>
        </w:trPr>
        <w:tc>
          <w:tcPr>
            <w:tcW w:w="19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下属分级基金的基金简称</w:t>
            </w:r>
          </w:p>
        </w:tc>
        <w:tc>
          <w:tcPr>
            <w:tcW w:w="1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浙商汇金锦利增强30天持有期债券A</w:t>
            </w:r>
          </w:p>
        </w:tc>
        <w:tc>
          <w:tcPr>
            <w:tcW w:w="1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浙商汇金锦利增强30天持有期债券C</w:t>
            </w:r>
          </w:p>
        </w:tc>
      </w:tr>
      <w:tr w:rsidR="004F2245" w:rsidRPr="00F820B1" w:rsidTr="00C95F02">
        <w:trPr>
          <w:divId w:val="1678800301"/>
        </w:trPr>
        <w:tc>
          <w:tcPr>
            <w:tcW w:w="19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下属分级基金的交易代码</w:t>
            </w:r>
          </w:p>
        </w:tc>
        <w:tc>
          <w:tcPr>
            <w:tcW w:w="1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024102</w:t>
            </w:r>
          </w:p>
        </w:tc>
        <w:tc>
          <w:tcPr>
            <w:tcW w:w="1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024103</w:t>
            </w:r>
          </w:p>
        </w:tc>
      </w:tr>
      <w:tr w:rsidR="004F2245" w:rsidRPr="00F820B1" w:rsidTr="00C95F02">
        <w:trPr>
          <w:divId w:val="1678800301"/>
        </w:trPr>
        <w:tc>
          <w:tcPr>
            <w:tcW w:w="19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该分级基金是否暂停（大额）申购（转换转入、赎回、转换转出、定期定额投资）</w:t>
            </w:r>
          </w:p>
        </w:tc>
        <w:tc>
          <w:tcPr>
            <w:tcW w:w="1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是</w:t>
            </w:r>
          </w:p>
        </w:tc>
        <w:tc>
          <w:tcPr>
            <w:tcW w:w="1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是</w:t>
            </w:r>
          </w:p>
        </w:tc>
      </w:tr>
      <w:tr w:rsidR="004F2245" w:rsidRPr="00F820B1" w:rsidTr="00C95F02">
        <w:trPr>
          <w:divId w:val="1678800301"/>
        </w:trPr>
        <w:tc>
          <w:tcPr>
            <w:tcW w:w="1999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下属分级基金的限制申购金额（单位:人民币元）</w:t>
            </w:r>
          </w:p>
        </w:tc>
        <w:tc>
          <w:tcPr>
            <w:tcW w:w="1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1,000,000.00</w:t>
            </w:r>
          </w:p>
        </w:tc>
        <w:tc>
          <w:tcPr>
            <w:tcW w:w="1500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4F2245" w:rsidRDefault="004F2245">
            <w:pPr>
              <w:pStyle w:val="biaogeleft"/>
              <w:wordWrap w:val="0"/>
            </w:pPr>
            <w:r>
              <w:rPr>
                <w:rFonts w:hint="eastAsia"/>
              </w:rPr>
              <w:t>1,000,000.00</w:t>
            </w:r>
          </w:p>
        </w:tc>
      </w:tr>
    </w:tbl>
    <w:p w:rsidR="004F2245" w:rsidRDefault="004F2245">
      <w:pPr>
        <w:pStyle w:val="neirong"/>
        <w:divId w:val="1678800301"/>
        <w:rPr>
          <w:rFonts w:hint="eastAsia"/>
        </w:rPr>
      </w:pPr>
      <w:r>
        <w:rPr>
          <w:rFonts w:hint="eastAsia"/>
        </w:rPr>
        <w:t>注：自2026年04月28日起，对浙商汇金锦利增强30天持有期债券型证券投资基金（以下简称“本基金”）的大额申购业务进行限制，单个账户每一开放日申购不得超过100万元（不含100万元）。如单日单个基金账户单笔申购本基金的金额超过100万元（不含），则100万元确认申购成功，超过100万元（不含）的部分将确认失败。本基金恢复大额申购业务的具体时间将另行公告。</w:t>
      </w:r>
    </w:p>
    <w:p w:rsidR="004F2245" w:rsidRDefault="004F2245">
      <w:pPr>
        <w:widowControl/>
        <w:jc w:val="left"/>
        <w:divId w:val="1678800301"/>
        <w:rPr>
          <w:rFonts w:ascii="宋体" w:hAnsi="宋体" w:cs="宋体" w:hint="eastAsia"/>
          <w:kern w:val="0"/>
          <w:sz w:val="24"/>
          <w:szCs w:val="24"/>
        </w:rPr>
      </w:pPr>
    </w:p>
    <w:p w:rsidR="004F2245" w:rsidRDefault="004F2245">
      <w:pPr>
        <w:pStyle w:val="dazhangjie"/>
        <w:divId w:val="1678800301"/>
        <w:rPr>
          <w:rFonts w:hint="eastAsia"/>
        </w:rPr>
      </w:pPr>
      <w:r>
        <w:rPr>
          <w:rFonts w:hint="eastAsia"/>
          <w:b/>
          <w:bCs/>
        </w:rPr>
        <w:t>2、 其他需要提示的事项</w:t>
      </w:r>
    </w:p>
    <w:p w:rsidR="004F2245" w:rsidRDefault="004F2245">
      <w:pPr>
        <w:pStyle w:val="neirong"/>
        <w:divId w:val="1678800301"/>
        <w:rPr>
          <w:rFonts w:hint="eastAsia"/>
        </w:rPr>
      </w:pPr>
      <w:r>
        <w:rPr>
          <w:rFonts w:hint="eastAsia"/>
        </w:rPr>
        <w:t>  （1）本基金于2026年04月28日起暂停大额申购期间，单个账户每一开放日申购不得超过100万元（不含100万元）。</w:t>
      </w:r>
      <w:r>
        <w:rPr>
          <w:rFonts w:hint="eastAsia"/>
        </w:rPr>
        <w:br/>
      </w:r>
      <w:r>
        <w:rPr>
          <w:rFonts w:hint="eastAsia"/>
        </w:rPr>
        <w:lastRenderedPageBreak/>
        <w:t>  （2）敬请投资者做好交易安排，投资者可以登陆浙江浙商证券资产管理有限公司网站www.stocke.com.cn或拨打浙江浙商证券资产管理有限公司客户服务热线95345进行相关咨询。</w:t>
      </w:r>
      <w:r>
        <w:rPr>
          <w:rFonts w:hint="eastAsia"/>
        </w:rPr>
        <w:br/>
        <w:t>  （3）风险提示：基金管理人承诺以诚实信用、勤勉尽责的原则管理和运用基金资产，但不保证基金一定盈利，也不保证最低收益。基金管理人提醒投资者基金投资的“买者自负”原则，在做出投资决策后，基金运营状况与基金净值变化引致的投资风险，由投资者自行负担，投资者投资于本基金前应认真阅读本基金的《基金合同》和《招募说明书》并选择适合自身风险承受能力的投资品种进行投资。</w:t>
      </w:r>
      <w:r>
        <w:rPr>
          <w:rFonts w:hint="eastAsia"/>
        </w:rPr>
        <w:br/>
        <w:t>  特此公告。</w:t>
      </w:r>
    </w:p>
    <w:p w:rsidR="004F2245" w:rsidRDefault="004F2245">
      <w:pPr>
        <w:pStyle w:val="biaogeright"/>
        <w:rPr>
          <w:rFonts w:hint="eastAsia"/>
        </w:rPr>
      </w:pPr>
      <w:r w:rsidRPr="00F820B1">
        <w:rPr>
          <w:rFonts w:hAnsi="Calibri" w:hint="eastAsia"/>
          <w:color w:val="000000"/>
        </w:rPr>
        <w:t>浙江浙商证券资产管理有限公司</w:t>
      </w:r>
    </w:p>
    <w:p w:rsidR="004F2245" w:rsidRDefault="004F2245">
      <w:pPr>
        <w:pStyle w:val="biaogeright"/>
        <w:rPr>
          <w:rFonts w:hint="eastAsia"/>
        </w:rPr>
      </w:pPr>
      <w:r w:rsidRPr="00F820B1">
        <w:rPr>
          <w:rFonts w:hAnsi="Calibri" w:hint="eastAsia"/>
          <w:color w:val="000000"/>
        </w:rPr>
        <w:t>2026年04月27日</w:t>
      </w:r>
    </w:p>
    <w:sectPr w:rsidR="004F2245">
      <w:pgSz w:w="11926" w:h="16867"/>
      <w:pgMar w:top="1418" w:right="1418" w:bottom="853" w:left="1418" w:header="851" w:footer="992" w:gutter="0"/>
      <w:cols w:space="425"/>
      <w:docGrid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45F8C" w:rsidRDefault="00345F8C" w:rsidP="00F820B1">
      <w:r>
        <w:separator/>
      </w:r>
    </w:p>
  </w:endnote>
  <w:endnote w:type="continuationSeparator" w:id="0">
    <w:p w:rsidR="00345F8C" w:rsidRDefault="00345F8C" w:rsidP="00F820B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45F8C" w:rsidRDefault="00345F8C" w:rsidP="00F820B1">
      <w:r>
        <w:separator/>
      </w:r>
    </w:p>
  </w:footnote>
  <w:footnote w:type="continuationSeparator" w:id="0">
    <w:p w:rsidR="00345F8C" w:rsidRDefault="00345F8C" w:rsidP="00F820B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oNotTrackMoves/>
  <w:defaultTabStop w:val="720"/>
  <w:noPunctuationKerning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820B1"/>
    <w:rsid w:val="00345F8C"/>
    <w:rsid w:val="004F2245"/>
    <w:rsid w:val="006670BC"/>
    <w:rsid w:val="00C95F02"/>
    <w:rsid w:val="00F820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宋体" w:hAnsi="Calibri" w:cs="Calibri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  <w:rPr>
      <w:rFonts w:cs="Times New Roman"/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msonormalfy">
    <w:name w:val="msonormalfy"/>
    <w:qFormat/>
    <w:pPr>
      <w:widowControl w:val="0"/>
      <w:jc w:val="center"/>
    </w:pPr>
    <w:rPr>
      <w:rFonts w:cs="Times New Roman"/>
      <w:kern w:val="2"/>
      <w:sz w:val="29"/>
      <w:szCs w:val="22"/>
    </w:rPr>
  </w:style>
  <w:style w:type="paragraph" w:customStyle="1" w:styleId="msonormal2">
    <w:name w:val="msonormal2"/>
    <w:qFormat/>
    <w:pPr>
      <w:widowControl w:val="0"/>
      <w:jc w:val="center"/>
    </w:pPr>
    <w:rPr>
      <w:rFonts w:cs="Times New Roman"/>
      <w:kern w:val="2"/>
      <w:sz w:val="21"/>
      <w:szCs w:val="22"/>
    </w:rPr>
  </w:style>
  <w:style w:type="paragraph" w:styleId="a3">
    <w:name w:val="header"/>
    <w:basedOn w:val="a"/>
    <w:link w:val="Char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link w:val="a3"/>
    <w:uiPriority w:val="99"/>
    <w:locked/>
    <w:rPr>
      <w:rFonts w:ascii="Times New Roman" w:hAnsi="Times New Roman" w:cs="Times New Roman" w:hint="default"/>
      <w:sz w:val="18"/>
      <w:szCs w:val="18"/>
    </w:rPr>
  </w:style>
  <w:style w:type="paragraph" w:styleId="a4">
    <w:name w:val="footer"/>
    <w:basedOn w:val="a"/>
    <w:link w:val="Char0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link w:val="a4"/>
    <w:uiPriority w:val="99"/>
    <w:locked/>
    <w:rPr>
      <w:rFonts w:ascii="Times New Roman" w:hAnsi="Times New Roman" w:cs="Times New Roman" w:hint="default"/>
      <w:sz w:val="18"/>
      <w:szCs w:val="18"/>
    </w:rPr>
  </w:style>
  <w:style w:type="paragraph" w:customStyle="1" w:styleId="msonormal1">
    <w:name w:val="msonormal1"/>
    <w:qFormat/>
    <w:pPr>
      <w:widowControl w:val="0"/>
      <w:jc w:val="both"/>
    </w:pPr>
    <w:rPr>
      <w:rFonts w:cs="Times New Roman"/>
      <w:kern w:val="2"/>
      <w:sz w:val="21"/>
      <w:szCs w:val="22"/>
    </w:rPr>
  </w:style>
  <w:style w:type="paragraph" w:customStyle="1" w:styleId="msonormal3">
    <w:name w:val="msonormal3"/>
    <w:qFormat/>
    <w:pPr>
      <w:widowControl w:val="0"/>
      <w:jc w:val="both"/>
    </w:pPr>
    <w:rPr>
      <w:rFonts w:cs="Times New Roman"/>
      <w:kern w:val="2"/>
      <w:sz w:val="21"/>
      <w:szCs w:val="22"/>
    </w:rPr>
  </w:style>
  <w:style w:type="paragraph" w:customStyle="1" w:styleId="dazhangjie">
    <w:name w:val="dazhangjie"/>
    <w:basedOn w:val="a"/>
    <w:pPr>
      <w:widowControl/>
      <w:autoSpaceDE w:val="0"/>
      <w:autoSpaceDN w:val="0"/>
      <w:adjustRightInd w:val="0"/>
      <w:spacing w:before="30" w:line="288" w:lineRule="auto"/>
      <w:ind w:left="15"/>
      <w:jc w:val="left"/>
      <w:outlineLvl w:val="0"/>
    </w:pPr>
    <w:rPr>
      <w:rFonts w:ascii="宋体" w:hAnsi="宋体" w:cs="宋体"/>
      <w:kern w:val="0"/>
      <w:sz w:val="24"/>
      <w:szCs w:val="24"/>
    </w:rPr>
  </w:style>
  <w:style w:type="paragraph" w:customStyle="1" w:styleId="biaogeleft">
    <w:name w:val="biaoge_left"/>
    <w:basedOn w:val="a"/>
    <w:pPr>
      <w:widowControl/>
      <w:autoSpaceDE w:val="0"/>
      <w:autoSpaceDN w:val="0"/>
      <w:adjustRightInd w:val="0"/>
      <w:spacing w:before="29" w:line="288" w:lineRule="auto"/>
      <w:ind w:left="15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biaogecenter">
    <w:name w:val="biaoge_center"/>
    <w:basedOn w:val="a"/>
    <w:pPr>
      <w:widowControl/>
      <w:autoSpaceDE w:val="0"/>
      <w:autoSpaceDN w:val="0"/>
      <w:adjustRightInd w:val="0"/>
      <w:spacing w:before="29" w:line="288" w:lineRule="auto"/>
      <w:ind w:left="15"/>
      <w:jc w:val="center"/>
    </w:pPr>
    <w:rPr>
      <w:rFonts w:ascii="宋体" w:hAnsi="宋体" w:cs="宋体"/>
      <w:kern w:val="0"/>
      <w:sz w:val="24"/>
      <w:szCs w:val="24"/>
    </w:rPr>
  </w:style>
  <w:style w:type="paragraph" w:customStyle="1" w:styleId="biaogeright">
    <w:name w:val="biaoge_right"/>
    <w:basedOn w:val="a"/>
    <w:pPr>
      <w:widowControl/>
      <w:autoSpaceDE w:val="0"/>
      <w:autoSpaceDN w:val="0"/>
      <w:adjustRightInd w:val="0"/>
      <w:spacing w:before="29" w:line="288" w:lineRule="auto"/>
      <w:ind w:left="15"/>
      <w:jc w:val="right"/>
    </w:pPr>
    <w:rPr>
      <w:rFonts w:ascii="宋体" w:hAnsi="宋体" w:cs="宋体"/>
      <w:kern w:val="0"/>
      <w:sz w:val="24"/>
      <w:szCs w:val="24"/>
    </w:rPr>
  </w:style>
  <w:style w:type="paragraph" w:customStyle="1" w:styleId="neirong">
    <w:name w:val="neirong"/>
    <w:basedOn w:val="a"/>
    <w:pPr>
      <w:widowControl/>
      <w:autoSpaceDE w:val="0"/>
      <w:autoSpaceDN w:val="0"/>
      <w:adjustRightInd w:val="0"/>
      <w:spacing w:before="29" w:line="360" w:lineRule="auto"/>
      <w:ind w:left="15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hide">
    <w:name w:val="hide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vanish/>
      <w:kern w:val="0"/>
      <w:sz w:val="24"/>
      <w:szCs w:val="24"/>
    </w:rPr>
  </w:style>
  <w:style w:type="paragraph" w:customStyle="1" w:styleId="show">
    <w:name w:val="show"/>
    <w:basedOn w:val="a"/>
    <w:pPr>
      <w:widowControl/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biaogeleft1">
    <w:name w:val="biaoge_left1"/>
    <w:basedOn w:val="a"/>
    <w:pPr>
      <w:widowControl/>
      <w:autoSpaceDE w:val="0"/>
      <w:autoSpaceDN w:val="0"/>
      <w:adjustRightInd w:val="0"/>
      <w:spacing w:before="29" w:line="288" w:lineRule="auto"/>
      <w:ind w:left="15"/>
      <w:jc w:val="left"/>
    </w:pPr>
    <w:rPr>
      <w:rFonts w:ascii="宋体" w:hAnsi="宋体" w:cs="宋体"/>
      <w:kern w:val="0"/>
      <w:sz w:val="24"/>
      <w:szCs w:val="24"/>
    </w:rPr>
  </w:style>
  <w:style w:type="paragraph" w:customStyle="1" w:styleId="biaogeleft2">
    <w:name w:val="biaoge_left2"/>
    <w:basedOn w:val="a"/>
    <w:pPr>
      <w:widowControl/>
      <w:autoSpaceDE w:val="0"/>
      <w:autoSpaceDN w:val="0"/>
      <w:adjustRightInd w:val="0"/>
      <w:spacing w:before="29" w:line="288" w:lineRule="auto"/>
      <w:ind w:left="15"/>
      <w:jc w:val="left"/>
    </w:pPr>
    <w:rPr>
      <w:rFonts w:ascii="宋体" w:hAnsi="宋体" w:cs="宋体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788003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151</Words>
  <Characters>865</Characters>
  <Application>Microsoft Office Word</Application>
  <DocSecurity>4</DocSecurity>
  <Lines>7</Lines>
  <Paragraphs>2</Paragraphs>
  <ScaleCrop>false</ScaleCrop>
  <Company/>
  <LinksUpToDate>false</LinksUpToDate>
  <CharactersWithSpaces>1014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ZYQ</dc:creator>
  <cp:keywords/>
  <dc:description/>
  <cp:lastModifiedBy>ZHONGM</cp:lastModifiedBy>
  <cp:revision>2</cp:revision>
  <dcterms:created xsi:type="dcterms:W3CDTF">2026-04-26T16:00:00Z</dcterms:created>
  <dcterms:modified xsi:type="dcterms:W3CDTF">2026-04-26T16:00:00Z</dcterms:modified>
</cp:coreProperties>
</file>