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D32FB" w:rsidRDefault="002D32FB">
      <w:pPr>
        <w:pStyle w:val="XBRL2"/>
        <w:spacing w:before="156"/>
        <w:rPr>
          <w:lang w:eastAsia="zh-CN"/>
        </w:rPr>
      </w:pPr>
      <w:bookmarkStart w:id="0" w:name="_Toc510201001"/>
      <w:bookmarkEnd w:id="0"/>
      <w:r>
        <w:rPr>
          <w:lang w:eastAsia="zh-CN"/>
        </w:rPr>
        <w:t xml:space="preserve">　</w:t>
      </w:r>
      <w:r>
        <w:rPr>
          <w:lang w:eastAsia="zh-CN"/>
        </w:rPr>
        <w:t xml:space="preserve"> </w:t>
      </w:r>
    </w:p>
    <w:p w:rsidR="002D32FB" w:rsidRDefault="002D32FB">
      <w:pPr>
        <w:jc w:val="center"/>
      </w:pPr>
      <w:r>
        <w:rPr>
          <w:rFonts w:cs="Times New Roman" w:hint="eastAsia"/>
          <w:b/>
          <w:sz w:val="48"/>
          <w:szCs w:val="48"/>
        </w:rPr>
        <w:t>华泰柏瑞中证同业存单AAA指数7天持有期证券投资基金暂停代销机构申购和转换转入业务的公告</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pStyle w:val="TOC2"/>
        <w:tabs>
          <w:tab w:val="right" w:leader="dot" w:pos="8835"/>
        </w:tabs>
        <w:divId w:val="1654066027"/>
        <w:rPr>
          <w:rFonts w:hint="eastAsia"/>
          <w:vanish/>
        </w:rPr>
      </w:pPr>
      <w:r>
        <w:rPr>
          <w:rFonts w:hint="eastAsia"/>
          <w:vanish/>
          <w:sz w:val="24"/>
          <w:szCs w:val="30"/>
        </w:rPr>
        <w:fldChar w:fldCharType="begin"/>
      </w:r>
      <w:r>
        <w:rPr>
          <w:rFonts w:hint="eastAsia"/>
          <w:vanish/>
          <w:sz w:val="24"/>
          <w:szCs w:val="30"/>
        </w:rPr>
        <w:instrText xml:space="preserve">?TOC \o "1-2" \n \h \z \u </w:instrText>
      </w:r>
      <w:r>
        <w:rPr>
          <w:vanish/>
          <w:sz w:val="24"/>
          <w:szCs w:val="30"/>
        </w:rPr>
        <w:fldChar w:fldCharType="separate"/>
      </w:r>
      <w:hyperlink w:anchor="_Toc510201001" w:history="1">
        <w:r>
          <w:rPr>
            <w:rStyle w:val="a3"/>
            <w:rFonts w:hint="eastAsia"/>
            <w:noProof/>
            <w:vanish/>
          </w:rPr>
          <w:t>0、公告标题</w:t>
        </w:r>
      </w:hyperlink>
      <w:r w:rsidRPr="00482B48">
        <w:rPr>
          <w:rFonts w:ascii="Calibri" w:hAnsi="Calibri" w:cs="Times New Roman"/>
          <w:noProof/>
          <w:vanish/>
          <w:szCs w:val="22"/>
        </w:rPr>
        <w:t xml:space="preserve"> </w:t>
      </w:r>
    </w:p>
    <w:p w:rsidR="002D32FB" w:rsidRDefault="002D32FB">
      <w:pPr>
        <w:pStyle w:val="TOC2"/>
        <w:tabs>
          <w:tab w:val="right" w:leader="dot" w:pos="8835"/>
        </w:tabs>
        <w:divId w:val="1654066027"/>
        <w:rPr>
          <w:rFonts w:hint="eastAsia"/>
          <w:vanish/>
        </w:rPr>
      </w:pPr>
      <w:hyperlink w:anchor="_Toc34322059" w:history="1">
        <w:r>
          <w:rPr>
            <w:rStyle w:val="a3"/>
            <w:rFonts w:hint="eastAsia"/>
            <w:noProof/>
            <w:vanish/>
          </w:rPr>
          <w:t>1.公告基本信息</w:t>
        </w:r>
      </w:hyperlink>
      <w:r w:rsidRPr="00482B48">
        <w:rPr>
          <w:rFonts w:ascii="Calibri" w:hAnsi="Calibri" w:cs="Times New Roman"/>
          <w:noProof/>
          <w:vanish/>
          <w:szCs w:val="22"/>
        </w:rPr>
        <w:t xml:space="preserve"> </w:t>
      </w:r>
    </w:p>
    <w:p w:rsidR="002D32FB" w:rsidRDefault="002D32FB">
      <w:pPr>
        <w:pStyle w:val="TOC2"/>
        <w:tabs>
          <w:tab w:val="right" w:leader="dot" w:pos="8835"/>
        </w:tabs>
        <w:divId w:val="1654066027"/>
        <w:rPr>
          <w:rFonts w:hint="eastAsia"/>
          <w:vanish/>
        </w:rPr>
      </w:pPr>
      <w:hyperlink w:anchor="_Toc34322063" w:history="1">
        <w:r>
          <w:rPr>
            <w:rStyle w:val="a3"/>
            <w:rFonts w:hint="eastAsia"/>
            <w:noProof/>
            <w:vanish/>
          </w:rPr>
          <w:t>2.其他需要提示的事项</w:t>
        </w:r>
      </w:hyperlink>
      <w:r w:rsidRPr="00482B48">
        <w:rPr>
          <w:rFonts w:ascii="Calibri" w:hAnsi="Calibri" w:cs="Times New Roman"/>
          <w:noProof/>
          <w:vanish/>
          <w:szCs w:val="22"/>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fldChar w:fldCharType="end"/>
      </w: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560" w:lineRule="exact"/>
        <w:jc w:val="center"/>
        <w:rPr>
          <w:rFonts w:hint="eastAsia"/>
          <w:color w:val="000000"/>
          <w:kern w:val="0"/>
          <w:sz w:val="18"/>
        </w:rPr>
      </w:pPr>
      <w:r>
        <w:rPr>
          <w:rFonts w:hint="eastAsia"/>
          <w:color w:val="000000"/>
          <w:kern w:val="0"/>
          <w:sz w:val="18"/>
        </w:rPr>
        <w:t xml:space="preserve">　 </w:t>
      </w:r>
    </w:p>
    <w:p w:rsidR="002D32FB" w:rsidRDefault="002D32FB">
      <w:pPr>
        <w:spacing w:line="360" w:lineRule="auto"/>
        <w:jc w:val="center"/>
        <w:rPr>
          <w:rFonts w:hint="eastAsia"/>
        </w:rPr>
      </w:pPr>
      <w:r>
        <w:rPr>
          <w:rFonts w:hint="eastAsia"/>
          <w:b/>
          <w:bCs/>
          <w:sz w:val="24"/>
          <w:szCs w:val="30"/>
        </w:rPr>
        <w:t>公告送出日期：202</w:t>
      </w:r>
      <w:r w:rsidR="00AC560B">
        <w:rPr>
          <w:b/>
          <w:bCs/>
          <w:sz w:val="24"/>
          <w:szCs w:val="30"/>
        </w:rPr>
        <w:t>6</w:t>
      </w:r>
      <w:r>
        <w:rPr>
          <w:rFonts w:hint="eastAsia"/>
          <w:b/>
          <w:bCs/>
          <w:sz w:val="24"/>
          <w:szCs w:val="30"/>
        </w:rPr>
        <w:t>年</w:t>
      </w:r>
      <w:r w:rsidR="00215EDA">
        <w:rPr>
          <w:b/>
          <w:bCs/>
          <w:sz w:val="24"/>
          <w:szCs w:val="30"/>
        </w:rPr>
        <w:t>4</w:t>
      </w:r>
      <w:r w:rsidR="00936C32">
        <w:rPr>
          <w:rFonts w:hint="eastAsia"/>
          <w:b/>
          <w:bCs/>
          <w:sz w:val="24"/>
          <w:szCs w:val="30"/>
        </w:rPr>
        <w:t>月</w:t>
      </w:r>
      <w:r w:rsidR="00215EDA">
        <w:rPr>
          <w:b/>
          <w:bCs/>
          <w:sz w:val="24"/>
          <w:szCs w:val="30"/>
        </w:rPr>
        <w:t>2</w:t>
      </w:r>
      <w:r w:rsidR="005716CE">
        <w:rPr>
          <w:b/>
          <w:bCs/>
          <w:sz w:val="24"/>
          <w:szCs w:val="30"/>
        </w:rPr>
        <w:t>7</w:t>
      </w:r>
      <w:r w:rsidR="00936C32">
        <w:rPr>
          <w:rFonts w:hint="eastAsia"/>
          <w:b/>
          <w:bCs/>
          <w:sz w:val="24"/>
          <w:szCs w:val="30"/>
        </w:rPr>
        <w:t>日</w:t>
      </w:r>
    </w:p>
    <w:p w:rsidR="002D32FB" w:rsidRDefault="002D32FB">
      <w:pPr>
        <w:pStyle w:val="XBRLTitle1"/>
        <w:spacing w:before="156"/>
        <w:ind w:left="425"/>
        <w:jc w:val="left"/>
        <w:rPr>
          <w:rFonts w:hint="eastAsia"/>
        </w:rPr>
      </w:pPr>
      <w:r>
        <w:rPr>
          <w:rFonts w:hint="eastAsia"/>
          <w:color w:val="404040"/>
          <w:kern w:val="0"/>
        </w:rPr>
        <w:br w:type="page"/>
      </w:r>
      <w:bookmarkStart w:id="1" w:name="_Toc17898178"/>
      <w:bookmarkStart w:id="2" w:name="_Toc17897936"/>
      <w:bookmarkStart w:id="3" w:name="_Toc512519480"/>
      <w:bookmarkStart w:id="4" w:name="_Toc481075046"/>
      <w:bookmarkStart w:id="5" w:name="_Toc438646451"/>
      <w:bookmarkStart w:id="6" w:name="_Toc490050000"/>
      <w:bookmarkStart w:id="7" w:name="_Toc513295846"/>
      <w:bookmarkStart w:id="8" w:name="_Toc513295892"/>
      <w:bookmarkStart w:id="9" w:name="_Toc34322059"/>
      <w:bookmarkStart w:id="10" w:name="m101"/>
      <w:bookmarkStart w:id="11" w:name="m01_01"/>
      <w:bookmarkStart w:id="12" w:name="_Toc194311890"/>
      <w:r>
        <w:rPr>
          <w:rFonts w:hint="eastAsia"/>
          <w:szCs w:val="24"/>
        </w:rPr>
        <w:lastRenderedPageBreak/>
        <w:t>公告基本信息</w:t>
      </w:r>
      <w:bookmarkEnd w:id="1"/>
      <w:bookmarkEnd w:id="2"/>
      <w:bookmarkEnd w:id="3"/>
      <w:bookmarkEnd w:id="4"/>
      <w:bookmarkEnd w:id="5"/>
      <w:bookmarkEnd w:id="6"/>
      <w:bookmarkEnd w:id="7"/>
      <w:bookmarkEnd w:id="8"/>
      <w:bookmarkEnd w:id="9"/>
      <w:r>
        <w:rPr>
          <w:rFonts w:hint="eastAsia"/>
          <w:szCs w:val="24"/>
        </w:rPr>
        <w:t xml:space="preserve"> </w:t>
      </w:r>
      <w:bookmarkEnd w:id="10"/>
      <w:bookmarkEnd w:id="11"/>
      <w:bookmarkEnd w:id="12"/>
    </w:p>
    <w:tbl>
      <w:tblPr>
        <w:tblW w:w="0" w:type="auto"/>
        <w:tblBorders>
          <w:top w:val="single" w:sz="4" w:space="0" w:color="000000"/>
          <w:left w:val="single" w:sz="4" w:space="0" w:color="000000"/>
          <w:bottom w:val="single" w:sz="4" w:space="0" w:color="000000"/>
          <w:right w:val="single" w:sz="4" w:space="0" w:color="000000"/>
        </w:tblBorders>
        <w:tblLayout w:type="fixed"/>
        <w:tblLook w:val="04A0"/>
      </w:tblPr>
      <w:tblGrid>
        <w:gridCol w:w="1384"/>
        <w:gridCol w:w="2693"/>
        <w:gridCol w:w="4445"/>
      </w:tblGrid>
      <w:tr w:rsidR="002D32FB" w:rsidTr="00482B48">
        <w:trPr>
          <w:divId w:val="504592090"/>
        </w:trPr>
        <w:tc>
          <w:tcPr>
            <w:tcW w:w="4077" w:type="dxa"/>
            <w:gridSpan w:val="2"/>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ascii="Calibri" w:hAnsi="Calibri" w:hint="eastAsia"/>
              </w:rPr>
              <w:t>基金名称</w:t>
            </w:r>
          </w:p>
        </w:tc>
        <w:tc>
          <w:tcPr>
            <w:tcW w:w="4445" w:type="dxa"/>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hint="eastAsia"/>
              </w:rPr>
              <w:t>华泰柏瑞中证同业存单AAA指数7天持有期证券投资基金</w:t>
            </w:r>
          </w:p>
        </w:tc>
      </w:tr>
      <w:tr w:rsidR="002D32FB" w:rsidTr="00482B48">
        <w:trPr>
          <w:divId w:val="504592090"/>
        </w:trPr>
        <w:tc>
          <w:tcPr>
            <w:tcW w:w="4077" w:type="dxa"/>
            <w:gridSpan w:val="2"/>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ascii="Calibri" w:hAnsi="Calibri" w:hint="eastAsia"/>
              </w:rPr>
              <w:t>基金简称</w:t>
            </w:r>
          </w:p>
        </w:tc>
        <w:tc>
          <w:tcPr>
            <w:tcW w:w="4445" w:type="dxa"/>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hint="eastAsia"/>
              </w:rPr>
              <w:t>华泰柏瑞中证同业存单AAA指数7天持有期</w:t>
            </w:r>
            <w:r>
              <w:rPr>
                <w:rFonts w:cs="Calibri" w:hint="eastAsia"/>
              </w:rPr>
              <w:t xml:space="preserve"> </w:t>
            </w:r>
          </w:p>
        </w:tc>
      </w:tr>
      <w:tr w:rsidR="002D32FB" w:rsidTr="00482B48">
        <w:trPr>
          <w:divId w:val="504592090"/>
        </w:trPr>
        <w:tc>
          <w:tcPr>
            <w:tcW w:w="4077" w:type="dxa"/>
            <w:gridSpan w:val="2"/>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ascii="Calibri" w:hAnsi="Calibri" w:hint="eastAsia"/>
              </w:rPr>
              <w:t>基金主代码</w:t>
            </w:r>
          </w:p>
        </w:tc>
        <w:tc>
          <w:tcPr>
            <w:tcW w:w="4445" w:type="dxa"/>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hint="eastAsia"/>
              </w:rPr>
              <w:t>015863</w:t>
            </w:r>
          </w:p>
        </w:tc>
      </w:tr>
      <w:tr w:rsidR="002D32FB" w:rsidTr="00482B48">
        <w:trPr>
          <w:divId w:val="504592090"/>
        </w:trPr>
        <w:tc>
          <w:tcPr>
            <w:tcW w:w="4077" w:type="dxa"/>
            <w:gridSpan w:val="2"/>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ascii="Calibri" w:hAnsi="Calibri" w:hint="eastAsia"/>
              </w:rPr>
              <w:t>基金管理人名称</w:t>
            </w:r>
          </w:p>
        </w:tc>
        <w:tc>
          <w:tcPr>
            <w:tcW w:w="4445" w:type="dxa"/>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hint="eastAsia"/>
              </w:rPr>
              <w:t>华泰柏瑞基金管理有限公司</w:t>
            </w:r>
          </w:p>
        </w:tc>
      </w:tr>
      <w:tr w:rsidR="002D32FB" w:rsidTr="00482B48">
        <w:trPr>
          <w:divId w:val="504592090"/>
        </w:trPr>
        <w:tc>
          <w:tcPr>
            <w:tcW w:w="4077" w:type="dxa"/>
            <w:gridSpan w:val="2"/>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ascii="Calibri" w:hAnsi="Calibri" w:hint="eastAsia"/>
              </w:rPr>
              <w:t>公告依据</w:t>
            </w:r>
          </w:p>
        </w:tc>
        <w:tc>
          <w:tcPr>
            <w:tcW w:w="4445" w:type="dxa"/>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hint="eastAsia"/>
              </w:rPr>
              <w:t>《公开募集证券投资基金信息披露管理办法》</w:t>
            </w:r>
          </w:p>
        </w:tc>
      </w:tr>
      <w:tr w:rsidR="00215EDA" w:rsidTr="0027166D">
        <w:trPr>
          <w:divId w:val="504592090"/>
          <w:trHeight w:val="508"/>
        </w:trPr>
        <w:tc>
          <w:tcPr>
            <w:tcW w:w="1384" w:type="dxa"/>
            <w:vMerge w:val="restart"/>
            <w:tcBorders>
              <w:top w:val="nil"/>
              <w:left w:val="single" w:sz="4" w:space="0" w:color="000000"/>
              <w:bottom w:val="single" w:sz="4" w:space="0" w:color="000000"/>
              <w:right w:val="single" w:sz="4" w:space="0" w:color="000000"/>
            </w:tcBorders>
            <w:vAlign w:val="center"/>
            <w:hideMark/>
          </w:tcPr>
          <w:p w:rsidR="00215EDA" w:rsidRDefault="00215EDA" w:rsidP="00215EDA">
            <w:pPr>
              <w:rPr>
                <w:rFonts w:hint="eastAsia"/>
              </w:rPr>
            </w:pPr>
            <w:r w:rsidRPr="00482B48">
              <w:rPr>
                <w:rFonts w:ascii="Calibri" w:hAnsi="Calibri" w:hint="eastAsia"/>
              </w:rPr>
              <w:t>暂停相关业务的起始日、金额及原因说明</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15EDA" w:rsidRDefault="00215EDA" w:rsidP="00215EDA">
            <w:pPr>
              <w:rPr>
                <w:rFonts w:hint="eastAsia"/>
              </w:rPr>
            </w:pPr>
            <w:r w:rsidRPr="00482B48">
              <w:rPr>
                <w:rFonts w:ascii="Calibri" w:hAnsi="Calibri" w:hint="eastAsia"/>
              </w:rPr>
              <w:t>暂停申购起始日</w:t>
            </w:r>
          </w:p>
        </w:tc>
        <w:tc>
          <w:tcPr>
            <w:tcW w:w="4445" w:type="dxa"/>
            <w:tcBorders>
              <w:top w:val="single" w:sz="4" w:space="0" w:color="000000"/>
              <w:left w:val="single" w:sz="4" w:space="0" w:color="000000"/>
              <w:bottom w:val="single" w:sz="4" w:space="0" w:color="000000"/>
              <w:right w:val="single" w:sz="4" w:space="0" w:color="000000"/>
            </w:tcBorders>
            <w:hideMark/>
          </w:tcPr>
          <w:p w:rsidR="00215EDA" w:rsidRDefault="00215EDA" w:rsidP="00215EDA">
            <w:pPr>
              <w:rPr>
                <w:rFonts w:hint="eastAsia"/>
              </w:rPr>
            </w:pPr>
            <w:r w:rsidRPr="00F66899">
              <w:t>2026年4月2</w:t>
            </w:r>
            <w:r w:rsidR="005716CE">
              <w:t>9</w:t>
            </w:r>
            <w:r w:rsidRPr="00F66899">
              <w:t>日</w:t>
            </w:r>
          </w:p>
        </w:tc>
      </w:tr>
      <w:tr w:rsidR="00215EDA" w:rsidTr="00AC560B">
        <w:trPr>
          <w:divId w:val="504592090"/>
          <w:trHeight w:val="506"/>
        </w:trPr>
        <w:tc>
          <w:tcPr>
            <w:tcW w:w="1384" w:type="dxa"/>
            <w:vMerge/>
            <w:tcBorders>
              <w:top w:val="nil"/>
              <w:left w:val="single" w:sz="4" w:space="0" w:color="000000"/>
              <w:bottom w:val="single" w:sz="4" w:space="0" w:color="000000"/>
              <w:right w:val="single" w:sz="4" w:space="0" w:color="000000"/>
            </w:tcBorders>
            <w:vAlign w:val="center"/>
            <w:hideMark/>
          </w:tcPr>
          <w:p w:rsidR="00215EDA" w:rsidRDefault="00215EDA" w:rsidP="00215EDA">
            <w:pPr>
              <w:widowControl/>
              <w:jc w:val="left"/>
            </w:pP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15EDA" w:rsidRDefault="00215EDA" w:rsidP="00215EDA">
            <w:pPr>
              <w:rPr>
                <w:rFonts w:hint="eastAsia"/>
              </w:rPr>
            </w:pPr>
            <w:r w:rsidRPr="00482B48">
              <w:rPr>
                <w:rFonts w:ascii="Calibri" w:hAnsi="Calibri" w:hint="eastAsia"/>
              </w:rPr>
              <w:t>暂停转换转入起始日</w:t>
            </w:r>
          </w:p>
        </w:tc>
        <w:tc>
          <w:tcPr>
            <w:tcW w:w="4445" w:type="dxa"/>
            <w:tcBorders>
              <w:top w:val="single" w:sz="4" w:space="0" w:color="000000"/>
              <w:left w:val="single" w:sz="4" w:space="0" w:color="000000"/>
              <w:bottom w:val="single" w:sz="4" w:space="0" w:color="000000"/>
              <w:right w:val="single" w:sz="4" w:space="0" w:color="000000"/>
            </w:tcBorders>
            <w:hideMark/>
          </w:tcPr>
          <w:p w:rsidR="00215EDA" w:rsidRDefault="00215EDA" w:rsidP="00215EDA">
            <w:pPr>
              <w:rPr>
                <w:rFonts w:hint="eastAsia"/>
              </w:rPr>
            </w:pPr>
            <w:r w:rsidRPr="00F66899">
              <w:t>2026年4月2</w:t>
            </w:r>
            <w:r w:rsidR="005716CE">
              <w:t>9</w:t>
            </w:r>
            <w:r w:rsidRPr="00F66899">
              <w:t>日</w:t>
            </w:r>
          </w:p>
        </w:tc>
      </w:tr>
      <w:tr w:rsidR="002D32FB" w:rsidTr="00AC560B">
        <w:trPr>
          <w:divId w:val="504592090"/>
          <w:trHeight w:val="506"/>
        </w:trPr>
        <w:tc>
          <w:tcPr>
            <w:tcW w:w="1384" w:type="dxa"/>
            <w:vMerge/>
            <w:tcBorders>
              <w:top w:val="nil"/>
              <w:left w:val="single" w:sz="4" w:space="0" w:color="000000"/>
              <w:bottom w:val="single" w:sz="4" w:space="0" w:color="000000"/>
              <w:right w:val="single" w:sz="4" w:space="0" w:color="000000"/>
            </w:tcBorders>
            <w:vAlign w:val="center"/>
            <w:hideMark/>
          </w:tcPr>
          <w:p w:rsidR="002D32FB" w:rsidRDefault="002D32FB">
            <w:pPr>
              <w:widowControl/>
              <w:jc w:val="left"/>
            </w:pP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hint="eastAsia"/>
              </w:rPr>
              <w:t>暂停申购、转换转入的原因说明</w:t>
            </w:r>
          </w:p>
        </w:tc>
        <w:tc>
          <w:tcPr>
            <w:tcW w:w="4445" w:type="dxa"/>
            <w:tcBorders>
              <w:top w:val="single" w:sz="4" w:space="0" w:color="000000"/>
              <w:left w:val="single" w:sz="4" w:space="0" w:color="000000"/>
              <w:bottom w:val="single" w:sz="4" w:space="0" w:color="000000"/>
              <w:right w:val="single" w:sz="4" w:space="0" w:color="000000"/>
            </w:tcBorders>
            <w:vAlign w:val="center"/>
            <w:hideMark/>
          </w:tcPr>
          <w:p w:rsidR="002D32FB" w:rsidRDefault="002D32FB">
            <w:pPr>
              <w:rPr>
                <w:rFonts w:hint="eastAsia"/>
              </w:rPr>
            </w:pPr>
            <w:r w:rsidRPr="00482B48">
              <w:rPr>
                <w:rFonts w:hint="eastAsia"/>
              </w:rPr>
              <w:t>为保证基金的平稳运作，维护基金持有人利益</w:t>
            </w:r>
          </w:p>
        </w:tc>
      </w:tr>
    </w:tbl>
    <w:p w:rsidR="002D32FB" w:rsidRDefault="002D32FB">
      <w:pPr>
        <w:pStyle w:val="XBRLTitle1"/>
        <w:spacing w:before="156" w:line="360" w:lineRule="auto"/>
        <w:ind w:left="425"/>
        <w:jc w:val="left"/>
        <w:rPr>
          <w:rFonts w:hint="eastAsia"/>
        </w:rPr>
      </w:pPr>
      <w:bookmarkStart w:id="13" w:name="_Toc17898228"/>
      <w:bookmarkStart w:id="14" w:name="_Toc17897969"/>
      <w:bookmarkStart w:id="15" w:name="_Toc512519529"/>
      <w:bookmarkStart w:id="16" w:name="_Toc490050049"/>
      <w:bookmarkStart w:id="17" w:name="_Toc481075097"/>
      <w:bookmarkStart w:id="18" w:name="_Toc438646481"/>
      <w:bookmarkStart w:id="19" w:name="_Toc513295878"/>
      <w:bookmarkStart w:id="20" w:name="_Toc513295941"/>
      <w:bookmarkStart w:id="21" w:name="_Toc34322063"/>
      <w:bookmarkStart w:id="22" w:name="m201_01"/>
      <w:r>
        <w:rPr>
          <w:rFonts w:hAnsi="宋体" w:hint="eastAsia"/>
          <w:szCs w:val="24"/>
        </w:rPr>
        <w:t>其他需要提示的事项</w:t>
      </w:r>
      <w:bookmarkEnd w:id="13"/>
      <w:bookmarkEnd w:id="14"/>
      <w:bookmarkEnd w:id="15"/>
      <w:bookmarkEnd w:id="16"/>
      <w:bookmarkEnd w:id="17"/>
      <w:bookmarkEnd w:id="18"/>
      <w:bookmarkEnd w:id="19"/>
      <w:bookmarkEnd w:id="20"/>
      <w:bookmarkEnd w:id="21"/>
      <w:r>
        <w:rPr>
          <w:rFonts w:hAnsi="宋体" w:hint="eastAsia"/>
          <w:szCs w:val="24"/>
        </w:rPr>
        <w:t xml:space="preserve"> </w:t>
      </w:r>
    </w:p>
    <w:p w:rsidR="00FD1EAF" w:rsidRDefault="002D32FB">
      <w:pPr>
        <w:spacing w:line="360" w:lineRule="auto"/>
        <w:ind w:firstLineChars="200" w:firstLine="420"/>
        <w:jc w:val="left"/>
        <w:rPr>
          <w:szCs w:val="21"/>
        </w:rPr>
      </w:pPr>
      <w:r>
        <w:rPr>
          <w:rFonts w:hint="eastAsia"/>
          <w:szCs w:val="21"/>
        </w:rPr>
        <w:t>1、为保证基金的平稳运作，维护基金持有人利益，华泰柏瑞基金管理有限公司（以下简称“本公司”）决定自</w:t>
      </w:r>
      <w:r w:rsidR="00215EDA" w:rsidRPr="00215EDA">
        <w:rPr>
          <w:szCs w:val="21"/>
        </w:rPr>
        <w:t>2026年4月2</w:t>
      </w:r>
      <w:r w:rsidR="005716CE">
        <w:rPr>
          <w:szCs w:val="21"/>
        </w:rPr>
        <w:t>9</w:t>
      </w:r>
      <w:r w:rsidR="00215EDA" w:rsidRPr="00215EDA">
        <w:rPr>
          <w:szCs w:val="21"/>
        </w:rPr>
        <w:t>日</w:t>
      </w:r>
      <w:r>
        <w:rPr>
          <w:rFonts w:hint="eastAsia"/>
          <w:szCs w:val="21"/>
        </w:rPr>
        <w:t>起暂停华泰柏瑞中证同业存单AAA指数7天持有期证券投资基金（以下简称“本基金”）的基金申购和转换转入业务，但通过</w:t>
      </w:r>
      <w:r w:rsidR="00FD1EAF" w:rsidRPr="00FD1EAF">
        <w:rPr>
          <w:rFonts w:hint="eastAsia"/>
          <w:szCs w:val="21"/>
        </w:rPr>
        <w:t>蚂蚁（杭州）基金销售有限公司</w:t>
      </w:r>
      <w:r w:rsidR="00B86135">
        <w:rPr>
          <w:rFonts w:hint="eastAsia"/>
          <w:szCs w:val="21"/>
        </w:rPr>
        <w:t>、</w:t>
      </w:r>
      <w:r w:rsidR="00B86135" w:rsidRPr="00B86135">
        <w:rPr>
          <w:rFonts w:hint="eastAsia"/>
          <w:szCs w:val="21"/>
        </w:rPr>
        <w:t>江苏银行股份有限公司</w:t>
      </w:r>
      <w:r w:rsidR="00B86135">
        <w:rPr>
          <w:rFonts w:hint="eastAsia"/>
          <w:szCs w:val="21"/>
        </w:rPr>
        <w:t>、</w:t>
      </w:r>
      <w:r w:rsidR="00B86135" w:rsidRPr="00B86135">
        <w:rPr>
          <w:rFonts w:hint="eastAsia"/>
          <w:szCs w:val="21"/>
        </w:rPr>
        <w:t>中国银行股份有限公司</w:t>
      </w:r>
      <w:r w:rsidR="00BA1A4D">
        <w:rPr>
          <w:rFonts w:hint="eastAsia"/>
          <w:szCs w:val="21"/>
        </w:rPr>
        <w:t>、招商银行股份有限公司</w:t>
      </w:r>
      <w:r>
        <w:rPr>
          <w:rFonts w:hint="eastAsia"/>
          <w:szCs w:val="21"/>
        </w:rPr>
        <w:t>申购和转换转入本基金除外。</w:t>
      </w:r>
      <w:r w:rsidR="00BA1A4D" w:rsidRPr="00BA1A4D">
        <w:rPr>
          <w:rFonts w:hint="eastAsia"/>
          <w:szCs w:val="21"/>
        </w:rPr>
        <w:t>同时并限制单日单个基金账户在直销及</w:t>
      </w:r>
      <w:r w:rsidR="00BA1A4D">
        <w:rPr>
          <w:rFonts w:hint="eastAsia"/>
          <w:szCs w:val="21"/>
        </w:rPr>
        <w:t>上述渠道</w:t>
      </w:r>
      <w:r w:rsidR="00BA1A4D" w:rsidRPr="00BA1A4D">
        <w:rPr>
          <w:rFonts w:hint="eastAsia"/>
          <w:szCs w:val="21"/>
        </w:rPr>
        <w:t>单笔或累计超过</w:t>
      </w:r>
      <w:r w:rsidR="00BA1A4D" w:rsidRPr="00BA1A4D">
        <w:rPr>
          <w:szCs w:val="21"/>
        </w:rPr>
        <w:t xml:space="preserve"> </w:t>
      </w:r>
      <w:r w:rsidR="00BA1A4D">
        <w:rPr>
          <w:szCs w:val="21"/>
        </w:rPr>
        <w:t>5</w:t>
      </w:r>
      <w:r w:rsidR="00BA1A4D" w:rsidRPr="00BA1A4D">
        <w:rPr>
          <w:szCs w:val="21"/>
        </w:rPr>
        <w:t xml:space="preserve"> 万元(不含 </w:t>
      </w:r>
      <w:r w:rsidR="00BA1A4D">
        <w:rPr>
          <w:szCs w:val="21"/>
        </w:rPr>
        <w:t>5</w:t>
      </w:r>
      <w:r w:rsidR="00BA1A4D" w:rsidRPr="00BA1A4D">
        <w:rPr>
          <w:szCs w:val="21"/>
        </w:rPr>
        <w:t xml:space="preserve"> 万元)的申购、转换转入申请：如单日单个基金账户单笔申购、转换转入本</w:t>
      </w:r>
      <w:r w:rsidR="00BA1A4D" w:rsidRPr="00BA1A4D">
        <w:rPr>
          <w:rFonts w:hint="eastAsia"/>
          <w:szCs w:val="21"/>
        </w:rPr>
        <w:t>基金的金额超过</w:t>
      </w:r>
      <w:r w:rsidR="00BA1A4D" w:rsidRPr="00BA1A4D">
        <w:rPr>
          <w:szCs w:val="21"/>
        </w:rPr>
        <w:t xml:space="preserve"> </w:t>
      </w:r>
      <w:r w:rsidR="00BA1A4D">
        <w:rPr>
          <w:szCs w:val="21"/>
        </w:rPr>
        <w:t>5</w:t>
      </w:r>
      <w:r w:rsidR="00BA1A4D" w:rsidRPr="00BA1A4D">
        <w:rPr>
          <w:szCs w:val="21"/>
        </w:rPr>
        <w:t xml:space="preserve"> 万元（不含 </w:t>
      </w:r>
      <w:r w:rsidR="00BA1A4D">
        <w:rPr>
          <w:szCs w:val="21"/>
        </w:rPr>
        <w:t>5</w:t>
      </w:r>
      <w:r w:rsidR="00BA1A4D" w:rsidRPr="00BA1A4D">
        <w:rPr>
          <w:szCs w:val="21"/>
        </w:rPr>
        <w:t xml:space="preserve"> 万元），对于该笔申购、转换转入申请，本公司有权拒绝；如单日</w:t>
      </w:r>
      <w:r w:rsidR="00BA1A4D" w:rsidRPr="00BA1A4D">
        <w:rPr>
          <w:rFonts w:hint="eastAsia"/>
          <w:szCs w:val="21"/>
        </w:rPr>
        <w:t>单个基金账户多笔累计申购、转换转入本基金的金额超过</w:t>
      </w:r>
      <w:r w:rsidR="00BA1A4D" w:rsidRPr="00BA1A4D">
        <w:rPr>
          <w:szCs w:val="21"/>
        </w:rPr>
        <w:t xml:space="preserve"> </w:t>
      </w:r>
      <w:r w:rsidR="00BA1A4D">
        <w:rPr>
          <w:szCs w:val="21"/>
        </w:rPr>
        <w:t>5</w:t>
      </w:r>
      <w:r w:rsidR="00BA1A4D" w:rsidRPr="00BA1A4D">
        <w:rPr>
          <w:szCs w:val="21"/>
        </w:rPr>
        <w:t xml:space="preserve"> 万元(不含 </w:t>
      </w:r>
      <w:r w:rsidR="00BA1A4D">
        <w:rPr>
          <w:szCs w:val="21"/>
        </w:rPr>
        <w:t>5</w:t>
      </w:r>
      <w:r w:rsidR="00BA1A4D" w:rsidRPr="00BA1A4D">
        <w:rPr>
          <w:szCs w:val="21"/>
        </w:rPr>
        <w:t xml:space="preserve"> 万元)，对超过限额的该</w:t>
      </w:r>
      <w:r w:rsidR="00BA1A4D" w:rsidRPr="00BA1A4D">
        <w:rPr>
          <w:rFonts w:hint="eastAsia"/>
          <w:szCs w:val="21"/>
        </w:rPr>
        <w:t>笔或多笔申购、转换转入申请，本公司有权拒绝。</w:t>
      </w:r>
      <w:r>
        <w:rPr>
          <w:rFonts w:hint="eastAsia"/>
          <w:szCs w:val="21"/>
        </w:rPr>
        <w:br/>
        <w:t xml:space="preserve">　　</w:t>
      </w:r>
      <w:r w:rsidR="00FD1EAF">
        <w:rPr>
          <w:szCs w:val="21"/>
        </w:rPr>
        <w:t>2</w:t>
      </w:r>
      <w:r>
        <w:rPr>
          <w:rFonts w:hint="eastAsia"/>
          <w:szCs w:val="21"/>
        </w:rPr>
        <w:t>、在上述期间的交易日，本基金赎回、定期定额投资、转换转出等业务仍照常办理。若投资者于假期前或假期间需要使用资金，请充分考虑资金到账所需时间，提前做好交易安排，避免因交易跨越假期而带来不便。</w:t>
      </w:r>
    </w:p>
    <w:p w:rsidR="00FD1EAF" w:rsidRDefault="00FD1EAF">
      <w:pPr>
        <w:spacing w:line="360" w:lineRule="auto"/>
        <w:ind w:firstLineChars="200" w:firstLine="420"/>
        <w:jc w:val="left"/>
        <w:rPr>
          <w:szCs w:val="21"/>
        </w:rPr>
      </w:pPr>
      <w:r>
        <w:rPr>
          <w:szCs w:val="21"/>
        </w:rPr>
        <w:t>3</w:t>
      </w:r>
      <w:r w:rsidRPr="00FD1EAF">
        <w:rPr>
          <w:szCs w:val="21"/>
        </w:rPr>
        <w:t>、自</w:t>
      </w:r>
      <w:r w:rsidR="00215EDA" w:rsidRPr="00215EDA">
        <w:t>2026年</w:t>
      </w:r>
      <w:r w:rsidR="005716CE">
        <w:t>5</w:t>
      </w:r>
      <w:r w:rsidR="00215EDA" w:rsidRPr="00215EDA">
        <w:t>月</w:t>
      </w:r>
      <w:r w:rsidR="005716CE">
        <w:t>6</w:t>
      </w:r>
      <w:r w:rsidR="00215EDA" w:rsidRPr="00215EDA">
        <w:t>日</w:t>
      </w:r>
      <w:r w:rsidRPr="00FD1EAF">
        <w:rPr>
          <w:szCs w:val="21"/>
        </w:rPr>
        <w:t xml:space="preserve">起本基金恢复办理基金正常申购、转换转入业务，并自同日起限制单日单个基金账户单笔或累计超过 </w:t>
      </w:r>
      <w:r w:rsidR="00215EDA">
        <w:rPr>
          <w:szCs w:val="21"/>
        </w:rPr>
        <w:t>5</w:t>
      </w:r>
      <w:r w:rsidR="00532F0E">
        <w:rPr>
          <w:szCs w:val="21"/>
        </w:rPr>
        <w:t>00</w:t>
      </w:r>
      <w:r w:rsidRPr="00FD1EAF">
        <w:rPr>
          <w:szCs w:val="21"/>
        </w:rPr>
        <w:t xml:space="preserve">万元(不含 </w:t>
      </w:r>
      <w:r w:rsidR="00215EDA">
        <w:rPr>
          <w:szCs w:val="21"/>
        </w:rPr>
        <w:t>5</w:t>
      </w:r>
      <w:r w:rsidR="00532F0E">
        <w:rPr>
          <w:szCs w:val="21"/>
        </w:rPr>
        <w:t>00</w:t>
      </w:r>
      <w:r w:rsidRPr="00FD1EAF">
        <w:rPr>
          <w:szCs w:val="21"/>
        </w:rPr>
        <w:t xml:space="preserve"> 万元)的申购申请：如单日单个基金账户单笔申购本基金的金额超过 </w:t>
      </w:r>
      <w:r w:rsidR="00215EDA">
        <w:rPr>
          <w:szCs w:val="21"/>
        </w:rPr>
        <w:t>5</w:t>
      </w:r>
      <w:r w:rsidR="00532F0E">
        <w:rPr>
          <w:szCs w:val="21"/>
        </w:rPr>
        <w:t>00</w:t>
      </w:r>
      <w:r w:rsidRPr="00FD1EAF">
        <w:rPr>
          <w:szCs w:val="21"/>
        </w:rPr>
        <w:t xml:space="preserve"> 万元(不含</w:t>
      </w:r>
      <w:r w:rsidR="00215EDA">
        <w:rPr>
          <w:szCs w:val="21"/>
        </w:rPr>
        <w:t>5</w:t>
      </w:r>
      <w:r w:rsidR="00532F0E">
        <w:rPr>
          <w:szCs w:val="21"/>
        </w:rPr>
        <w:t>00</w:t>
      </w:r>
      <w:r w:rsidRPr="00FD1EAF">
        <w:rPr>
          <w:szCs w:val="21"/>
        </w:rPr>
        <w:t xml:space="preserve"> 万元)，对于该笔申购申请，本公司有权拒绝；如单日单个基金账户多笔累计申购本基金的金额超过 </w:t>
      </w:r>
      <w:r w:rsidR="00215EDA">
        <w:rPr>
          <w:szCs w:val="21"/>
        </w:rPr>
        <w:t>5</w:t>
      </w:r>
      <w:r w:rsidR="00E465CF">
        <w:rPr>
          <w:szCs w:val="21"/>
        </w:rPr>
        <w:t>00</w:t>
      </w:r>
      <w:r w:rsidRPr="00FD1EAF">
        <w:rPr>
          <w:szCs w:val="21"/>
        </w:rPr>
        <w:t xml:space="preserve"> 万元(不含 </w:t>
      </w:r>
      <w:r w:rsidR="00215EDA">
        <w:rPr>
          <w:szCs w:val="21"/>
        </w:rPr>
        <w:t>5</w:t>
      </w:r>
      <w:r w:rsidR="00E465CF">
        <w:rPr>
          <w:szCs w:val="21"/>
        </w:rPr>
        <w:t>00</w:t>
      </w:r>
      <w:r w:rsidRPr="00FD1EAF">
        <w:rPr>
          <w:szCs w:val="21"/>
        </w:rPr>
        <w:t xml:space="preserve"> 万元)，对超过限额的该笔或多笔申购申请，本公司有权拒绝。</w:t>
      </w:r>
    </w:p>
    <w:p w:rsidR="00FD1EAF" w:rsidRDefault="00FD1EAF">
      <w:pPr>
        <w:spacing w:line="360" w:lineRule="auto"/>
        <w:ind w:firstLineChars="200" w:firstLine="420"/>
        <w:jc w:val="left"/>
        <w:rPr>
          <w:szCs w:val="21"/>
        </w:rPr>
      </w:pPr>
      <w:r>
        <w:rPr>
          <w:szCs w:val="21"/>
        </w:rPr>
        <w:t>4</w:t>
      </w:r>
      <w:r>
        <w:rPr>
          <w:rFonts w:hint="eastAsia"/>
          <w:szCs w:val="21"/>
        </w:rPr>
        <w:t>、</w:t>
      </w:r>
      <w:r w:rsidRPr="00FD1EAF">
        <w:rPr>
          <w:rFonts w:hint="eastAsia"/>
          <w:szCs w:val="21"/>
        </w:rPr>
        <w:t>根据本公司于</w:t>
      </w:r>
      <w:r w:rsidRPr="00FD1EAF">
        <w:rPr>
          <w:szCs w:val="21"/>
        </w:rPr>
        <w:t xml:space="preserve"> 202</w:t>
      </w:r>
      <w:r w:rsidR="0053127B">
        <w:rPr>
          <w:szCs w:val="21"/>
        </w:rPr>
        <w:t>4</w:t>
      </w:r>
      <w:r w:rsidRPr="00FD1EAF">
        <w:rPr>
          <w:szCs w:val="21"/>
        </w:rPr>
        <w:t xml:space="preserve"> 年 11 月 1 日《华泰柏瑞中证同业存单 AAA 指数 7 天持有期证券投</w:t>
      </w:r>
      <w:r w:rsidRPr="00FD1EAF">
        <w:rPr>
          <w:rFonts w:hint="eastAsia"/>
          <w:szCs w:val="21"/>
        </w:rPr>
        <w:t>资基金规模控制的公告》，自</w:t>
      </w:r>
      <w:r w:rsidRPr="00FD1EAF">
        <w:rPr>
          <w:szCs w:val="21"/>
        </w:rPr>
        <w:t xml:space="preserve"> 202</w:t>
      </w:r>
      <w:r w:rsidR="0053127B">
        <w:rPr>
          <w:szCs w:val="21"/>
        </w:rPr>
        <w:t>4</w:t>
      </w:r>
      <w:r w:rsidRPr="00FD1EAF">
        <w:rPr>
          <w:szCs w:val="21"/>
        </w:rPr>
        <w:t xml:space="preserve"> 年 11 月 1 日起华泰柏瑞中证同业存单 AAA 指数 7 天持有期证</w:t>
      </w:r>
      <w:r w:rsidRPr="00FD1EAF">
        <w:rPr>
          <w:rFonts w:hint="eastAsia"/>
          <w:szCs w:val="21"/>
        </w:rPr>
        <w:t>券投资基金对基金规模进行控制。</w:t>
      </w:r>
    </w:p>
    <w:p w:rsidR="00FD1EAF" w:rsidRDefault="00FD1EAF">
      <w:pPr>
        <w:spacing w:line="360" w:lineRule="auto"/>
        <w:ind w:firstLineChars="200" w:firstLine="420"/>
        <w:jc w:val="left"/>
        <w:rPr>
          <w:szCs w:val="21"/>
        </w:rPr>
      </w:pPr>
      <w:r w:rsidRPr="00FD1EAF">
        <w:rPr>
          <w:rFonts w:hint="eastAsia"/>
          <w:szCs w:val="21"/>
        </w:rPr>
        <w:t>本基金总规模上限为</w:t>
      </w:r>
      <w:r w:rsidRPr="00FD1EAF">
        <w:rPr>
          <w:szCs w:val="21"/>
        </w:rPr>
        <w:t xml:space="preserve"> 100 亿元人民币（但因基金份额净值波动导致基金资产净值超过该金额</w:t>
      </w:r>
      <w:r w:rsidRPr="00FD1EAF">
        <w:rPr>
          <w:rFonts w:hint="eastAsia"/>
          <w:szCs w:val="21"/>
        </w:rPr>
        <w:t>的除外）。本基金管理人未来有权调整本基金在存续过程中的基金资产净值上限，具体以本基金管理人届时相关公告为准。</w:t>
      </w:r>
    </w:p>
    <w:p w:rsidR="002D32FB" w:rsidRDefault="00FD1EAF">
      <w:pPr>
        <w:spacing w:line="360" w:lineRule="auto"/>
        <w:ind w:firstLineChars="200" w:firstLine="420"/>
        <w:jc w:val="left"/>
        <w:rPr>
          <w:rFonts w:hint="eastAsia"/>
        </w:rPr>
      </w:pPr>
      <w:r w:rsidRPr="00FD1EAF">
        <w:rPr>
          <w:rFonts w:hint="eastAsia"/>
          <w:szCs w:val="21"/>
        </w:rPr>
        <w:t>若</w:t>
      </w:r>
      <w:r w:rsidRPr="00FD1EAF">
        <w:rPr>
          <w:szCs w:val="21"/>
        </w:rPr>
        <w:t xml:space="preserve"> T 日的申购和赎回申请全部确认后，基金的总规模超过 100 亿元，本基金管理人将对 T 日</w:t>
      </w:r>
      <w:r w:rsidRPr="00FD1EAF">
        <w:rPr>
          <w:rFonts w:hint="eastAsia"/>
          <w:szCs w:val="21"/>
        </w:rPr>
        <w:t>有效申购申请采用“申购申请比例确认”的原则给予部分确认。比例确认结果以投资者在销售网点柜台或以销售机构规定的其他方式查询申请的确认结果为准。</w:t>
      </w:r>
      <w:r w:rsidR="002D32FB">
        <w:rPr>
          <w:rFonts w:hint="eastAsia"/>
          <w:szCs w:val="21"/>
        </w:rPr>
        <w:br/>
        <w:t xml:space="preserve">　　投资者如欲了解详情，可登陆本公司网站(www.huatai-pb.com)或拨打客户服务电话：400-888-0001。</w:t>
      </w:r>
      <w:r w:rsidR="002D32FB">
        <w:rPr>
          <w:rFonts w:hint="eastAsia"/>
          <w:szCs w:val="21"/>
        </w:rPr>
        <w:br/>
        <w:t xml:space="preserve">　　风险提示： </w:t>
      </w:r>
      <w:r w:rsidR="002D32FB">
        <w:rPr>
          <w:rFonts w:hint="eastAsia"/>
          <w:szCs w:val="21"/>
        </w:rPr>
        <w:br/>
        <w:t xml:space="preserve">　　基金管理人承诺依照诚实信用、勤勉尽职的原则管理和运用基金资产，但不保证基金一定盈利，也不保证最低收益。基金的过往业绩及其净值高低并不预示其未来业绩表现。</w:t>
      </w:r>
      <w:r w:rsidR="002D32FB">
        <w:rPr>
          <w:rFonts w:hint="eastAsia"/>
          <w:szCs w:val="21"/>
        </w:rPr>
        <w:br/>
        <w:t xml:space="preserve">　　投资者投资本基金前应认真阅读基金合同、招募说明书等法律文件，了解拟投资基金的风险收益特征，并根据自身投资目的、投资期限、投资经验、资产状况等判断基金是否和投资者的风险承受能力相匹配。</w:t>
      </w:r>
    </w:p>
    <w:p w:rsidR="002D32FB" w:rsidRDefault="002D32FB">
      <w:pPr>
        <w:spacing w:line="360" w:lineRule="auto"/>
        <w:ind w:firstLineChars="600" w:firstLine="1446"/>
        <w:jc w:val="right"/>
        <w:rPr>
          <w:rFonts w:hint="eastAsia"/>
          <w:b/>
          <w:bCs/>
          <w:sz w:val="24"/>
          <w:szCs w:val="30"/>
        </w:rPr>
      </w:pPr>
      <w:r>
        <w:rPr>
          <w:rFonts w:hint="eastAsia"/>
          <w:b/>
          <w:bCs/>
          <w:sz w:val="24"/>
          <w:szCs w:val="30"/>
        </w:rPr>
        <w:t xml:space="preserve">　 </w:t>
      </w:r>
    </w:p>
    <w:p w:rsidR="002D32FB" w:rsidRDefault="002D32FB">
      <w:pPr>
        <w:spacing w:line="360" w:lineRule="auto"/>
        <w:ind w:firstLineChars="600" w:firstLine="1446"/>
        <w:jc w:val="right"/>
        <w:rPr>
          <w:rFonts w:hint="eastAsia"/>
          <w:b/>
          <w:bCs/>
          <w:sz w:val="24"/>
          <w:szCs w:val="30"/>
        </w:rPr>
      </w:pPr>
      <w:r>
        <w:rPr>
          <w:rFonts w:hint="eastAsia"/>
          <w:b/>
          <w:bCs/>
          <w:sz w:val="24"/>
          <w:szCs w:val="30"/>
        </w:rPr>
        <w:t xml:space="preserve">　 </w:t>
      </w:r>
    </w:p>
    <w:p w:rsidR="002D32FB" w:rsidRDefault="002D32FB">
      <w:pPr>
        <w:spacing w:line="360" w:lineRule="auto"/>
        <w:ind w:firstLineChars="600" w:firstLine="1446"/>
        <w:jc w:val="right"/>
        <w:rPr>
          <w:rFonts w:hint="eastAsia"/>
        </w:rPr>
      </w:pPr>
      <w:r>
        <w:rPr>
          <w:rFonts w:hint="eastAsia"/>
          <w:b/>
          <w:bCs/>
          <w:sz w:val="24"/>
          <w:szCs w:val="24"/>
        </w:rPr>
        <w:t>华泰柏瑞基金管理有限公司</w:t>
      </w:r>
    </w:p>
    <w:bookmarkEnd w:id="22"/>
    <w:p w:rsidR="002D32FB" w:rsidRDefault="00215EDA">
      <w:pPr>
        <w:spacing w:line="360" w:lineRule="auto"/>
        <w:ind w:firstLineChars="600" w:firstLine="1446"/>
        <w:jc w:val="right"/>
        <w:rPr>
          <w:rFonts w:hint="eastAsia"/>
        </w:rPr>
      </w:pPr>
      <w:r w:rsidRPr="00215EDA">
        <w:rPr>
          <w:b/>
          <w:bCs/>
          <w:sz w:val="24"/>
          <w:szCs w:val="24"/>
        </w:rPr>
        <w:t>2026年4月2</w:t>
      </w:r>
      <w:r w:rsidR="005716CE">
        <w:rPr>
          <w:b/>
          <w:bCs/>
          <w:sz w:val="24"/>
          <w:szCs w:val="24"/>
        </w:rPr>
        <w:t>7</w:t>
      </w:r>
      <w:r w:rsidRPr="00215EDA">
        <w:rPr>
          <w:b/>
          <w:bCs/>
          <w:sz w:val="24"/>
          <w:szCs w:val="24"/>
        </w:rPr>
        <w:t>日</w:t>
      </w:r>
    </w:p>
    <w:sectPr w:rsidR="002D32FB">
      <w:headerReference w:type="default" r:id="rId8"/>
      <w:footerReference w:type="default" r:id="rId9"/>
      <w:pgSz w:w="11907" w:h="16839"/>
      <w:pgMar w:top="1440" w:right="1531" w:bottom="1134" w:left="1531" w:header="851" w:footer="992" w:gutter="0"/>
      <w:pgNumType w:start="1"/>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CE9" w:rsidRDefault="00587CE9">
      <w:pPr>
        <w:rPr>
          <w:rFonts w:hint="eastAsia"/>
          <w:szCs w:val="21"/>
        </w:rPr>
      </w:pPr>
      <w:r>
        <w:rPr>
          <w:rFonts w:ascii="Times New Roman" w:hAnsi="Times New Roman" w:cs="Times New Roman"/>
          <w:szCs w:val="21"/>
        </w:rPr>
        <w:separator/>
      </w:r>
      <w:r>
        <w:rPr>
          <w:rFonts w:ascii="Times New Roman" w:hAnsi="Times New Roman" w:cs="Times New Roman" w:hint="eastAsia"/>
          <w:szCs w:val="21"/>
        </w:rPr>
        <w:t xml:space="preserve"> </w:t>
      </w:r>
    </w:p>
  </w:endnote>
  <w:endnote w:type="continuationSeparator" w:id="0">
    <w:p w:rsidR="00587CE9" w:rsidRDefault="00587CE9">
      <w:pPr>
        <w:rPr>
          <w:rFonts w:hint="eastAsia"/>
          <w:szCs w:val="21"/>
        </w:rPr>
      </w:pPr>
      <w:r>
        <w:rPr>
          <w:rFonts w:ascii="Times New Roman" w:hAnsi="Times New Roman" w:cs="Times New Roman"/>
          <w:szCs w:val="21"/>
        </w:rPr>
        <w:continuationSeparator/>
      </w:r>
      <w:r>
        <w:rPr>
          <w:rFonts w:ascii="Times New Roman" w:hAnsi="Times New Roman" w:cs="Times New Roman" w:hint="eastAsia"/>
          <w:szCs w:val="21"/>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icrosoft YaHei UI">
    <w:charset w:val="86"/>
    <w:family w:val="swiss"/>
    <w:pitch w:val="variable"/>
    <w:sig w:usb0="80000287" w:usb1="2ACF3C50" w:usb2="00000016" w:usb3="00000000" w:csb0="0004001F" w:csb1="00000000"/>
  </w:font>
  <w:font w:name="Arial Unicode MS">
    <w:panose1 w:val="020B0604020202020204"/>
    <w:charset w:val="86"/>
    <w:family w:val="swiss"/>
    <w:pitch w:val="variable"/>
    <w:sig w:usb0="F7FFAFFF" w:usb1="E9DFFFFF" w:usb2="0000003F" w:usb3="00000000" w:csb0="003F01FF" w:csb1="00000000"/>
  </w:font>
  <w:font w:name="仿宋">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2FB" w:rsidRDefault="002D32FB">
    <w:pPr>
      <w:jc w:val="center"/>
      <w:rPr>
        <w:rFonts w:hint="eastAsia"/>
      </w:rPr>
    </w:pPr>
    <w:r>
      <w:rPr>
        <w:rFonts w:hint="eastAsia"/>
        <w:sz w:val="18"/>
        <w:szCs w:val="18"/>
      </w:rPr>
      <w:t>第</w:t>
    </w:r>
    <w:r>
      <w:rPr>
        <w:rFonts w:hint="eastAsia"/>
      </w:rPr>
      <w:t xml:space="preserve"> </w:t>
    </w:r>
    <w:r>
      <w:rPr>
        <w:rFonts w:hint="eastAsia"/>
        <w:sz w:val="18"/>
        <w:szCs w:val="18"/>
      </w:rPr>
      <w:fldChar w:fldCharType="begin"/>
    </w:r>
    <w:r>
      <w:rPr>
        <w:rFonts w:hint="eastAsia"/>
        <w:sz w:val="18"/>
        <w:szCs w:val="18"/>
      </w:rPr>
      <w:instrText xml:space="preserve"> PAGE </w:instrText>
    </w:r>
    <w:r>
      <w:rPr>
        <w:sz w:val="18"/>
        <w:szCs w:val="18"/>
      </w:rPr>
      <w:fldChar w:fldCharType="separate"/>
    </w:r>
    <w:r>
      <w:rPr>
        <w:rFonts w:hint="eastAsia"/>
        <w:noProof/>
        <w:sz w:val="18"/>
        <w:szCs w:val="18"/>
      </w:rPr>
      <w:t>2</w:t>
    </w:r>
    <w:r>
      <w:rPr>
        <w:rFonts w:hint="eastAsia"/>
      </w:rPr>
      <w:t xml:space="preserve"> </w:t>
    </w:r>
    <w:r>
      <w:rPr>
        <w:rFonts w:hint="eastAsia"/>
        <w:sz w:val="18"/>
        <w:szCs w:val="18"/>
      </w:rPr>
      <w:fldChar w:fldCharType="end"/>
    </w:r>
    <w:r>
      <w:rPr>
        <w:rFonts w:hint="eastAsia"/>
        <w:sz w:val="18"/>
        <w:szCs w:val="18"/>
        <w:lang w:val="zh-CN"/>
      </w:rPr>
      <w:t>页 共</w:t>
    </w:r>
    <w:r>
      <w:rPr>
        <w:rFonts w:hint="eastAsia"/>
      </w:rPr>
      <w:t xml:space="preserve"> </w:t>
    </w:r>
    <w:r>
      <w:rPr>
        <w:rFonts w:hint="eastAsia"/>
        <w:sz w:val="18"/>
        <w:szCs w:val="18"/>
      </w:rPr>
      <w:fldChar w:fldCharType="begin"/>
    </w:r>
    <w:r>
      <w:rPr>
        <w:rFonts w:hint="eastAsia"/>
        <w:sz w:val="18"/>
        <w:szCs w:val="18"/>
      </w:rPr>
      <w:instrText xml:space="preserve"> NUMPAGES  </w:instrText>
    </w:r>
    <w:r>
      <w:rPr>
        <w:sz w:val="18"/>
        <w:szCs w:val="18"/>
      </w:rPr>
      <w:fldChar w:fldCharType="separate"/>
    </w:r>
    <w:r>
      <w:rPr>
        <w:rFonts w:hint="eastAsia"/>
        <w:noProof/>
        <w:sz w:val="18"/>
        <w:szCs w:val="18"/>
      </w:rPr>
      <w:t>2</w:t>
    </w:r>
    <w:r>
      <w:rPr>
        <w:rFonts w:hint="eastAsia"/>
      </w:rPr>
      <w:t xml:space="preserve"> </w:t>
    </w:r>
    <w:r>
      <w:rPr>
        <w:rFonts w:hint="eastAsia"/>
        <w:sz w:val="18"/>
        <w:szCs w:val="18"/>
      </w:rPr>
      <w:fldChar w:fldCharType="end"/>
    </w:r>
    <w:r>
      <w:rPr>
        <w:rFonts w:hint="eastAsia"/>
        <w:sz w:val="18"/>
        <w:szCs w:val="18"/>
      </w:rPr>
      <w:t>页</w:t>
    </w:r>
    <w:r>
      <w:rPr>
        <w:rFonts w:hint="eastAsia"/>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CE9" w:rsidRDefault="00587CE9">
      <w:pPr>
        <w:rPr>
          <w:szCs w:val="21"/>
        </w:rPr>
      </w:pPr>
      <w:r>
        <w:rPr>
          <w:rFonts w:ascii="Times New Roman" w:hAnsi="Times New Roman" w:cs="Times New Roman"/>
          <w:szCs w:val="21"/>
        </w:rPr>
        <w:separator/>
      </w:r>
      <w:r>
        <w:rPr>
          <w:rFonts w:ascii="Times New Roman" w:hAnsi="Times New Roman" w:cs="Times New Roman" w:hint="eastAsia"/>
          <w:szCs w:val="21"/>
        </w:rPr>
        <w:t xml:space="preserve"> </w:t>
      </w:r>
    </w:p>
  </w:footnote>
  <w:footnote w:type="continuationSeparator" w:id="0">
    <w:p w:rsidR="00587CE9" w:rsidRDefault="00587CE9">
      <w:pPr>
        <w:rPr>
          <w:rFonts w:hint="eastAsia"/>
          <w:szCs w:val="21"/>
        </w:rPr>
      </w:pPr>
      <w:r>
        <w:rPr>
          <w:rFonts w:ascii="Times New Roman" w:hAnsi="Times New Roman" w:cs="Times New Roman"/>
          <w:szCs w:val="21"/>
        </w:rPr>
        <w:continuationSeparator/>
      </w:r>
      <w:r>
        <w:rPr>
          <w:rFonts w:ascii="Times New Roman" w:hAnsi="Times New Roman" w:cs="Times New Roman" w:hint="eastAsia"/>
          <w:szCs w:val="21"/>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2FB" w:rsidRDefault="002D32FB">
    <w:pPr>
      <w:pStyle w:val="a8"/>
      <w:jc w:val="right"/>
      <w:rPr>
        <w:rFonts w:hint="eastAsia"/>
      </w:rPr>
    </w:pPr>
    <w:r>
      <w:rPr>
        <w:rFonts w:hint="eastAsia"/>
      </w:rPr>
      <w:t>华泰柏瑞中证同业存单AAA指数7天持有期证券投资基金暂停代销机构申购和转换转入业务的公告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7D73EE"/>
    <w:multiLevelType w:val="multilevel"/>
    <w:tmpl w:val="804A17E2"/>
    <w:lvl w:ilvl="0">
      <w:start w:val="1"/>
      <w:numFmt w:val="decimal"/>
      <w:pStyle w:val="XBRLTitle1"/>
      <w:lvlText w:val="%1."/>
      <w:lvlJc w:val="left"/>
      <w:pPr>
        <w:ind w:left="425" w:hanging="425"/>
      </w:pPr>
      <w:rPr>
        <w:sz w:val="24"/>
        <w:szCs w:val="24"/>
      </w:rPr>
    </w:lvl>
    <w:lvl w:ilvl="1">
      <w:start w:val="1"/>
      <w:numFmt w:val="decimal"/>
      <w:pStyle w:val="XBRLTitle2"/>
      <w:suff w:val="space"/>
      <w:lvlText w:val="%1.%2"/>
      <w:lvlJc w:val="left"/>
      <w:pPr>
        <w:ind w:left="3148" w:hanging="454"/>
      </w:pPr>
    </w:lvl>
    <w:lvl w:ilvl="2">
      <w:start w:val="1"/>
      <w:numFmt w:val="decimal"/>
      <w:pStyle w:val="XBRLTitle3"/>
      <w:suff w:val="space"/>
      <w:lvlText w:val="%1.%2.%3"/>
      <w:lvlJc w:val="left"/>
      <w:pPr>
        <w:ind w:left="1050" w:hanging="624"/>
      </w:pPr>
      <w:rPr>
        <w:sz w:val="24"/>
        <w:szCs w:val="24"/>
      </w:rPr>
    </w:lvl>
    <w:lvl w:ilvl="3">
      <w:start w:val="1"/>
      <w:numFmt w:val="decimal"/>
      <w:suff w:val="space"/>
      <w:lvlText w:val="%1.%2.%3.%4"/>
      <w:lvlJc w:val="left"/>
      <w:pPr>
        <w:ind w:left="794" w:hanging="794"/>
      </w:pPr>
    </w:lvl>
    <w:lvl w:ilvl="4">
      <w:start w:val="1"/>
      <w:numFmt w:val="decimal"/>
      <w:suff w:val="space"/>
      <w:lvlText w:val="%1.%2.%3.%4.%5"/>
      <w:lvlJc w:val="left"/>
      <w:pPr>
        <w:ind w:left="1021" w:hanging="1021"/>
      </w:pPr>
    </w:lvl>
    <w:lvl w:ilvl="5">
      <w:start w:val="1"/>
      <w:numFmt w:val="decimal"/>
      <w:suff w:val="space"/>
      <w:lvlText w:val="%1.%2.%3.%4.%5.%6"/>
      <w:lvlJc w:val="left"/>
      <w:pPr>
        <w:ind w:left="1021" w:hanging="1021"/>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attachedTemplate r:id="rId1"/>
  <w:doNotTrackMoves/>
  <w:defaultTabStop w:val="420"/>
  <w:drawingGridHorizontalSpacing w:val="105"/>
  <w:drawingGridVerticalSpacing w:val="156"/>
  <w:displayHorizontalDrawingGridEvery w:val="0"/>
  <w:displayVerticalDrawingGridEvery w:val="2"/>
  <w:characterSpacingControl w:val="compressPunctuation"/>
  <w:savePreviewPicture/>
  <w:doNotValidateAgainstSchema/>
  <w:doNotDemarcateInvalidXml/>
  <w:hdrShapeDefaults>
    <o:shapedefaults v:ext="edit" spidmax="3074"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2B48"/>
    <w:rsid w:val="0010632E"/>
    <w:rsid w:val="00215EDA"/>
    <w:rsid w:val="002247F7"/>
    <w:rsid w:val="002312F9"/>
    <w:rsid w:val="0027166D"/>
    <w:rsid w:val="002765B4"/>
    <w:rsid w:val="002D32FB"/>
    <w:rsid w:val="003D42C9"/>
    <w:rsid w:val="004138C9"/>
    <w:rsid w:val="00482B48"/>
    <w:rsid w:val="004C7D5B"/>
    <w:rsid w:val="0053127B"/>
    <w:rsid w:val="00532F0E"/>
    <w:rsid w:val="005716CE"/>
    <w:rsid w:val="00587CE9"/>
    <w:rsid w:val="005A2C48"/>
    <w:rsid w:val="005C4464"/>
    <w:rsid w:val="008149AE"/>
    <w:rsid w:val="00913C07"/>
    <w:rsid w:val="00936C32"/>
    <w:rsid w:val="009F3EBF"/>
    <w:rsid w:val="009F4D07"/>
    <w:rsid w:val="00AC560B"/>
    <w:rsid w:val="00B30193"/>
    <w:rsid w:val="00B86135"/>
    <w:rsid w:val="00BA1A4D"/>
    <w:rsid w:val="00E465CF"/>
    <w:rsid w:val="00F0359D"/>
    <w:rsid w:val="00F312B3"/>
    <w:rsid w:val="00FD1EA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宋体" w:eastAsia="宋体" w:hAnsi="宋体"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header" w:semiHidden="0" w:unhideWhenUsed="0"/>
    <w:lsdException w:name="footer" w:semiHidden="0" w:unhideWhenUsed="0"/>
    <w:lsdException w:name="caption" w:uiPriority="35" w:qFormat="1"/>
    <w:lsdException w:name="footnote reference" w:semiHidden="0" w:uiPriority="0" w:unhideWhenUsed="0"/>
    <w:lsdException w:name="page number" w:semiHidden="0" w:unhideWhenUsed="0"/>
    <w:lsdException w:name="Title" w:semiHidden="0" w:uiPriority="10" w:unhideWhenUsed="0" w:qFormat="1"/>
    <w:lsdException w:name="Default Paragraph Font" w:semiHidden="0" w:uiPriority="1" w:unhideWhenUsed="0"/>
    <w:lsdException w:name="Subtitle" w:semiHidden="0" w:uiPriority="0" w:unhideWhenUsed="0" w:qFormat="1"/>
    <w:lsdException w:name="Date" w:semiHidden="0" w:uiPriority="0" w:unhideWhenUsed="0"/>
    <w:lsdException w:name="Strong" w:semiHidden="0" w:uiPriority="22" w:unhideWhenUsed="0" w:qFormat="1"/>
    <w:lsdException w:name="Emphasis" w:semiHidden="0" w:uiPriority="20" w:unhideWhenUsed="0" w:qFormat="1"/>
    <w:lsdException w:name="Document Map" w:semiHidden="0" w:uiPriority="0" w:unhideWhenUsed="0"/>
    <w:lsdException w:name="Normal (Web)" w:semiHidden="0" w:uiPriority="0" w:unhideWhenUsed="0"/>
    <w:lsdException w:name="Table Grid" w:uiPriority="59"/>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cs="宋体"/>
      <w:kern w:val="2"/>
      <w:sz w:val="21"/>
    </w:rPr>
  </w:style>
  <w:style w:type="paragraph" w:styleId="1">
    <w:name w:val="heading 1"/>
    <w:basedOn w:val="a"/>
    <w:next w:val="a"/>
    <w:link w:val="11"/>
    <w:uiPriority w:val="9"/>
    <w:qFormat/>
    <w:pPr>
      <w:keepNext/>
      <w:keepLines/>
      <w:spacing w:before="340" w:after="330" w:line="576" w:lineRule="auto"/>
      <w:outlineLvl w:val="0"/>
    </w:pPr>
    <w:rPr>
      <w:b/>
      <w:bCs/>
      <w:kern w:val="44"/>
      <w:sz w:val="44"/>
      <w:szCs w:val="44"/>
      <w:lang/>
    </w:rPr>
  </w:style>
  <w:style w:type="paragraph" w:styleId="2">
    <w:name w:val="heading 2"/>
    <w:basedOn w:val="a"/>
    <w:next w:val="a"/>
    <w:link w:val="21"/>
    <w:uiPriority w:val="9"/>
    <w:qFormat/>
    <w:pPr>
      <w:keepNext/>
      <w:keepLines/>
      <w:spacing w:before="260" w:after="260" w:line="408" w:lineRule="auto"/>
      <w:outlineLvl w:val="1"/>
    </w:pPr>
    <w:rPr>
      <w:rFonts w:ascii="Cambria" w:hAnsi="Cambria"/>
      <w:b/>
      <w:bCs/>
      <w:kern w:val="0"/>
      <w:sz w:val="32"/>
      <w:szCs w:val="32"/>
      <w:lang/>
    </w:rPr>
  </w:style>
  <w:style w:type="paragraph" w:styleId="3">
    <w:name w:val="heading 3"/>
    <w:basedOn w:val="a"/>
    <w:next w:val="a"/>
    <w:link w:val="31"/>
    <w:uiPriority w:val="9"/>
    <w:qFormat/>
    <w:pPr>
      <w:keepNext/>
      <w:keepLines/>
      <w:spacing w:before="260" w:after="260" w:line="408" w:lineRule="auto"/>
      <w:outlineLvl w:val="2"/>
    </w:pPr>
    <w:rPr>
      <w:b/>
      <w:bCs/>
      <w:kern w:val="0"/>
      <w:sz w:val="32"/>
      <w:szCs w:val="32"/>
      <w:lang/>
    </w:rPr>
  </w:style>
  <w:style w:type="paragraph" w:styleId="4">
    <w:name w:val="heading 4"/>
    <w:basedOn w:val="a"/>
    <w:next w:val="a"/>
    <w:link w:val="41"/>
    <w:qFormat/>
    <w:pPr>
      <w:keepNext/>
      <w:keepLines/>
      <w:spacing w:before="240" w:after="290" w:line="372" w:lineRule="auto"/>
      <w:outlineLvl w:val="3"/>
    </w:pPr>
    <w:rPr>
      <w:rFonts w:ascii="Cambria" w:hAnsi="Cambria"/>
      <w:b/>
      <w:bCs/>
      <w:kern w:val="0"/>
      <w:sz w:val="24"/>
      <w:szCs w:val="24"/>
      <w:lang/>
    </w:rPr>
  </w:style>
  <w:style w:type="paragraph" w:styleId="5">
    <w:name w:val="heading 5"/>
    <w:basedOn w:val="a"/>
    <w:next w:val="a"/>
    <w:link w:val="51"/>
    <w:uiPriority w:val="9"/>
    <w:semiHidden/>
    <w:unhideWhenUsed/>
    <w:qFormat/>
    <w:pPr>
      <w:keepNext/>
      <w:keepLines/>
      <w:spacing w:before="240" w:after="290" w:line="372" w:lineRule="auto"/>
      <w:outlineLvl w:val="4"/>
    </w:pPr>
    <w:rPr>
      <w:b/>
      <w:bCs/>
      <w:sz w:val="24"/>
      <w:szCs w:val="24"/>
    </w:rPr>
  </w:style>
  <w:style w:type="paragraph" w:styleId="6">
    <w:name w:val="heading 6"/>
    <w:basedOn w:val="a"/>
    <w:next w:val="a"/>
    <w:link w:val="61"/>
    <w:uiPriority w:val="9"/>
    <w:semiHidden/>
    <w:unhideWhenUsed/>
    <w:qFormat/>
    <w:pPr>
      <w:keepNext/>
      <w:keepLines/>
      <w:spacing w:before="240" w:after="64" w:line="312" w:lineRule="auto"/>
      <w:outlineLvl w:val="5"/>
    </w:pPr>
    <w:rPr>
      <w:rFonts w:ascii="Cambria" w:hAnsi="Cambria"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color w:val="0000FF"/>
      <w:u w:val="single"/>
    </w:rPr>
  </w:style>
  <w:style w:type="character" w:styleId="a4">
    <w:name w:val="访问过的超链接"/>
    <w:uiPriority w:val="99"/>
    <w:semiHidden/>
    <w:unhideWhenUsed/>
    <w:rPr>
      <w:color w:val="800080"/>
      <w:u w:val="single"/>
    </w:rPr>
  </w:style>
  <w:style w:type="character" w:customStyle="1" w:styleId="10">
    <w:name w:val="标题 1 字符"/>
    <w:link w:val="1"/>
    <w:uiPriority w:val="9"/>
    <w:locked/>
    <w:rPr>
      <w:b/>
      <w:bCs/>
      <w:kern w:val="44"/>
      <w:sz w:val="44"/>
      <w:szCs w:val="44"/>
    </w:rPr>
  </w:style>
  <w:style w:type="character" w:customStyle="1" w:styleId="20">
    <w:name w:val="标题 2 字符"/>
    <w:link w:val="2"/>
    <w:uiPriority w:val="9"/>
    <w:locked/>
    <w:rPr>
      <w:rFonts w:ascii="Cambria" w:eastAsia="宋体" w:hAnsi="Cambria" w:cs="Times New Roman" w:hint="default"/>
      <w:b/>
      <w:bCs/>
      <w:kern w:val="2"/>
      <w:sz w:val="32"/>
      <w:szCs w:val="32"/>
    </w:rPr>
  </w:style>
  <w:style w:type="character" w:customStyle="1" w:styleId="30">
    <w:name w:val="标题 3 字符"/>
    <w:link w:val="3"/>
    <w:uiPriority w:val="9"/>
    <w:locked/>
    <w:rPr>
      <w:b/>
      <w:bCs/>
      <w:kern w:val="2"/>
      <w:sz w:val="32"/>
      <w:szCs w:val="32"/>
    </w:rPr>
  </w:style>
  <w:style w:type="character" w:customStyle="1" w:styleId="40">
    <w:name w:val="标题 4 字符"/>
    <w:link w:val="4"/>
    <w:locked/>
    <w:rPr>
      <w:rFonts w:ascii="Cambria" w:eastAsia="宋体" w:hAnsi="Cambria" w:cs="Times New Roman" w:hint="default"/>
      <w:b/>
      <w:bCs/>
      <w:kern w:val="2"/>
      <w:sz w:val="24"/>
      <w:szCs w:val="24"/>
    </w:rPr>
  </w:style>
  <w:style w:type="character" w:customStyle="1" w:styleId="50">
    <w:name w:val="标题 5 字符"/>
    <w:link w:val="5"/>
    <w:uiPriority w:val="9"/>
    <w:semiHidden/>
    <w:rPr>
      <w:rFonts w:cs="宋体"/>
      <w:b/>
      <w:bCs/>
      <w:kern w:val="2"/>
      <w:sz w:val="28"/>
      <w:szCs w:val="28"/>
    </w:rPr>
  </w:style>
  <w:style w:type="character" w:customStyle="1" w:styleId="60">
    <w:name w:val="标题 6 字符"/>
    <w:link w:val="6"/>
    <w:uiPriority w:val="9"/>
    <w:semiHidden/>
    <w:rPr>
      <w:rFonts w:ascii="Cambria" w:eastAsia="宋体" w:hAnsi="Cambria" w:cs="Times New Roman"/>
      <w:b/>
      <w:bCs/>
      <w:kern w:val="2"/>
      <w:sz w:val="24"/>
      <w:szCs w:val="24"/>
    </w:rPr>
  </w:style>
  <w:style w:type="paragraph" w:customStyle="1" w:styleId="msonormal0">
    <w:name w:val="msonormal"/>
    <w:basedOn w:val="a"/>
    <w:pPr>
      <w:widowControl/>
      <w:spacing w:before="100" w:beforeAutospacing="1" w:after="100" w:afterAutospacing="1"/>
      <w:jc w:val="left"/>
    </w:pPr>
    <w:rPr>
      <w:kern w:val="0"/>
      <w:sz w:val="24"/>
    </w:rPr>
  </w:style>
  <w:style w:type="paragraph" w:styleId="a5">
    <w:name w:val="Normal (Web)"/>
    <w:basedOn w:val="a"/>
    <w:pPr>
      <w:widowControl/>
      <w:spacing w:before="100" w:beforeAutospacing="1" w:after="100" w:afterAutospacing="1"/>
      <w:jc w:val="left"/>
    </w:pPr>
    <w:rPr>
      <w:kern w:val="0"/>
      <w:sz w:val="24"/>
    </w:rPr>
  </w:style>
  <w:style w:type="paragraph" w:styleId="TOC1">
    <w:name w:val="TOC 1"/>
    <w:basedOn w:val="a"/>
    <w:next w:val="a"/>
    <w:autoRedefine/>
    <w:uiPriority w:val="39"/>
    <w:semiHidden/>
    <w:unhideWhenUsed/>
    <w:pPr>
      <w:tabs>
        <w:tab w:val="right" w:leader="dot" w:pos="8835"/>
      </w:tabs>
    </w:pPr>
    <w:rPr>
      <w:noProof/>
    </w:rPr>
  </w:style>
  <w:style w:type="paragraph" w:styleId="TOC2">
    <w:name w:val="TOC 2"/>
    <w:basedOn w:val="a"/>
    <w:next w:val="a"/>
    <w:autoRedefine/>
    <w:uiPriority w:val="39"/>
    <w:semiHidden/>
    <w:unhideWhenUsed/>
    <w:pPr>
      <w:ind w:leftChars="200" w:left="420"/>
    </w:pPr>
  </w:style>
  <w:style w:type="paragraph" w:styleId="TOC3">
    <w:name w:val="TOC 3"/>
    <w:basedOn w:val="a"/>
    <w:next w:val="a"/>
    <w:autoRedefine/>
    <w:uiPriority w:val="39"/>
    <w:semiHidden/>
    <w:unhideWhenUsed/>
  </w:style>
  <w:style w:type="paragraph" w:styleId="a6">
    <w:name w:val="footnote text"/>
    <w:basedOn w:val="a"/>
    <w:link w:val="12"/>
    <w:pPr>
      <w:snapToGrid w:val="0"/>
      <w:jc w:val="left"/>
    </w:pPr>
    <w:rPr>
      <w:sz w:val="18"/>
      <w:szCs w:val="18"/>
    </w:rPr>
  </w:style>
  <w:style w:type="character" w:customStyle="1" w:styleId="a7">
    <w:name w:val="脚注文本 字符"/>
    <w:link w:val="a6"/>
    <w:locked/>
    <w:rPr>
      <w:kern w:val="2"/>
      <w:sz w:val="18"/>
      <w:szCs w:val="18"/>
    </w:rPr>
  </w:style>
  <w:style w:type="paragraph" w:styleId="a8">
    <w:name w:val="header"/>
    <w:basedOn w:val="a"/>
    <w:link w:val="22"/>
    <w:uiPriority w:val="99"/>
    <w:pPr>
      <w:pBdr>
        <w:bottom w:val="single" w:sz="6" w:space="1" w:color="auto"/>
      </w:pBdr>
      <w:tabs>
        <w:tab w:val="center" w:pos="4153"/>
        <w:tab w:val="right" w:pos="8306"/>
      </w:tabs>
      <w:snapToGrid w:val="0"/>
      <w:jc w:val="center"/>
    </w:pPr>
    <w:rPr>
      <w:sz w:val="18"/>
      <w:szCs w:val="18"/>
    </w:rPr>
  </w:style>
  <w:style w:type="character" w:customStyle="1" w:styleId="a9">
    <w:name w:val="页眉 字符"/>
    <w:link w:val="a8"/>
    <w:uiPriority w:val="99"/>
    <w:locked/>
    <w:rPr>
      <w:kern w:val="2"/>
      <w:sz w:val="18"/>
      <w:szCs w:val="18"/>
    </w:rPr>
  </w:style>
  <w:style w:type="paragraph" w:styleId="aa">
    <w:name w:val="footer"/>
    <w:basedOn w:val="a"/>
    <w:link w:val="13"/>
    <w:uiPriority w:val="99"/>
    <w:pPr>
      <w:tabs>
        <w:tab w:val="center" w:pos="4153"/>
        <w:tab w:val="right" w:pos="8306"/>
      </w:tabs>
      <w:snapToGrid w:val="0"/>
      <w:jc w:val="left"/>
    </w:pPr>
    <w:rPr>
      <w:sz w:val="18"/>
      <w:szCs w:val="18"/>
    </w:rPr>
  </w:style>
  <w:style w:type="character" w:customStyle="1" w:styleId="ab">
    <w:name w:val="页脚 字符"/>
    <w:link w:val="aa"/>
    <w:uiPriority w:val="99"/>
    <w:locked/>
    <w:rPr>
      <w:kern w:val="2"/>
      <w:sz w:val="18"/>
      <w:szCs w:val="18"/>
    </w:rPr>
  </w:style>
  <w:style w:type="paragraph" w:styleId="ac">
    <w:name w:val="Title"/>
    <w:basedOn w:val="1"/>
    <w:next w:val="2"/>
    <w:link w:val="14"/>
    <w:uiPriority w:val="10"/>
    <w:qFormat/>
    <w:pPr>
      <w:keepNext w:val="0"/>
      <w:keepLines w:val="0"/>
      <w:spacing w:before="240" w:after="60" w:line="240" w:lineRule="auto"/>
      <w:jc w:val="center"/>
    </w:pPr>
    <w:rPr>
      <w:rFonts w:ascii="Cambria" w:hAnsi="Cambria"/>
      <w:kern w:val="0"/>
      <w:sz w:val="32"/>
      <w:szCs w:val="32"/>
    </w:rPr>
  </w:style>
  <w:style w:type="character" w:customStyle="1" w:styleId="ad">
    <w:name w:val="标题 字符"/>
    <w:link w:val="ac"/>
    <w:uiPriority w:val="10"/>
    <w:locked/>
    <w:rPr>
      <w:rFonts w:ascii="Cambria" w:eastAsia="宋体" w:hAnsi="Cambria" w:cs="Times New Roman" w:hint="default"/>
      <w:b/>
      <w:bCs/>
      <w:kern w:val="2"/>
      <w:sz w:val="32"/>
      <w:szCs w:val="32"/>
    </w:rPr>
  </w:style>
  <w:style w:type="paragraph" w:styleId="ae">
    <w:name w:val="Subtitle"/>
    <w:basedOn w:val="2"/>
    <w:next w:val="3"/>
    <w:link w:val="15"/>
    <w:qFormat/>
    <w:pPr>
      <w:spacing w:before="240" w:after="60" w:line="312" w:lineRule="auto"/>
      <w:jc w:val="left"/>
    </w:pPr>
    <w:rPr>
      <w:bCs w:val="0"/>
      <w:kern w:val="24"/>
      <w:sz w:val="24"/>
    </w:rPr>
  </w:style>
  <w:style w:type="character" w:customStyle="1" w:styleId="af">
    <w:name w:val="副标题 字符"/>
    <w:link w:val="ae"/>
    <w:locked/>
    <w:rPr>
      <w:rFonts w:ascii="Calibri" w:eastAsia="宋体" w:hAnsi="Calibri" w:cs="Times New Roman" w:hint="default"/>
      <w:b/>
      <w:bCs/>
      <w:kern w:val="24"/>
      <w:sz w:val="32"/>
      <w:szCs w:val="32"/>
    </w:rPr>
  </w:style>
  <w:style w:type="paragraph" w:styleId="af0">
    <w:name w:val="Date"/>
    <w:basedOn w:val="a"/>
    <w:next w:val="a"/>
    <w:link w:val="16"/>
    <w:rPr>
      <w:sz w:val="32"/>
      <w:lang/>
    </w:rPr>
  </w:style>
  <w:style w:type="character" w:customStyle="1" w:styleId="af1">
    <w:name w:val="日期 字符"/>
    <w:link w:val="af0"/>
    <w:locked/>
    <w:rPr>
      <w:kern w:val="2"/>
      <w:sz w:val="21"/>
    </w:rPr>
  </w:style>
  <w:style w:type="paragraph" w:styleId="af2">
    <w:name w:val="Document Map"/>
    <w:basedOn w:val="a"/>
    <w:link w:val="17"/>
    <w:pPr>
      <w:shd w:val="clear" w:color="auto" w:fill="000080"/>
    </w:pPr>
  </w:style>
  <w:style w:type="character" w:customStyle="1" w:styleId="af3">
    <w:name w:val="文档结构图 字符"/>
    <w:link w:val="af2"/>
    <w:locked/>
    <w:rPr>
      <w:rFonts w:ascii="Microsoft YaHei UI" w:eastAsia="Microsoft YaHei UI" w:hAnsi="Microsoft YaHei UI" w:hint="eastAsia"/>
      <w:kern w:val="2"/>
      <w:sz w:val="18"/>
      <w:szCs w:val="18"/>
    </w:rPr>
  </w:style>
  <w:style w:type="paragraph" w:styleId="af4">
    <w:name w:val="Balloon Text"/>
    <w:basedOn w:val="a"/>
    <w:link w:val="18"/>
    <w:uiPriority w:val="99"/>
    <w:semiHidden/>
    <w:unhideWhenUsed/>
    <w:rPr>
      <w:sz w:val="18"/>
      <w:szCs w:val="18"/>
    </w:rPr>
  </w:style>
  <w:style w:type="character" w:customStyle="1" w:styleId="af5">
    <w:name w:val="批注框文本 字符"/>
    <w:link w:val="af4"/>
    <w:uiPriority w:val="99"/>
    <w:semiHidden/>
    <w:locked/>
    <w:rPr>
      <w:kern w:val="2"/>
      <w:sz w:val="18"/>
      <w:szCs w:val="18"/>
    </w:rPr>
  </w:style>
  <w:style w:type="paragraph" w:styleId="TOC">
    <w:name w:val="TOC Heading"/>
    <w:basedOn w:val="1"/>
    <w:next w:val="a"/>
    <w:uiPriority w:val="39"/>
    <w:semiHidden/>
    <w:unhideWhenUsed/>
    <w:qFormat/>
    <w:pPr>
      <w:widowControl/>
      <w:spacing w:before="480" w:after="0" w:line="276" w:lineRule="auto"/>
      <w:jc w:val="left"/>
      <w:outlineLvl w:val="9"/>
    </w:pPr>
    <w:rPr>
      <w:rFonts w:ascii="Cambria" w:hAnsi="Cambria"/>
      <w:color w:val="365F91"/>
      <w:kern w:val="0"/>
      <w:sz w:val="24"/>
      <w:szCs w:val="24"/>
      <w:lang w:val="en-US" w:eastAsia="zh-CN"/>
    </w:rPr>
  </w:style>
  <w:style w:type="paragraph" w:customStyle="1" w:styleId="XBRLTitle6">
    <w:name w:val="XBRLTitle6"/>
    <w:basedOn w:val="ae"/>
    <w:next w:val="4"/>
    <w:qFormat/>
    <w:pPr>
      <w:numPr>
        <w:ilvl w:val="5"/>
        <w:numId w:val="2"/>
      </w:numPr>
      <w:spacing w:beforeLines="50" w:after="0" w:line="240" w:lineRule="auto"/>
      <w:ind w:left="2042"/>
      <w:outlineLvl w:val="9"/>
    </w:pPr>
    <w:rPr>
      <w:bCs/>
    </w:rPr>
  </w:style>
  <w:style w:type="paragraph" w:customStyle="1" w:styleId="af6">
    <w:name w:val="次标题"/>
    <w:basedOn w:val="3"/>
    <w:next w:val="a"/>
    <w:pPr>
      <w:spacing w:before="120" w:after="120"/>
      <w:jc w:val="left"/>
    </w:pPr>
    <w:rPr>
      <w:sz w:val="21"/>
    </w:rPr>
  </w:style>
  <w:style w:type="paragraph" w:customStyle="1" w:styleId="XBRL6">
    <w:name w:val="XBRL标题6"/>
    <w:basedOn w:val="ae"/>
    <w:next w:val="4"/>
    <w:qFormat/>
    <w:pPr>
      <w:spacing w:beforeLines="50" w:after="0" w:line="240" w:lineRule="auto"/>
      <w:outlineLvl w:val="9"/>
    </w:pPr>
    <w:rPr>
      <w:bCs/>
    </w:rPr>
  </w:style>
  <w:style w:type="paragraph" w:customStyle="1" w:styleId="XBRL2">
    <w:name w:val="XBRL标题2"/>
    <w:basedOn w:val="ae"/>
    <w:next w:val="4"/>
    <w:qFormat/>
    <w:pPr>
      <w:spacing w:beforeLines="50" w:after="0" w:line="240" w:lineRule="auto"/>
    </w:pPr>
    <w:rPr>
      <w:bCs/>
    </w:rPr>
  </w:style>
  <w:style w:type="paragraph" w:customStyle="1" w:styleId="XBRL3">
    <w:name w:val="XBRL标题3"/>
    <w:basedOn w:val="ae"/>
    <w:next w:val="4"/>
    <w:qFormat/>
    <w:pPr>
      <w:spacing w:beforeLines="50" w:after="0" w:line="240" w:lineRule="auto"/>
      <w:outlineLvl w:val="9"/>
    </w:pPr>
    <w:rPr>
      <w:bCs/>
    </w:rPr>
  </w:style>
  <w:style w:type="paragraph" w:customStyle="1" w:styleId="XBRLTitle1">
    <w:name w:val="XBRLTitle1"/>
    <w:basedOn w:val="1"/>
    <w:next w:val="2"/>
    <w:qFormat/>
    <w:pPr>
      <w:keepNext w:val="0"/>
      <w:keepLines w:val="0"/>
      <w:numPr>
        <w:numId w:val="2"/>
      </w:numPr>
      <w:spacing w:beforeLines="50" w:after="0" w:line="240" w:lineRule="auto"/>
      <w:ind w:left="850"/>
      <w:jc w:val="center"/>
    </w:pPr>
    <w:rPr>
      <w:rFonts w:hAnsi="Cambria"/>
      <w:sz w:val="24"/>
    </w:rPr>
  </w:style>
  <w:style w:type="paragraph" w:customStyle="1" w:styleId="XBRLTitle2">
    <w:name w:val="XBRLTitle2"/>
    <w:basedOn w:val="ae"/>
    <w:next w:val="4"/>
    <w:qFormat/>
    <w:pPr>
      <w:keepNext w:val="0"/>
      <w:keepLines w:val="0"/>
      <w:numPr>
        <w:ilvl w:val="1"/>
        <w:numId w:val="2"/>
      </w:numPr>
      <w:spacing w:beforeLines="50" w:after="0" w:line="240" w:lineRule="auto"/>
      <w:ind w:left="3602"/>
    </w:pPr>
    <w:rPr>
      <w:rFonts w:ascii="宋体"/>
      <w:bCs/>
    </w:rPr>
  </w:style>
  <w:style w:type="paragraph" w:customStyle="1" w:styleId="XBRLTitle5">
    <w:name w:val="XBRLTitle5"/>
    <w:basedOn w:val="ae"/>
    <w:next w:val="4"/>
    <w:qFormat/>
    <w:pPr>
      <w:numPr>
        <w:ilvl w:val="4"/>
        <w:numId w:val="2"/>
      </w:numPr>
      <w:spacing w:beforeLines="50" w:after="0" w:line="240" w:lineRule="auto"/>
      <w:ind w:left="2042"/>
      <w:outlineLvl w:val="9"/>
    </w:pPr>
    <w:rPr>
      <w:bCs/>
    </w:rPr>
  </w:style>
  <w:style w:type="paragraph" w:customStyle="1" w:styleId="Char">
    <w:name w:val="Char"/>
    <w:basedOn w:val="a"/>
  </w:style>
  <w:style w:type="paragraph" w:customStyle="1" w:styleId="CharCharCharCharCharChar1CharCharChar">
    <w:name w:val="Char Char Char Char Char Char1 Char Char Char"/>
    <w:basedOn w:val="a"/>
    <w:pPr>
      <w:autoSpaceDE w:val="0"/>
      <w:autoSpaceDN w:val="0"/>
      <w:adjustRightInd w:val="0"/>
      <w:jc w:val="left"/>
    </w:pPr>
  </w:style>
  <w:style w:type="paragraph" w:customStyle="1" w:styleId="XBRL1">
    <w:name w:val="XBRL标题1"/>
    <w:basedOn w:val="1"/>
    <w:next w:val="2"/>
    <w:qFormat/>
    <w:pPr>
      <w:spacing w:beforeLines="50" w:after="0" w:line="240" w:lineRule="auto"/>
      <w:jc w:val="center"/>
    </w:pPr>
    <w:rPr>
      <w:rFonts w:ascii="Cambria" w:hAnsi="Cambria"/>
      <w:sz w:val="24"/>
    </w:rPr>
  </w:style>
  <w:style w:type="paragraph" w:customStyle="1" w:styleId="XBRL5">
    <w:name w:val="XBRL标题5"/>
    <w:basedOn w:val="ae"/>
    <w:next w:val="4"/>
    <w:qFormat/>
    <w:pPr>
      <w:spacing w:beforeLines="50" w:after="0" w:line="240" w:lineRule="auto"/>
      <w:outlineLvl w:val="9"/>
    </w:pPr>
    <w:rPr>
      <w:bCs/>
    </w:rPr>
  </w:style>
  <w:style w:type="paragraph" w:customStyle="1" w:styleId="XBRL4">
    <w:name w:val="XBRL标题4"/>
    <w:basedOn w:val="ae"/>
    <w:next w:val="4"/>
    <w:qFormat/>
    <w:pPr>
      <w:spacing w:beforeLines="50" w:after="0" w:line="240" w:lineRule="auto"/>
      <w:outlineLvl w:val="9"/>
    </w:pPr>
    <w:rPr>
      <w:bCs/>
    </w:rPr>
  </w:style>
  <w:style w:type="paragraph" w:customStyle="1" w:styleId="XBRLTitle4">
    <w:name w:val="XBRLTitle4"/>
    <w:basedOn w:val="ae"/>
    <w:next w:val="4"/>
    <w:qFormat/>
    <w:pPr>
      <w:numPr>
        <w:ilvl w:val="3"/>
        <w:numId w:val="2"/>
      </w:numPr>
      <w:spacing w:beforeLines="50" w:after="0" w:line="240" w:lineRule="auto"/>
      <w:ind w:left="1588"/>
      <w:outlineLvl w:val="9"/>
    </w:pPr>
    <w:rPr>
      <w:bCs/>
    </w:rPr>
  </w:style>
  <w:style w:type="paragraph" w:customStyle="1" w:styleId="xl33">
    <w:name w:val="xl33"/>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kern w:val="0"/>
      <w:sz w:val="24"/>
    </w:rPr>
  </w:style>
  <w:style w:type="paragraph" w:customStyle="1" w:styleId="XBRLTitle3">
    <w:name w:val="XBRLTitle3"/>
    <w:basedOn w:val="ae"/>
    <w:next w:val="4"/>
    <w:autoRedefine/>
    <w:qFormat/>
    <w:pPr>
      <w:keepNext w:val="0"/>
      <w:keepLines w:val="0"/>
      <w:numPr>
        <w:ilvl w:val="2"/>
        <w:numId w:val="2"/>
      </w:numPr>
      <w:spacing w:beforeLines="50" w:after="0" w:line="360" w:lineRule="auto"/>
      <w:ind w:firstLine="0"/>
      <w:outlineLvl w:val="9"/>
    </w:pPr>
    <w:rPr>
      <w:rFonts w:ascii="宋体"/>
      <w:bCs/>
    </w:rPr>
  </w:style>
  <w:style w:type="paragraph" w:customStyle="1" w:styleId="Default">
    <w:name w:val="Default"/>
    <w:basedOn w:val="a"/>
    <w:pPr>
      <w:autoSpaceDE w:val="0"/>
      <w:autoSpaceDN w:val="0"/>
      <w:adjustRightInd w:val="0"/>
      <w:jc w:val="left"/>
    </w:pPr>
    <w:rPr>
      <w:rFonts w:ascii="仿宋" w:eastAsia="仿宋" w:hAnsi="仿宋"/>
      <w:color w:val="000000"/>
      <w:kern w:val="0"/>
      <w:sz w:val="24"/>
      <w:szCs w:val="24"/>
    </w:rPr>
  </w:style>
  <w:style w:type="character" w:styleId="af7">
    <w:name w:val="footnote reference"/>
    <w:rPr>
      <w:vertAlign w:val="superscript"/>
    </w:rPr>
  </w:style>
  <w:style w:type="character" w:customStyle="1" w:styleId="1Char">
    <w:name w:val="标题 1 Char"/>
    <w:link w:val="1"/>
    <w:uiPriority w:val="9"/>
    <w:locked/>
    <w:rPr>
      <w:b/>
      <w:bCs/>
      <w:kern w:val="44"/>
      <w:sz w:val="44"/>
      <w:szCs w:val="44"/>
    </w:rPr>
  </w:style>
  <w:style w:type="character" w:customStyle="1" w:styleId="2Char">
    <w:name w:val="标题 2 Char"/>
    <w:link w:val="2"/>
    <w:uiPriority w:val="9"/>
    <w:locked/>
    <w:rPr>
      <w:rFonts w:ascii="Cambria" w:eastAsia="宋体" w:hAnsi="Cambria" w:cs="Times New Roman" w:hint="default"/>
      <w:b/>
      <w:bCs/>
      <w:kern w:val="2"/>
      <w:sz w:val="32"/>
      <w:szCs w:val="32"/>
    </w:rPr>
  </w:style>
  <w:style w:type="character" w:customStyle="1" w:styleId="3Char">
    <w:name w:val="标题 3 Char"/>
    <w:link w:val="3"/>
    <w:uiPriority w:val="9"/>
    <w:locked/>
    <w:rPr>
      <w:b/>
      <w:bCs/>
      <w:kern w:val="2"/>
      <w:sz w:val="32"/>
      <w:szCs w:val="32"/>
    </w:rPr>
  </w:style>
  <w:style w:type="character" w:customStyle="1" w:styleId="4Char">
    <w:name w:val="标题 4 Char"/>
    <w:link w:val="4"/>
    <w:locked/>
    <w:rPr>
      <w:rFonts w:ascii="Cambria" w:eastAsia="宋体" w:hAnsi="Cambria" w:cs="Times New Roman" w:hint="default"/>
      <w:b/>
      <w:bCs/>
      <w:kern w:val="2"/>
      <w:sz w:val="24"/>
      <w:szCs w:val="24"/>
    </w:rPr>
  </w:style>
  <w:style w:type="character" w:customStyle="1" w:styleId="5Char">
    <w:name w:val="标题 5 Char"/>
    <w:link w:val="5"/>
    <w:uiPriority w:val="9"/>
    <w:semiHidden/>
    <w:locked/>
    <w:rPr>
      <w:b/>
      <w:bCs/>
      <w:kern w:val="2"/>
      <w:sz w:val="24"/>
      <w:szCs w:val="24"/>
    </w:rPr>
  </w:style>
  <w:style w:type="character" w:customStyle="1" w:styleId="6Char">
    <w:name w:val="标题 6 Char"/>
    <w:link w:val="6"/>
    <w:uiPriority w:val="9"/>
    <w:semiHidden/>
    <w:locked/>
    <w:rPr>
      <w:rFonts w:ascii="Cambria" w:eastAsia="宋体" w:hAnsi="Cambria" w:cs="Times New Roman" w:hint="default"/>
      <w:b/>
      <w:bCs/>
      <w:kern w:val="2"/>
      <w:sz w:val="24"/>
      <w:szCs w:val="24"/>
    </w:rPr>
  </w:style>
  <w:style w:type="character" w:customStyle="1" w:styleId="Char0">
    <w:name w:val="脚注文本 Char"/>
    <w:link w:val="a6"/>
    <w:locked/>
    <w:rPr>
      <w:kern w:val="2"/>
      <w:sz w:val="18"/>
      <w:szCs w:val="18"/>
    </w:rPr>
  </w:style>
  <w:style w:type="character" w:customStyle="1" w:styleId="Char1">
    <w:name w:val="页眉 Char"/>
    <w:link w:val="a8"/>
    <w:uiPriority w:val="99"/>
    <w:locked/>
    <w:rPr>
      <w:kern w:val="2"/>
      <w:sz w:val="18"/>
      <w:szCs w:val="18"/>
    </w:rPr>
  </w:style>
  <w:style w:type="character" w:customStyle="1" w:styleId="Char2">
    <w:name w:val="页脚 Char"/>
    <w:link w:val="aa"/>
    <w:uiPriority w:val="99"/>
    <w:locked/>
    <w:rPr>
      <w:kern w:val="2"/>
      <w:sz w:val="18"/>
      <w:szCs w:val="18"/>
    </w:rPr>
  </w:style>
  <w:style w:type="character" w:customStyle="1" w:styleId="Char3">
    <w:name w:val="标题 Char"/>
    <w:link w:val="ac"/>
    <w:uiPriority w:val="10"/>
    <w:locked/>
    <w:rPr>
      <w:rFonts w:ascii="Cambria" w:hAnsi="Cambria" w:cs="Times New Roman" w:hint="default"/>
      <w:b/>
      <w:bCs/>
      <w:kern w:val="2"/>
      <w:sz w:val="32"/>
      <w:szCs w:val="32"/>
    </w:rPr>
  </w:style>
  <w:style w:type="character" w:customStyle="1" w:styleId="Char4">
    <w:name w:val="副标题 Char"/>
    <w:link w:val="ae"/>
    <w:locked/>
    <w:rPr>
      <w:rFonts w:ascii="Cambria" w:hAnsi="Cambria" w:cs="Times New Roman" w:hint="default"/>
      <w:b/>
      <w:bCs/>
      <w:kern w:val="24"/>
      <w:sz w:val="32"/>
      <w:szCs w:val="32"/>
    </w:rPr>
  </w:style>
  <w:style w:type="character" w:customStyle="1" w:styleId="Char5">
    <w:name w:val="日期 Char"/>
    <w:link w:val="af0"/>
    <w:locked/>
    <w:rPr>
      <w:kern w:val="2"/>
      <w:sz w:val="21"/>
    </w:rPr>
  </w:style>
  <w:style w:type="character" w:customStyle="1" w:styleId="Char6">
    <w:name w:val="文档结构图 Char"/>
    <w:link w:val="af2"/>
    <w:locked/>
    <w:rPr>
      <w:rFonts w:ascii="宋体" w:eastAsia="宋体" w:hAnsi="宋体" w:hint="eastAsia"/>
      <w:kern w:val="2"/>
      <w:sz w:val="18"/>
      <w:szCs w:val="18"/>
    </w:rPr>
  </w:style>
  <w:style w:type="character" w:customStyle="1" w:styleId="Char7">
    <w:name w:val="批注框文本 Char"/>
    <w:link w:val="af4"/>
    <w:uiPriority w:val="99"/>
    <w:semiHidden/>
    <w:locked/>
    <w:rPr>
      <w:kern w:val="2"/>
      <w:sz w:val="18"/>
      <w:szCs w:val="18"/>
    </w:rPr>
  </w:style>
  <w:style w:type="character" w:customStyle="1" w:styleId="11">
    <w:name w:val="标题 1 字符1"/>
    <w:link w:val="1"/>
    <w:uiPriority w:val="9"/>
    <w:locked/>
    <w:rPr>
      <w:b/>
      <w:bCs/>
      <w:kern w:val="44"/>
      <w:sz w:val="44"/>
      <w:szCs w:val="44"/>
    </w:rPr>
  </w:style>
  <w:style w:type="character" w:customStyle="1" w:styleId="21">
    <w:name w:val="标题 2 字符1"/>
    <w:link w:val="2"/>
    <w:uiPriority w:val="9"/>
    <w:locked/>
    <w:rPr>
      <w:rFonts w:ascii="Cambria" w:eastAsia="宋体" w:hAnsi="Cambria" w:cs="宋体" w:hint="default"/>
      <w:b/>
      <w:bCs/>
      <w:sz w:val="32"/>
      <w:szCs w:val="32"/>
    </w:rPr>
  </w:style>
  <w:style w:type="character" w:customStyle="1" w:styleId="31">
    <w:name w:val="标题 3 字符1"/>
    <w:link w:val="3"/>
    <w:uiPriority w:val="9"/>
    <w:locked/>
    <w:rPr>
      <w:b/>
      <w:bCs/>
      <w:sz w:val="32"/>
      <w:szCs w:val="32"/>
    </w:rPr>
  </w:style>
  <w:style w:type="character" w:customStyle="1" w:styleId="41">
    <w:name w:val="标题 4 字符1"/>
    <w:link w:val="4"/>
    <w:semiHidden/>
    <w:locked/>
    <w:rPr>
      <w:rFonts w:ascii="Cambria" w:eastAsia="宋体" w:hAnsi="Cambria" w:cs="宋体" w:hint="default"/>
      <w:b/>
      <w:bCs/>
      <w:sz w:val="24"/>
      <w:szCs w:val="24"/>
    </w:rPr>
  </w:style>
  <w:style w:type="character" w:customStyle="1" w:styleId="12">
    <w:name w:val="脚注文本 字符1"/>
    <w:link w:val="a6"/>
    <w:locked/>
    <w:rPr>
      <w:kern w:val="2"/>
      <w:sz w:val="18"/>
      <w:szCs w:val="18"/>
    </w:rPr>
  </w:style>
  <w:style w:type="character" w:customStyle="1" w:styleId="22">
    <w:name w:val="页眉 字符2"/>
    <w:link w:val="a8"/>
    <w:locked/>
    <w:rPr>
      <w:kern w:val="2"/>
      <w:sz w:val="18"/>
      <w:szCs w:val="18"/>
    </w:rPr>
  </w:style>
  <w:style w:type="character" w:customStyle="1" w:styleId="13">
    <w:name w:val="页脚 字符1"/>
    <w:link w:val="aa"/>
    <w:uiPriority w:val="99"/>
    <w:locked/>
    <w:rPr>
      <w:kern w:val="2"/>
      <w:sz w:val="18"/>
      <w:szCs w:val="18"/>
    </w:rPr>
  </w:style>
  <w:style w:type="character" w:customStyle="1" w:styleId="14">
    <w:name w:val="标题 字符1"/>
    <w:link w:val="ac"/>
    <w:uiPriority w:val="10"/>
    <w:locked/>
    <w:rPr>
      <w:rFonts w:ascii="Cambria" w:hAnsi="Cambria" w:cs="宋体" w:hint="default"/>
      <w:b/>
      <w:bCs/>
      <w:sz w:val="32"/>
      <w:szCs w:val="32"/>
    </w:rPr>
  </w:style>
  <w:style w:type="character" w:customStyle="1" w:styleId="15">
    <w:name w:val="副标题 字符1"/>
    <w:link w:val="ae"/>
    <w:locked/>
    <w:rPr>
      <w:rFonts w:ascii="Cambria" w:eastAsia="宋体" w:hAnsi="Cambria" w:cs="宋体" w:hint="default"/>
      <w:b/>
      <w:bCs w:val="0"/>
      <w:kern w:val="24"/>
      <w:sz w:val="24"/>
      <w:szCs w:val="32"/>
    </w:rPr>
  </w:style>
  <w:style w:type="character" w:customStyle="1" w:styleId="16">
    <w:name w:val="日期 字符1"/>
    <w:link w:val="af0"/>
    <w:locked/>
    <w:rPr>
      <w:rFonts w:ascii="宋体" w:eastAsia="宋体" w:hAnsi="宋体" w:hint="eastAsia"/>
      <w:kern w:val="2"/>
      <w:sz w:val="32"/>
    </w:rPr>
  </w:style>
  <w:style w:type="character" w:customStyle="1" w:styleId="17">
    <w:name w:val="文档结构图 字符1"/>
    <w:link w:val="af2"/>
    <w:locked/>
    <w:rPr>
      <w:rFonts w:ascii="宋体" w:eastAsia="宋体" w:hAnsi="宋体" w:hint="eastAsia"/>
      <w:kern w:val="2"/>
      <w:sz w:val="18"/>
      <w:szCs w:val="18"/>
    </w:rPr>
  </w:style>
  <w:style w:type="character" w:customStyle="1" w:styleId="18">
    <w:name w:val="批注框文本 字符1"/>
    <w:link w:val="af4"/>
    <w:uiPriority w:val="99"/>
    <w:semiHidden/>
    <w:locked/>
    <w:rPr>
      <w:kern w:val="2"/>
      <w:sz w:val="18"/>
      <w:szCs w:val="18"/>
    </w:rPr>
  </w:style>
  <w:style w:type="character" w:customStyle="1" w:styleId="51">
    <w:name w:val="标题 5 字符1"/>
    <w:link w:val="5"/>
    <w:uiPriority w:val="9"/>
    <w:semiHidden/>
    <w:locked/>
    <w:rPr>
      <w:b/>
      <w:bCs/>
      <w:kern w:val="2"/>
      <w:sz w:val="24"/>
      <w:szCs w:val="24"/>
    </w:rPr>
  </w:style>
  <w:style w:type="character" w:customStyle="1" w:styleId="61">
    <w:name w:val="标题 6 字符1"/>
    <w:link w:val="6"/>
    <w:uiPriority w:val="9"/>
    <w:semiHidden/>
    <w:locked/>
    <w:rPr>
      <w:rFonts w:ascii="Cambria" w:eastAsia="宋体" w:hAnsi="Cambria" w:cs="Times New Roman" w:hint="default"/>
      <w:b/>
      <w:bCs/>
      <w:kern w:val="2"/>
      <w:sz w:val="24"/>
      <w:szCs w:val="24"/>
    </w:rPr>
  </w:style>
  <w:style w:type="character" w:customStyle="1" w:styleId="19">
    <w:name w:val="页眉 字符1"/>
    <w:locked/>
    <w:rPr>
      <w:kern w:val="2"/>
      <w:sz w:val="18"/>
      <w:szCs w:val="18"/>
    </w:rPr>
  </w:style>
  <w:style w:type="table" w:styleId="af8">
    <w:name w:val="Table Grid"/>
    <w:basedOn w:val="a1"/>
    <w:uiPriority w:val="59"/>
    <w:semiHidden/>
    <w:unhideWhenUs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movednode">
    <w:name w:val="removednode"/>
    <w:basedOn w:val="a"/>
    <w:pPr>
      <w:widowControl/>
      <w:spacing w:before="100" w:beforeAutospacing="1" w:after="100" w:afterAutospacing="1"/>
      <w:jc w:val="left"/>
    </w:pPr>
    <w:rPr>
      <w:kern w:val="0"/>
      <w:sz w:val="24"/>
    </w:rPr>
  </w:style>
  <w:style w:type="character" w:customStyle="1" w:styleId="Char10">
    <w:name w:val="页眉 Char1"/>
    <w:locked/>
    <w:rPr>
      <w:kern w:val="2"/>
      <w:sz w:val="18"/>
      <w:szCs w:val="18"/>
    </w:rPr>
  </w:style>
</w:styles>
</file>

<file path=word/webSettings.xml><?xml version="1.0" encoding="utf-8"?>
<w:webSettings xmlns:r="http://schemas.openxmlformats.org/officeDocument/2006/relationships" xmlns:w="http://schemas.openxmlformats.org/wordprocessingml/2006/main">
  <w:divs>
    <w:div w:id="504592090">
      <w:marLeft w:val="0"/>
      <w:marRight w:val="0"/>
      <w:marTop w:val="0"/>
      <w:marBottom w:val="0"/>
      <w:divBdr>
        <w:top w:val="none" w:sz="0" w:space="0" w:color="auto"/>
        <w:left w:val="none" w:sz="0" w:space="0" w:color="auto"/>
        <w:bottom w:val="none" w:sz="0" w:space="0" w:color="auto"/>
        <w:right w:val="none" w:sz="0" w:space="0" w:color="auto"/>
      </w:divBdr>
    </w:div>
    <w:div w:id="1654066027">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doNotRelyOnCS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CAD31-FD50-4A38-A232-5CD97FE62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267</Words>
  <Characters>1526</Characters>
  <Application>Microsoft Office Word</Application>
  <DocSecurity>4</DocSecurity>
  <Lines>12</Lines>
  <Paragraphs>3</Paragraphs>
  <ScaleCrop>false</ScaleCrop>
  <Company/>
  <LinksUpToDate>false</LinksUpToDate>
  <CharactersWithSpaces>1790</CharactersWithSpaces>
  <SharedDoc>false</SharedDoc>
  <HLinks>
    <vt:vector size="18" baseType="variant">
      <vt:variant>
        <vt:i4>1179700</vt:i4>
      </vt:variant>
      <vt:variant>
        <vt:i4>8</vt:i4>
      </vt:variant>
      <vt:variant>
        <vt:i4>0</vt:i4>
      </vt:variant>
      <vt:variant>
        <vt:i4>5</vt:i4>
      </vt:variant>
      <vt:variant>
        <vt:lpwstr/>
      </vt:variant>
      <vt:variant>
        <vt:lpwstr>_Toc34322063</vt:lpwstr>
      </vt:variant>
      <vt:variant>
        <vt:i4>1572919</vt:i4>
      </vt:variant>
      <vt:variant>
        <vt:i4>5</vt:i4>
      </vt:variant>
      <vt:variant>
        <vt:i4>0</vt:i4>
      </vt:variant>
      <vt:variant>
        <vt:i4>5</vt:i4>
      </vt:variant>
      <vt:variant>
        <vt:lpwstr/>
      </vt:variant>
      <vt:variant>
        <vt:lpwstr>_Toc34322059</vt:lpwstr>
      </vt:variant>
      <vt:variant>
        <vt:i4>1376309</vt:i4>
      </vt:variant>
      <vt:variant>
        <vt:i4>2</vt:i4>
      </vt:variant>
      <vt:variant>
        <vt:i4>0</vt:i4>
      </vt:variant>
      <vt:variant>
        <vt:i4>5</vt:i4>
      </vt:variant>
      <vt:variant>
        <vt:lpwstr/>
      </vt:variant>
      <vt:variant>
        <vt:lpwstr>_Toc510201001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yss</dc:creator>
  <cp:keywords/>
  <dc:description/>
  <cp:lastModifiedBy>ZHONGM</cp:lastModifiedBy>
  <cp:revision>2</cp:revision>
  <dcterms:created xsi:type="dcterms:W3CDTF">2026-04-26T16:01:00Z</dcterms:created>
  <dcterms:modified xsi:type="dcterms:W3CDTF">2026-04-26T16:01:00Z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2052-9.1.0.5113</vt:lpwstr>
  </property>
</Properties>
</file>