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AF" w:rsidRDefault="00713814">
      <w:pPr>
        <w:pStyle w:val="HTML"/>
        <w:spacing w:before="100" w:beforeAutospacing="1" w:after="100" w:afterAutospacing="1" w:line="420" w:lineRule="atLeast"/>
        <w:jc w:val="center"/>
        <w:rPr>
          <w:b/>
        </w:rPr>
      </w:pPr>
      <w:r>
        <w:rPr>
          <w:rFonts w:hint="eastAsia"/>
          <w:b/>
        </w:rPr>
        <w:t>关于工银瑞信中证同业存单</w:t>
      </w:r>
      <w:r>
        <w:rPr>
          <w:rFonts w:hint="eastAsia"/>
          <w:b/>
        </w:rPr>
        <w:t>AAA</w:t>
      </w:r>
      <w:r>
        <w:rPr>
          <w:rFonts w:hint="eastAsia"/>
          <w:b/>
        </w:rPr>
        <w:t>指数</w:t>
      </w:r>
      <w:r>
        <w:rPr>
          <w:rFonts w:hint="eastAsia"/>
          <w:b/>
        </w:rPr>
        <w:t>7</w:t>
      </w:r>
      <w:r>
        <w:rPr>
          <w:rFonts w:hint="eastAsia"/>
          <w:b/>
        </w:rPr>
        <w:t>天持有期证券投资基金增加销售机构的公告</w:t>
      </w:r>
    </w:p>
    <w:p w:rsidR="00073AAF" w:rsidRDefault="00713814">
      <w:pPr>
        <w:pStyle w:val="HTML"/>
        <w:spacing w:before="100" w:beforeAutospacing="1" w:after="100" w:afterAutospacing="1" w:line="360" w:lineRule="auto"/>
        <w:ind w:firstLineChars="200" w:firstLine="360"/>
        <w:rPr>
          <w:color w:val="1E1E1E"/>
          <w:sz w:val="18"/>
          <w:szCs w:val="18"/>
        </w:rPr>
      </w:pPr>
      <w:r>
        <w:rPr>
          <w:rFonts w:hint="eastAsia"/>
          <w:color w:val="1E1E1E"/>
          <w:sz w:val="18"/>
          <w:szCs w:val="18"/>
        </w:rPr>
        <w:t>为向投资人提供更好的投资服务，工银瑞信基金管理有限公司决定自</w:t>
      </w:r>
      <w:r>
        <w:rPr>
          <w:rFonts w:hint="eastAsia"/>
          <w:color w:val="1E1E1E"/>
          <w:sz w:val="18"/>
          <w:szCs w:val="18"/>
        </w:rPr>
        <w:t>202</w:t>
      </w:r>
      <w:r>
        <w:rPr>
          <w:rFonts w:hint="eastAsia"/>
          <w:color w:val="1E1E1E"/>
          <w:sz w:val="18"/>
          <w:szCs w:val="18"/>
        </w:rPr>
        <w:t>6</w:t>
      </w:r>
      <w:r>
        <w:rPr>
          <w:rFonts w:hint="eastAsia"/>
          <w:color w:val="1E1E1E"/>
          <w:sz w:val="18"/>
          <w:szCs w:val="18"/>
        </w:rPr>
        <w:t>年</w:t>
      </w:r>
      <w:r>
        <w:rPr>
          <w:rFonts w:hint="eastAsia"/>
          <w:color w:val="1E1E1E"/>
          <w:sz w:val="18"/>
          <w:szCs w:val="18"/>
        </w:rPr>
        <w:t>4</w:t>
      </w:r>
      <w:r>
        <w:rPr>
          <w:rFonts w:hint="eastAsia"/>
          <w:color w:val="1E1E1E"/>
          <w:sz w:val="18"/>
          <w:szCs w:val="18"/>
        </w:rPr>
        <w:t>月</w:t>
      </w:r>
      <w:r>
        <w:rPr>
          <w:rFonts w:hint="eastAsia"/>
          <w:color w:val="1E1E1E"/>
          <w:sz w:val="18"/>
          <w:szCs w:val="18"/>
        </w:rPr>
        <w:t>28</w:t>
      </w:r>
      <w:r>
        <w:rPr>
          <w:rFonts w:hint="eastAsia"/>
          <w:color w:val="1E1E1E"/>
          <w:sz w:val="18"/>
          <w:szCs w:val="18"/>
        </w:rPr>
        <w:t>日起，增加工银瑞信中证同业存单</w:t>
      </w:r>
      <w:r>
        <w:rPr>
          <w:rFonts w:hint="eastAsia"/>
          <w:color w:val="1E1E1E"/>
          <w:sz w:val="18"/>
          <w:szCs w:val="18"/>
        </w:rPr>
        <w:t>AAA</w:t>
      </w:r>
      <w:r>
        <w:rPr>
          <w:rFonts w:hint="eastAsia"/>
          <w:color w:val="1E1E1E"/>
          <w:sz w:val="18"/>
          <w:szCs w:val="18"/>
        </w:rPr>
        <w:t>指数</w:t>
      </w:r>
      <w:r>
        <w:rPr>
          <w:rFonts w:hint="eastAsia"/>
          <w:color w:val="1E1E1E"/>
          <w:sz w:val="18"/>
          <w:szCs w:val="18"/>
        </w:rPr>
        <w:t>7</w:t>
      </w:r>
      <w:r>
        <w:rPr>
          <w:rFonts w:hint="eastAsia"/>
          <w:color w:val="1E1E1E"/>
          <w:sz w:val="18"/>
          <w:szCs w:val="18"/>
        </w:rPr>
        <w:t>天持有期证券投资基金（以下简称“本基金”）的销售机构，机构投资者可通过以下销售机构提出申购、赎回、转换及定期定额投资业务申请：上海联泰基金销售有限公司。</w:t>
      </w:r>
    </w:p>
    <w:p w:rsidR="00073AAF" w:rsidRDefault="00713814">
      <w:pPr>
        <w:pStyle w:val="HTML"/>
        <w:spacing w:before="100" w:beforeAutospacing="1" w:after="100" w:afterAutospacing="1" w:line="360" w:lineRule="auto"/>
        <w:ind w:firstLineChars="200" w:firstLine="360"/>
        <w:rPr>
          <w:color w:val="1E1E1E"/>
          <w:sz w:val="18"/>
          <w:szCs w:val="18"/>
        </w:rPr>
      </w:pPr>
      <w:r>
        <w:rPr>
          <w:rFonts w:hint="eastAsia"/>
          <w:color w:val="1E1E1E"/>
          <w:sz w:val="18"/>
          <w:szCs w:val="18"/>
        </w:rPr>
        <w:t>1</w:t>
      </w:r>
      <w:r>
        <w:rPr>
          <w:rFonts w:hint="eastAsia"/>
          <w:color w:val="1E1E1E"/>
          <w:sz w:val="18"/>
          <w:szCs w:val="18"/>
        </w:rPr>
        <w:t>、本基金暂不向金融机构自营账户销售，如未来本基金开放向金融机构自营账户公开发售或对发售对象的范围予以进一步限定，基金管理人将另行公告。</w:t>
      </w:r>
    </w:p>
    <w:p w:rsidR="00073AAF" w:rsidRDefault="00713814">
      <w:pPr>
        <w:pStyle w:val="HTML"/>
        <w:spacing w:before="100" w:beforeAutospacing="1" w:after="100" w:afterAutospacing="1" w:line="360" w:lineRule="auto"/>
        <w:ind w:firstLineChars="200" w:firstLine="360"/>
        <w:rPr>
          <w:color w:val="1E1E1E"/>
          <w:sz w:val="18"/>
          <w:szCs w:val="18"/>
        </w:rPr>
      </w:pPr>
      <w:r>
        <w:rPr>
          <w:rFonts w:hint="eastAsia"/>
          <w:color w:val="1E1E1E"/>
          <w:sz w:val="18"/>
          <w:szCs w:val="18"/>
        </w:rPr>
        <w:t>2</w:t>
      </w:r>
      <w:r>
        <w:rPr>
          <w:rFonts w:hint="eastAsia"/>
          <w:color w:val="1E1E1E"/>
          <w:sz w:val="18"/>
          <w:szCs w:val="18"/>
        </w:rPr>
        <w:t>、如机构投资者业务申请不符合资金性质要求、单日限额或本基金规模上限等，本基金登记机构有权拒绝投资者全部或部分申请，具体规则参见《关于工银瑞信中证同业存单</w:t>
      </w:r>
      <w:r>
        <w:rPr>
          <w:rFonts w:hint="eastAsia"/>
          <w:color w:val="1E1E1E"/>
          <w:sz w:val="18"/>
          <w:szCs w:val="18"/>
        </w:rPr>
        <w:t>AAA</w:t>
      </w:r>
      <w:r>
        <w:rPr>
          <w:rFonts w:hint="eastAsia"/>
          <w:color w:val="1E1E1E"/>
          <w:sz w:val="18"/>
          <w:szCs w:val="18"/>
        </w:rPr>
        <w:t>指数</w:t>
      </w:r>
      <w:r>
        <w:rPr>
          <w:rFonts w:hint="eastAsia"/>
          <w:color w:val="1E1E1E"/>
          <w:sz w:val="18"/>
          <w:szCs w:val="18"/>
        </w:rPr>
        <w:t>7</w:t>
      </w:r>
      <w:r>
        <w:rPr>
          <w:rFonts w:hint="eastAsia"/>
          <w:color w:val="1E1E1E"/>
          <w:sz w:val="18"/>
          <w:szCs w:val="18"/>
        </w:rPr>
        <w:t>天持有期证券投资基金规模控制的公告》</w:t>
      </w:r>
      <w:r>
        <w:rPr>
          <w:rFonts w:hint="eastAsia"/>
          <w:color w:val="1E1E1E"/>
          <w:sz w:val="18"/>
          <w:szCs w:val="18"/>
        </w:rPr>
        <w:t>、</w:t>
      </w:r>
      <w:r>
        <w:rPr>
          <w:rFonts w:hint="eastAsia"/>
          <w:color w:val="1E1E1E"/>
          <w:sz w:val="18"/>
          <w:szCs w:val="18"/>
        </w:rPr>
        <w:t>《工银瑞信中证同业存单</w:t>
      </w:r>
      <w:r>
        <w:rPr>
          <w:rFonts w:hint="eastAsia"/>
          <w:color w:val="1E1E1E"/>
          <w:sz w:val="18"/>
          <w:szCs w:val="18"/>
        </w:rPr>
        <w:t>AAA</w:t>
      </w:r>
      <w:r>
        <w:rPr>
          <w:rFonts w:hint="eastAsia"/>
          <w:color w:val="1E1E1E"/>
          <w:sz w:val="18"/>
          <w:szCs w:val="18"/>
        </w:rPr>
        <w:t>指数</w:t>
      </w:r>
      <w:r>
        <w:rPr>
          <w:rFonts w:hint="eastAsia"/>
          <w:color w:val="1E1E1E"/>
          <w:sz w:val="18"/>
          <w:szCs w:val="18"/>
        </w:rPr>
        <w:t>7</w:t>
      </w:r>
      <w:r>
        <w:rPr>
          <w:rFonts w:hint="eastAsia"/>
          <w:color w:val="1E1E1E"/>
          <w:sz w:val="18"/>
          <w:szCs w:val="18"/>
        </w:rPr>
        <w:t>天持有期证券投资基金开放日常申购、赎回及定期定额投资业务的公告》</w:t>
      </w:r>
      <w:r>
        <w:rPr>
          <w:rFonts w:hint="eastAsia"/>
          <w:color w:val="1E1E1E"/>
          <w:sz w:val="18"/>
          <w:szCs w:val="18"/>
        </w:rPr>
        <w:t>、</w:t>
      </w:r>
      <w:r>
        <w:rPr>
          <w:rFonts w:hint="eastAsia"/>
          <w:color w:val="1E1E1E"/>
          <w:sz w:val="18"/>
          <w:szCs w:val="18"/>
        </w:rPr>
        <w:t>《工银瑞信中证同业存单</w:t>
      </w:r>
      <w:r>
        <w:rPr>
          <w:rFonts w:hint="eastAsia"/>
          <w:color w:val="1E1E1E"/>
          <w:sz w:val="18"/>
          <w:szCs w:val="18"/>
        </w:rPr>
        <w:t>AAA</w:t>
      </w:r>
      <w:r>
        <w:rPr>
          <w:rFonts w:hint="eastAsia"/>
          <w:color w:val="1E1E1E"/>
          <w:sz w:val="18"/>
          <w:szCs w:val="18"/>
        </w:rPr>
        <w:t>指数</w:t>
      </w:r>
      <w:r>
        <w:rPr>
          <w:rFonts w:hint="eastAsia"/>
          <w:color w:val="1E1E1E"/>
          <w:sz w:val="18"/>
          <w:szCs w:val="18"/>
        </w:rPr>
        <w:t>7</w:t>
      </w:r>
      <w:r>
        <w:rPr>
          <w:rFonts w:hint="eastAsia"/>
          <w:color w:val="1E1E1E"/>
          <w:sz w:val="18"/>
          <w:szCs w:val="18"/>
        </w:rPr>
        <w:t>天持有期证券投资基金开放日常转换业务的公告》</w:t>
      </w:r>
      <w:r>
        <w:rPr>
          <w:rFonts w:hint="eastAsia"/>
          <w:color w:val="1E1E1E"/>
          <w:sz w:val="18"/>
          <w:szCs w:val="18"/>
        </w:rPr>
        <w:t>、</w:t>
      </w:r>
      <w:r>
        <w:rPr>
          <w:rFonts w:hint="eastAsia"/>
          <w:color w:val="1E1E1E"/>
          <w:sz w:val="18"/>
          <w:szCs w:val="18"/>
        </w:rPr>
        <w:t>《工银瑞信中证同业存单</w:t>
      </w:r>
      <w:r>
        <w:rPr>
          <w:rFonts w:hint="eastAsia"/>
          <w:color w:val="1E1E1E"/>
          <w:sz w:val="18"/>
          <w:szCs w:val="18"/>
        </w:rPr>
        <w:t>AAA</w:t>
      </w:r>
      <w:r>
        <w:rPr>
          <w:rFonts w:hint="eastAsia"/>
          <w:color w:val="1E1E1E"/>
          <w:sz w:val="18"/>
          <w:szCs w:val="18"/>
        </w:rPr>
        <w:t>指数</w:t>
      </w:r>
      <w:r>
        <w:rPr>
          <w:rFonts w:hint="eastAsia"/>
          <w:color w:val="1E1E1E"/>
          <w:sz w:val="18"/>
          <w:szCs w:val="18"/>
        </w:rPr>
        <w:t>7</w:t>
      </w:r>
      <w:r>
        <w:rPr>
          <w:rFonts w:hint="eastAsia"/>
          <w:color w:val="1E1E1E"/>
          <w:sz w:val="18"/>
          <w:szCs w:val="18"/>
        </w:rPr>
        <w:t>天持有期证券投资基金</w:t>
      </w:r>
      <w:r>
        <w:rPr>
          <w:rFonts w:hint="eastAsia"/>
          <w:color w:val="1E1E1E"/>
          <w:sz w:val="18"/>
          <w:szCs w:val="18"/>
        </w:rPr>
        <w:t>更新的</w:t>
      </w:r>
      <w:r>
        <w:rPr>
          <w:rFonts w:hint="eastAsia"/>
          <w:color w:val="1E1E1E"/>
          <w:sz w:val="18"/>
          <w:szCs w:val="18"/>
        </w:rPr>
        <w:t>招募说明书》</w:t>
      </w:r>
      <w:r>
        <w:rPr>
          <w:rFonts w:hint="eastAsia"/>
          <w:color w:val="1E1E1E"/>
          <w:sz w:val="18"/>
          <w:szCs w:val="18"/>
        </w:rPr>
        <w:t>，</w:t>
      </w:r>
      <w:r>
        <w:rPr>
          <w:rFonts w:hint="eastAsia"/>
          <w:color w:val="1E1E1E"/>
          <w:sz w:val="18"/>
          <w:szCs w:val="18"/>
        </w:rPr>
        <w:t>或调整大额申购、转换转入、定期定额投资业务限制金额的公</w:t>
      </w:r>
      <w:r>
        <w:rPr>
          <w:rFonts w:hint="eastAsia"/>
          <w:color w:val="1E1E1E"/>
          <w:sz w:val="18"/>
          <w:szCs w:val="18"/>
        </w:rPr>
        <w:t>告</w:t>
      </w:r>
      <w:r>
        <w:rPr>
          <w:rFonts w:hint="eastAsia"/>
          <w:color w:val="1E1E1E"/>
          <w:sz w:val="18"/>
          <w:szCs w:val="18"/>
        </w:rPr>
        <w:t>等相关文件。</w:t>
      </w:r>
      <w:bookmarkStart w:id="0" w:name="_GoBack"/>
      <w:bookmarkEnd w:id="0"/>
    </w:p>
    <w:p w:rsidR="00073AAF" w:rsidRDefault="00713814">
      <w:pPr>
        <w:pStyle w:val="HTML"/>
        <w:spacing w:before="100" w:beforeAutospacing="1" w:after="100" w:afterAutospacing="1" w:line="360" w:lineRule="auto"/>
        <w:ind w:firstLineChars="200" w:firstLine="360"/>
        <w:rPr>
          <w:color w:val="1E1E1E"/>
          <w:sz w:val="18"/>
          <w:szCs w:val="18"/>
        </w:rPr>
      </w:pPr>
      <w:r>
        <w:rPr>
          <w:rFonts w:hint="eastAsia"/>
          <w:color w:val="1E1E1E"/>
          <w:sz w:val="18"/>
          <w:szCs w:val="18"/>
        </w:rPr>
        <w:t>3</w:t>
      </w:r>
      <w:r>
        <w:rPr>
          <w:rFonts w:hint="eastAsia"/>
          <w:color w:val="1E1E1E"/>
          <w:sz w:val="18"/>
          <w:szCs w:val="18"/>
        </w:rPr>
        <w:t>、敬请投资者关注上述文件规定的相关事宜，并在申购本基金前充分考虑可能存在的相关风险。</w:t>
      </w:r>
    </w:p>
    <w:p w:rsidR="00073AAF" w:rsidRDefault="00713814">
      <w:pPr>
        <w:spacing w:line="360" w:lineRule="auto"/>
        <w:ind w:firstLineChars="200" w:firstLine="360"/>
        <w:rPr>
          <w:rFonts w:ascii="宋体" w:hAnsi="宋体"/>
          <w:bCs/>
          <w:sz w:val="18"/>
          <w:szCs w:val="18"/>
        </w:rPr>
      </w:pPr>
      <w:r>
        <w:rPr>
          <w:rFonts w:ascii="宋体" w:hAnsi="宋体" w:hint="eastAsia"/>
          <w:bCs/>
          <w:sz w:val="18"/>
          <w:szCs w:val="18"/>
        </w:rPr>
        <w:t>投资者可通过本基金管理人网站（</w:t>
      </w:r>
      <w:r>
        <w:rPr>
          <w:rFonts w:ascii="宋体" w:hAnsi="宋体" w:hint="eastAsia"/>
          <w:bCs/>
          <w:sz w:val="18"/>
          <w:szCs w:val="18"/>
        </w:rPr>
        <w:t>www.icbc</w:t>
      </w:r>
      <w:r>
        <w:rPr>
          <w:rFonts w:ascii="宋体" w:hAnsi="宋体" w:hint="eastAsia"/>
          <w:bCs/>
          <w:sz w:val="18"/>
          <w:szCs w:val="18"/>
        </w:rPr>
        <w:t>ubs</w:t>
      </w:r>
      <w:r>
        <w:rPr>
          <w:rFonts w:ascii="宋体" w:hAnsi="宋体" w:hint="eastAsia"/>
          <w:bCs/>
          <w:sz w:val="18"/>
          <w:szCs w:val="18"/>
        </w:rPr>
        <w:t>.com.cn</w:t>
      </w:r>
      <w:r>
        <w:rPr>
          <w:rFonts w:ascii="宋体" w:hAnsi="宋体" w:hint="eastAsia"/>
          <w:bCs/>
          <w:sz w:val="18"/>
          <w:szCs w:val="18"/>
        </w:rPr>
        <w:t>）或客户服务电话</w:t>
      </w:r>
      <w:r>
        <w:rPr>
          <w:rFonts w:ascii="宋体" w:hAnsi="宋体" w:hint="eastAsia"/>
          <w:bCs/>
          <w:sz w:val="18"/>
          <w:szCs w:val="18"/>
        </w:rPr>
        <w:t>400-811-9999</w:t>
      </w:r>
      <w:r>
        <w:rPr>
          <w:rFonts w:ascii="宋体" w:hAnsi="宋体" w:hint="eastAsia"/>
          <w:bCs/>
          <w:sz w:val="18"/>
          <w:szCs w:val="18"/>
        </w:rPr>
        <w:t>咨询相关情况。</w:t>
      </w:r>
    </w:p>
    <w:p w:rsidR="00073AAF" w:rsidRDefault="00713814">
      <w:pPr>
        <w:pStyle w:val="HTML"/>
        <w:spacing w:before="100" w:beforeAutospacing="1" w:after="100" w:afterAutospacing="1" w:line="360" w:lineRule="auto"/>
        <w:ind w:firstLineChars="200" w:firstLine="360"/>
        <w:jc w:val="both"/>
        <w:rPr>
          <w:sz w:val="18"/>
          <w:szCs w:val="18"/>
        </w:rPr>
      </w:pPr>
      <w:r>
        <w:rPr>
          <w:rFonts w:hint="eastAsia"/>
          <w:sz w:val="18"/>
          <w:szCs w:val="18"/>
        </w:rPr>
        <w:t>风险提示：本公司承诺以诚实信用、勤勉尽责的原则管理和运用基金资产，但不保证基金一定盈利，也不保证最低收益。敬请投资人注意投资风险。投资者投资基金前应认真阅读基金的基金合同、招募说明书、基金产品</w:t>
      </w:r>
      <w:r>
        <w:rPr>
          <w:sz w:val="18"/>
          <w:szCs w:val="18"/>
        </w:rPr>
        <w:t>资料概要</w:t>
      </w:r>
      <w:r>
        <w:rPr>
          <w:rFonts w:hint="eastAsia"/>
          <w:sz w:val="18"/>
          <w:szCs w:val="18"/>
        </w:rPr>
        <w:t>等法律文件，并选择适合自身风险承受能力的投资品种进行投资。</w:t>
      </w:r>
    </w:p>
    <w:p w:rsidR="00073AAF" w:rsidRDefault="00713814">
      <w:pPr>
        <w:pStyle w:val="HTML"/>
        <w:spacing w:before="100" w:beforeAutospacing="1" w:after="100" w:afterAutospacing="1" w:line="360" w:lineRule="auto"/>
        <w:ind w:firstLineChars="200" w:firstLine="360"/>
        <w:jc w:val="both"/>
        <w:rPr>
          <w:color w:val="1E1E1E"/>
          <w:sz w:val="18"/>
          <w:szCs w:val="18"/>
        </w:rPr>
      </w:pPr>
      <w:r>
        <w:rPr>
          <w:rFonts w:hint="eastAsia"/>
          <w:color w:val="1E1E1E"/>
          <w:sz w:val="18"/>
          <w:szCs w:val="18"/>
        </w:rPr>
        <w:t>特此公告。</w:t>
      </w:r>
    </w:p>
    <w:p w:rsidR="00073AAF" w:rsidRDefault="00713814">
      <w:pPr>
        <w:pStyle w:val="HTML"/>
        <w:spacing w:before="100" w:beforeAutospacing="1" w:after="100" w:afterAutospacing="1" w:line="360" w:lineRule="auto"/>
        <w:jc w:val="right"/>
        <w:rPr>
          <w:color w:val="1E1E1E"/>
          <w:sz w:val="18"/>
          <w:szCs w:val="18"/>
        </w:rPr>
      </w:pPr>
      <w:r>
        <w:rPr>
          <w:rFonts w:hint="eastAsia"/>
          <w:color w:val="1E1E1E"/>
          <w:sz w:val="18"/>
          <w:szCs w:val="18"/>
        </w:rPr>
        <w:t>工银瑞信基金管</w:t>
      </w:r>
      <w:r>
        <w:rPr>
          <w:rFonts w:hint="eastAsia"/>
          <w:color w:val="1E1E1E"/>
          <w:sz w:val="18"/>
          <w:szCs w:val="18"/>
        </w:rPr>
        <w:t>理有限公司</w:t>
      </w:r>
    </w:p>
    <w:p w:rsidR="00073AAF" w:rsidRDefault="00713814">
      <w:pPr>
        <w:pStyle w:val="HTML"/>
        <w:spacing w:before="100" w:beforeAutospacing="1" w:after="100" w:afterAutospacing="1" w:line="360" w:lineRule="auto"/>
        <w:jc w:val="right"/>
      </w:pPr>
      <w:r>
        <w:rPr>
          <w:rFonts w:hint="eastAsia"/>
          <w:color w:val="1E1E1E"/>
          <w:sz w:val="18"/>
          <w:szCs w:val="18"/>
        </w:rPr>
        <w:t>20</w:t>
      </w:r>
      <w:r>
        <w:rPr>
          <w:color w:val="1E1E1E"/>
          <w:sz w:val="18"/>
          <w:szCs w:val="18"/>
        </w:rPr>
        <w:t>2</w:t>
      </w:r>
      <w:r>
        <w:rPr>
          <w:rFonts w:hint="eastAsia"/>
          <w:color w:val="1E1E1E"/>
          <w:sz w:val="18"/>
          <w:szCs w:val="18"/>
        </w:rPr>
        <w:t>6</w:t>
      </w:r>
      <w:r>
        <w:rPr>
          <w:rFonts w:hint="eastAsia"/>
          <w:color w:val="1E1E1E"/>
          <w:sz w:val="18"/>
          <w:szCs w:val="18"/>
        </w:rPr>
        <w:t>年</w:t>
      </w:r>
      <w:r>
        <w:rPr>
          <w:rFonts w:hint="eastAsia"/>
          <w:color w:val="1E1E1E"/>
          <w:sz w:val="18"/>
          <w:szCs w:val="18"/>
        </w:rPr>
        <w:t>4</w:t>
      </w:r>
      <w:r>
        <w:rPr>
          <w:rFonts w:hint="eastAsia"/>
          <w:color w:val="1E1E1E"/>
          <w:sz w:val="18"/>
          <w:szCs w:val="18"/>
        </w:rPr>
        <w:t>月</w:t>
      </w:r>
      <w:r>
        <w:rPr>
          <w:rFonts w:hint="eastAsia"/>
          <w:color w:val="1E1E1E"/>
          <w:sz w:val="18"/>
          <w:szCs w:val="18"/>
        </w:rPr>
        <w:t>27</w:t>
      </w:r>
      <w:r>
        <w:rPr>
          <w:rFonts w:hint="eastAsia"/>
          <w:color w:val="1E1E1E"/>
          <w:sz w:val="18"/>
          <w:szCs w:val="18"/>
        </w:rPr>
        <w:t>日</w:t>
      </w:r>
    </w:p>
    <w:p w:rsidR="00073AAF" w:rsidRDefault="00073AAF"/>
    <w:sectPr w:rsidR="00073AAF" w:rsidSect="00073A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AAF" w:rsidRDefault="00073AAF"/>
  </w:endnote>
  <w:endnote w:type="continuationSeparator" w:id="0">
    <w:p w:rsidR="00073AAF" w:rsidRDefault="00073AA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AAF" w:rsidRDefault="00073AAF"/>
  </w:footnote>
  <w:footnote w:type="continuationSeparator" w:id="0">
    <w:p w:rsidR="00073AAF" w:rsidRDefault="00073AA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407C3"/>
    <w:rsid w:val="00000F0E"/>
    <w:rsid w:val="00023765"/>
    <w:rsid w:val="00073AAF"/>
    <w:rsid w:val="000751A8"/>
    <w:rsid w:val="0008110A"/>
    <w:rsid w:val="00084991"/>
    <w:rsid w:val="000B71E0"/>
    <w:rsid w:val="002747C0"/>
    <w:rsid w:val="002E6408"/>
    <w:rsid w:val="0041596D"/>
    <w:rsid w:val="00520019"/>
    <w:rsid w:val="0057523A"/>
    <w:rsid w:val="005821B2"/>
    <w:rsid w:val="005D6FED"/>
    <w:rsid w:val="005F3E22"/>
    <w:rsid w:val="005F603A"/>
    <w:rsid w:val="00701344"/>
    <w:rsid w:val="00713814"/>
    <w:rsid w:val="00813D9B"/>
    <w:rsid w:val="00834F8F"/>
    <w:rsid w:val="008810FC"/>
    <w:rsid w:val="00901F40"/>
    <w:rsid w:val="009B4506"/>
    <w:rsid w:val="009C038C"/>
    <w:rsid w:val="009D363A"/>
    <w:rsid w:val="00A52EE0"/>
    <w:rsid w:val="00B407C3"/>
    <w:rsid w:val="00B61F2B"/>
    <w:rsid w:val="00B90345"/>
    <w:rsid w:val="00BE27C8"/>
    <w:rsid w:val="00C60CE2"/>
    <w:rsid w:val="00C96725"/>
    <w:rsid w:val="00D03F08"/>
    <w:rsid w:val="00DB3A58"/>
    <w:rsid w:val="00DC7025"/>
    <w:rsid w:val="00E161E5"/>
    <w:rsid w:val="00EA64B7"/>
    <w:rsid w:val="00FD5212"/>
    <w:rsid w:val="019745DC"/>
    <w:rsid w:val="03D06ACE"/>
    <w:rsid w:val="157A30E7"/>
    <w:rsid w:val="1C4111CE"/>
    <w:rsid w:val="1CBF2230"/>
    <w:rsid w:val="28596F48"/>
    <w:rsid w:val="293D0C86"/>
    <w:rsid w:val="3E4931C0"/>
    <w:rsid w:val="40A074A2"/>
    <w:rsid w:val="4A1C4BB4"/>
    <w:rsid w:val="57F26D57"/>
    <w:rsid w:val="59C221AC"/>
    <w:rsid w:val="6D2F4914"/>
    <w:rsid w:val="7C885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AA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73AAF"/>
    <w:pPr>
      <w:jc w:val="left"/>
    </w:pPr>
  </w:style>
  <w:style w:type="paragraph" w:styleId="a4">
    <w:name w:val="Balloon Text"/>
    <w:basedOn w:val="a"/>
    <w:link w:val="Char0"/>
    <w:uiPriority w:val="99"/>
    <w:semiHidden/>
    <w:unhideWhenUsed/>
    <w:qFormat/>
    <w:rsid w:val="00073AAF"/>
    <w:rPr>
      <w:sz w:val="18"/>
      <w:szCs w:val="18"/>
    </w:rPr>
  </w:style>
  <w:style w:type="paragraph" w:styleId="a5">
    <w:name w:val="footer"/>
    <w:basedOn w:val="a"/>
    <w:link w:val="Char1"/>
    <w:uiPriority w:val="99"/>
    <w:unhideWhenUsed/>
    <w:qFormat/>
    <w:rsid w:val="00073AA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73AA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073A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semiHidden/>
    <w:unhideWhenUsed/>
    <w:qFormat/>
    <w:rsid w:val="00073AAF"/>
    <w:rPr>
      <w:b/>
      <w:bCs/>
    </w:rPr>
  </w:style>
  <w:style w:type="character" w:styleId="a8">
    <w:name w:val="Hyperlink"/>
    <w:basedOn w:val="a0"/>
    <w:uiPriority w:val="99"/>
    <w:semiHidden/>
    <w:unhideWhenUsed/>
    <w:qFormat/>
    <w:rsid w:val="00073AAF"/>
    <w:rPr>
      <w:color w:val="0000FF"/>
      <w:u w:val="single"/>
    </w:rPr>
  </w:style>
  <w:style w:type="character" w:styleId="a9">
    <w:name w:val="annotation reference"/>
    <w:basedOn w:val="a0"/>
    <w:uiPriority w:val="99"/>
    <w:semiHidden/>
    <w:unhideWhenUsed/>
    <w:qFormat/>
    <w:rsid w:val="00073AAF"/>
    <w:rPr>
      <w:sz w:val="21"/>
      <w:szCs w:val="21"/>
    </w:rPr>
  </w:style>
  <w:style w:type="character" w:customStyle="1" w:styleId="HTML0">
    <w:name w:val="HTML 预设格式 字符"/>
    <w:basedOn w:val="a0"/>
    <w:uiPriority w:val="99"/>
    <w:semiHidden/>
    <w:qFormat/>
    <w:rsid w:val="00073AAF"/>
    <w:rPr>
      <w:rFonts w:ascii="Courier New" w:eastAsia="宋体" w:hAnsi="Courier New" w:cs="Courier New"/>
      <w:sz w:val="20"/>
      <w:szCs w:val="20"/>
    </w:rPr>
  </w:style>
  <w:style w:type="character" w:customStyle="1" w:styleId="HTMLChar">
    <w:name w:val="HTML 预设格式 Char"/>
    <w:link w:val="HTML"/>
    <w:uiPriority w:val="99"/>
    <w:qFormat/>
    <w:rsid w:val="00073AAF"/>
    <w:rPr>
      <w:rFonts w:ascii="宋体" w:eastAsia="宋体" w:hAnsi="宋体" w:cs="宋体"/>
      <w:kern w:val="0"/>
      <w:sz w:val="24"/>
      <w:szCs w:val="24"/>
    </w:rPr>
  </w:style>
  <w:style w:type="character" w:customStyle="1" w:styleId="Char0">
    <w:name w:val="批注框文本 Char"/>
    <w:basedOn w:val="a0"/>
    <w:link w:val="a4"/>
    <w:uiPriority w:val="99"/>
    <w:semiHidden/>
    <w:qFormat/>
    <w:rsid w:val="00073AAF"/>
    <w:rPr>
      <w:rFonts w:ascii="Calibri" w:eastAsia="宋体" w:hAnsi="Calibri" w:cs="Times New Roman"/>
      <w:sz w:val="18"/>
      <w:szCs w:val="18"/>
    </w:rPr>
  </w:style>
  <w:style w:type="character" w:customStyle="1" w:styleId="Char2">
    <w:name w:val="页眉 Char"/>
    <w:basedOn w:val="a0"/>
    <w:link w:val="a6"/>
    <w:uiPriority w:val="99"/>
    <w:qFormat/>
    <w:rsid w:val="00073AAF"/>
    <w:rPr>
      <w:rFonts w:ascii="Calibri" w:eastAsia="宋体" w:hAnsi="Calibri" w:cs="Times New Roman"/>
      <w:sz w:val="18"/>
      <w:szCs w:val="18"/>
    </w:rPr>
  </w:style>
  <w:style w:type="character" w:customStyle="1" w:styleId="Char1">
    <w:name w:val="页脚 Char"/>
    <w:basedOn w:val="a0"/>
    <w:link w:val="a5"/>
    <w:uiPriority w:val="99"/>
    <w:qFormat/>
    <w:rsid w:val="00073AAF"/>
    <w:rPr>
      <w:rFonts w:ascii="Calibri" w:eastAsia="宋体" w:hAnsi="Calibri" w:cs="Times New Roman"/>
      <w:sz w:val="18"/>
      <w:szCs w:val="18"/>
    </w:rPr>
  </w:style>
  <w:style w:type="character" w:customStyle="1" w:styleId="Char">
    <w:name w:val="批注文字 Char"/>
    <w:basedOn w:val="a0"/>
    <w:link w:val="a3"/>
    <w:uiPriority w:val="99"/>
    <w:semiHidden/>
    <w:qFormat/>
    <w:rsid w:val="00073AAF"/>
    <w:rPr>
      <w:rFonts w:ascii="Calibri" w:eastAsia="宋体" w:hAnsi="Calibri" w:cs="Times New Roman"/>
      <w:kern w:val="2"/>
      <w:sz w:val="21"/>
      <w:szCs w:val="22"/>
    </w:rPr>
  </w:style>
  <w:style w:type="character" w:customStyle="1" w:styleId="Char3">
    <w:name w:val="批注主题 Char"/>
    <w:basedOn w:val="Char"/>
    <w:link w:val="a7"/>
    <w:uiPriority w:val="99"/>
    <w:semiHidden/>
    <w:qFormat/>
    <w:rsid w:val="00073AAF"/>
    <w:rPr>
      <w:rFonts w:ascii="Calibri" w:eastAsia="宋体" w:hAnsi="Calibri" w:cs="Times New Roman"/>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4</DocSecurity>
  <Lines>5</Lines>
  <Paragraphs>1</Paragraphs>
  <ScaleCrop>false</ScaleCrop>
  <Company>ICBC.V20200907.01</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时亚明</dc:creator>
  <cp:lastModifiedBy>ZHONGM</cp:lastModifiedBy>
  <cp:revision>2</cp:revision>
  <cp:lastPrinted>2023-06-27T11:11:00Z</cp:lastPrinted>
  <dcterms:created xsi:type="dcterms:W3CDTF">2026-04-26T16:01:00Z</dcterms:created>
  <dcterms:modified xsi:type="dcterms:W3CDTF">2026-04-26T16:01:00Z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539CDFCCE0634531A4B41ACCECDD75A2</vt:lpwstr>
  </property>
</Properties>
</file>