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2" w:rsidRDefault="009A04A6">
      <w:pPr>
        <w:widowControl/>
        <w:jc w:val="center"/>
        <w:rPr>
          <w:rFonts w:ascii="宋体" w:eastAsia="宋体" w:hAnsi="Calibri" w:cs="宋体"/>
          <w:b/>
          <w:sz w:val="30"/>
          <w:szCs w:val="30"/>
        </w:rPr>
      </w:pPr>
      <w:bookmarkStart w:id="0" w:name="_GoBack"/>
      <w:bookmarkEnd w:id="0"/>
      <w:r>
        <w:rPr>
          <w:rFonts w:ascii="宋体" w:eastAsia="宋体" w:hAnsi="Calibri" w:cs="宋体" w:hint="eastAsia"/>
          <w:b/>
          <w:sz w:val="30"/>
          <w:szCs w:val="30"/>
        </w:rPr>
        <w:t>华泰紫金天天发货币市场基金</w:t>
      </w:r>
      <w:r>
        <w:rPr>
          <w:rFonts w:ascii="宋体" w:eastAsia="宋体" w:cs="宋体" w:hint="eastAsia"/>
          <w:b/>
          <w:sz w:val="30"/>
          <w:szCs w:val="30"/>
        </w:rPr>
        <w:t>管理费调整及恢复的公告</w:t>
      </w:r>
    </w:p>
    <w:p w:rsidR="004E7552" w:rsidRDefault="009A04A6">
      <w:pPr>
        <w:spacing w:line="560" w:lineRule="exact"/>
        <w:jc w:val="center"/>
        <w:rPr>
          <w:rFonts w:ascii="宋体" w:eastAsia="宋体" w:hAnsi="Calibri"/>
          <w:color w:val="000000"/>
          <w:sz w:val="24"/>
          <w:szCs w:val="24"/>
        </w:rPr>
      </w:pPr>
      <w:r>
        <w:rPr>
          <w:rFonts w:ascii="宋体" w:eastAsia="宋体" w:hAnsi="Calibri"/>
          <w:color w:val="000000"/>
          <w:sz w:val="24"/>
          <w:szCs w:val="24"/>
        </w:rPr>
        <w:t>公告送出日期：</w:t>
      </w:r>
      <w:r>
        <w:rPr>
          <w:rFonts w:ascii="宋体" w:eastAsia="宋体" w:hAnsi="Calibri" w:cs="宋体"/>
          <w:bCs/>
          <w:sz w:val="24"/>
          <w:szCs w:val="24"/>
        </w:rPr>
        <w:t>2026</w:t>
      </w:r>
      <w:r>
        <w:rPr>
          <w:rFonts w:ascii="宋体" w:eastAsia="宋体" w:hAnsi="Calibri" w:cs="宋体"/>
          <w:bCs/>
          <w:sz w:val="24"/>
          <w:szCs w:val="24"/>
        </w:rPr>
        <w:t>年</w:t>
      </w:r>
      <w:r>
        <w:rPr>
          <w:rFonts w:ascii="宋体" w:eastAsia="宋体" w:cs="宋体"/>
          <w:sz w:val="24"/>
          <w:szCs w:val="24"/>
        </w:rPr>
        <w:t>4</w:t>
      </w:r>
      <w:r>
        <w:rPr>
          <w:rFonts w:ascii="宋体" w:eastAsia="宋体" w:cs="宋体" w:hint="eastAsia"/>
          <w:sz w:val="24"/>
          <w:szCs w:val="24"/>
        </w:rPr>
        <w:t>月</w:t>
      </w:r>
      <w:r>
        <w:rPr>
          <w:rFonts w:ascii="宋体" w:eastAsia="宋体" w:cs="宋体"/>
          <w:sz w:val="24"/>
          <w:szCs w:val="24"/>
        </w:rPr>
        <w:t>25</w:t>
      </w:r>
      <w:r>
        <w:rPr>
          <w:rFonts w:ascii="宋体" w:eastAsia="宋体" w:cs="宋体" w:hint="eastAsia"/>
          <w:sz w:val="24"/>
          <w:szCs w:val="24"/>
        </w:rPr>
        <w:t>日</w:t>
      </w:r>
    </w:p>
    <w:p w:rsidR="004E7552" w:rsidRDefault="004E7552">
      <w:pPr>
        <w:spacing w:line="560" w:lineRule="exact"/>
        <w:jc w:val="center"/>
        <w:rPr>
          <w:rFonts w:ascii="宋体" w:eastAsia="宋体" w:hAnsi="Calibri"/>
          <w:color w:val="000000"/>
          <w:sz w:val="24"/>
          <w:szCs w:val="24"/>
        </w:rPr>
      </w:pPr>
    </w:p>
    <w:p w:rsidR="004E7552" w:rsidRDefault="009A04A6">
      <w:pPr>
        <w:pStyle w:val="Heading2"/>
        <w:spacing w:line="560" w:lineRule="exact"/>
        <w:rPr>
          <w:rFonts w:ascii="宋体" w:eastAsia="宋体" w:hAnsi="Calibri"/>
          <w:bCs w:val="0"/>
          <w:color w:val="000000"/>
          <w:sz w:val="24"/>
          <w:szCs w:val="24"/>
        </w:rPr>
      </w:pPr>
      <w:bookmarkStart w:id="1" w:name="_Toc275961422"/>
      <w:r>
        <w:rPr>
          <w:rFonts w:ascii="宋体" w:eastAsia="宋体" w:hAnsi="Calibri"/>
          <w:bCs w:val="0"/>
          <w:color w:val="000000"/>
          <w:sz w:val="24"/>
          <w:szCs w:val="24"/>
        </w:rPr>
        <w:t xml:space="preserve">1 </w:t>
      </w:r>
      <w:bookmarkEnd w:id="1"/>
      <w:r>
        <w:rPr>
          <w:rFonts w:ascii="宋体" w:eastAsia="宋体" w:hAnsi="Calibri" w:hint="eastAsia"/>
          <w:bCs w:val="0"/>
          <w:color w:val="000000"/>
          <w:sz w:val="24"/>
          <w:szCs w:val="24"/>
        </w:rPr>
        <w:t>管理费调整方案</w:t>
      </w:r>
    </w:p>
    <w:tbl>
      <w:tblPr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0"/>
        <w:gridCol w:w="7129"/>
      </w:tblGrid>
      <w:tr w:rsidR="004E7552">
        <w:trPr>
          <w:jc w:val="center"/>
        </w:trPr>
        <w:tc>
          <w:tcPr>
            <w:tcW w:w="2510" w:type="dxa"/>
          </w:tcPr>
          <w:p w:rsidR="004E7552" w:rsidRDefault="009A04A6">
            <w:pPr>
              <w:spacing w:line="560" w:lineRule="exact"/>
              <w:rPr>
                <w:rFonts w:ascii="宋体" w:eastAsia="宋体" w:hAnsi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Calibri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7129" w:type="dxa"/>
          </w:tcPr>
          <w:p w:rsidR="004E7552" w:rsidRDefault="009A04A6">
            <w:pPr>
              <w:spacing w:line="560" w:lineRule="exact"/>
              <w:rPr>
                <w:rFonts w:ascii="宋体" w:eastAsia="宋体" w:hAnsi="Calibri"/>
                <w:sz w:val="24"/>
                <w:szCs w:val="24"/>
              </w:rPr>
            </w:pPr>
            <w:r>
              <w:rPr>
                <w:rFonts w:ascii="宋体" w:eastAsia="宋体" w:hAnsi="Calibri"/>
                <w:sz w:val="24"/>
                <w:szCs w:val="24"/>
              </w:rPr>
              <w:t>华泰紫金天天发货币市场基金</w:t>
            </w:r>
          </w:p>
        </w:tc>
      </w:tr>
      <w:tr w:rsidR="004E7552">
        <w:trPr>
          <w:jc w:val="center"/>
        </w:trPr>
        <w:tc>
          <w:tcPr>
            <w:tcW w:w="2510" w:type="dxa"/>
          </w:tcPr>
          <w:p w:rsidR="004E7552" w:rsidRDefault="009A04A6">
            <w:pPr>
              <w:spacing w:line="560" w:lineRule="exact"/>
              <w:rPr>
                <w:rFonts w:ascii="宋体" w:eastAsia="宋体" w:hAnsi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Calibri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7129" w:type="dxa"/>
          </w:tcPr>
          <w:p w:rsidR="004E7552" w:rsidRDefault="009A04A6">
            <w:pPr>
              <w:spacing w:line="560" w:lineRule="exact"/>
              <w:rPr>
                <w:rFonts w:ascii="宋体" w:eastAsia="宋体" w:hAnsi="Calibri"/>
                <w:sz w:val="24"/>
                <w:szCs w:val="24"/>
              </w:rPr>
            </w:pPr>
            <w:r>
              <w:rPr>
                <w:rFonts w:ascii="宋体" w:eastAsia="宋体" w:hAnsi="Calibri"/>
                <w:sz w:val="24"/>
                <w:szCs w:val="24"/>
              </w:rPr>
              <w:t>华泰紫金天天发货币</w:t>
            </w:r>
          </w:p>
        </w:tc>
      </w:tr>
      <w:tr w:rsidR="004E7552">
        <w:trPr>
          <w:jc w:val="center"/>
        </w:trPr>
        <w:tc>
          <w:tcPr>
            <w:tcW w:w="2510" w:type="dxa"/>
          </w:tcPr>
          <w:p w:rsidR="004E7552" w:rsidRDefault="009A04A6">
            <w:pPr>
              <w:spacing w:line="560" w:lineRule="exact"/>
              <w:rPr>
                <w:rFonts w:ascii="宋体" w:eastAsia="宋体" w:hAnsi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Calibri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7129" w:type="dxa"/>
            <w:vAlign w:val="center"/>
          </w:tcPr>
          <w:p w:rsidR="004E7552" w:rsidRDefault="009A04A6">
            <w:pPr>
              <w:spacing w:line="560" w:lineRule="exact"/>
              <w:rPr>
                <w:rFonts w:ascii="宋体" w:eastAsia="宋体" w:hAnsi="Calibri"/>
                <w:sz w:val="24"/>
                <w:szCs w:val="24"/>
              </w:rPr>
            </w:pPr>
            <w:r>
              <w:rPr>
                <w:rFonts w:ascii="宋体" w:eastAsia="宋体" w:hAnsi="Calibri"/>
                <w:sz w:val="24"/>
                <w:szCs w:val="24"/>
              </w:rPr>
              <w:t>940018</w:t>
            </w:r>
          </w:p>
        </w:tc>
      </w:tr>
      <w:tr w:rsidR="004E7552">
        <w:trPr>
          <w:jc w:val="center"/>
        </w:trPr>
        <w:tc>
          <w:tcPr>
            <w:tcW w:w="2510" w:type="dxa"/>
          </w:tcPr>
          <w:p w:rsidR="004E7552" w:rsidRDefault="009A04A6">
            <w:pPr>
              <w:spacing w:line="560" w:lineRule="exact"/>
              <w:rPr>
                <w:rFonts w:ascii="宋体" w:eastAsia="宋体" w:hAnsi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Calibri"/>
                <w:color w:val="000000"/>
                <w:sz w:val="24"/>
                <w:szCs w:val="24"/>
              </w:rPr>
              <w:t>基金合同生效日</w:t>
            </w:r>
          </w:p>
        </w:tc>
        <w:tc>
          <w:tcPr>
            <w:tcW w:w="7129" w:type="dxa"/>
          </w:tcPr>
          <w:p w:rsidR="004E7552" w:rsidRDefault="009A04A6">
            <w:pPr>
              <w:spacing w:line="560" w:lineRule="exact"/>
              <w:rPr>
                <w:rFonts w:ascii="宋体" w:eastAsia="宋体" w:hAnsi="Calibri"/>
                <w:sz w:val="24"/>
                <w:szCs w:val="24"/>
              </w:rPr>
            </w:pPr>
            <w:r>
              <w:rPr>
                <w:rFonts w:ascii="宋体" w:eastAsia="宋体" w:hAnsi="Calibri"/>
                <w:sz w:val="24"/>
                <w:szCs w:val="24"/>
              </w:rPr>
              <w:t>2021</w:t>
            </w:r>
            <w:r>
              <w:rPr>
                <w:rFonts w:ascii="宋体" w:eastAsia="宋体" w:hAnsi="Calibri"/>
                <w:sz w:val="24"/>
                <w:szCs w:val="24"/>
              </w:rPr>
              <w:t>年</w:t>
            </w:r>
            <w:r>
              <w:rPr>
                <w:rFonts w:ascii="宋体" w:eastAsia="宋体" w:hAnsi="Calibri"/>
                <w:sz w:val="24"/>
                <w:szCs w:val="24"/>
              </w:rPr>
              <w:t>11</w:t>
            </w:r>
            <w:r>
              <w:rPr>
                <w:rFonts w:ascii="宋体" w:eastAsia="宋体" w:hAnsi="Calibri"/>
                <w:sz w:val="24"/>
                <w:szCs w:val="24"/>
              </w:rPr>
              <w:t>月</w:t>
            </w:r>
            <w:r>
              <w:rPr>
                <w:rFonts w:ascii="宋体" w:eastAsia="宋体" w:hAnsi="Calibri"/>
                <w:sz w:val="24"/>
                <w:szCs w:val="24"/>
              </w:rPr>
              <w:t>22</w:t>
            </w:r>
            <w:r>
              <w:rPr>
                <w:rFonts w:ascii="宋体" w:eastAsia="宋体" w:hAnsi="Calibri"/>
                <w:sz w:val="24"/>
                <w:szCs w:val="24"/>
              </w:rPr>
              <w:t>日</w:t>
            </w:r>
          </w:p>
        </w:tc>
      </w:tr>
      <w:tr w:rsidR="004E7552">
        <w:trPr>
          <w:jc w:val="center"/>
        </w:trPr>
        <w:tc>
          <w:tcPr>
            <w:tcW w:w="2510" w:type="dxa"/>
          </w:tcPr>
          <w:p w:rsidR="004E7552" w:rsidRDefault="009A04A6">
            <w:pPr>
              <w:spacing w:line="560" w:lineRule="exact"/>
              <w:rPr>
                <w:rFonts w:ascii="宋体" w:eastAsia="宋体" w:hAnsi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Calibri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7129" w:type="dxa"/>
          </w:tcPr>
          <w:p w:rsidR="004E7552" w:rsidRDefault="009A04A6">
            <w:pPr>
              <w:spacing w:line="560" w:lineRule="exact"/>
              <w:rPr>
                <w:rFonts w:ascii="宋体" w:eastAsia="宋体" w:hAnsi="Calibri"/>
                <w:sz w:val="24"/>
                <w:szCs w:val="24"/>
              </w:rPr>
            </w:pPr>
            <w:r>
              <w:rPr>
                <w:rFonts w:ascii="宋体" w:eastAsia="宋体" w:hAnsi="Calibri"/>
                <w:sz w:val="24"/>
                <w:szCs w:val="24"/>
              </w:rPr>
              <w:t>华泰证券（上海）资产管理有限公司</w:t>
            </w:r>
          </w:p>
        </w:tc>
      </w:tr>
      <w:tr w:rsidR="004E7552">
        <w:trPr>
          <w:jc w:val="center"/>
        </w:trPr>
        <w:tc>
          <w:tcPr>
            <w:tcW w:w="2510" w:type="dxa"/>
          </w:tcPr>
          <w:p w:rsidR="004E7552" w:rsidRDefault="009A04A6">
            <w:pPr>
              <w:spacing w:line="560" w:lineRule="exact"/>
              <w:rPr>
                <w:rFonts w:ascii="宋体" w:eastAsia="宋体" w:hAnsi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Calibri"/>
                <w:color w:val="000000"/>
                <w:sz w:val="24"/>
                <w:szCs w:val="24"/>
              </w:rPr>
              <w:t>基金托管人名称</w:t>
            </w:r>
          </w:p>
        </w:tc>
        <w:tc>
          <w:tcPr>
            <w:tcW w:w="7129" w:type="dxa"/>
            <w:vAlign w:val="center"/>
          </w:tcPr>
          <w:p w:rsidR="004E7552" w:rsidRDefault="009A04A6">
            <w:pPr>
              <w:spacing w:line="560" w:lineRule="exact"/>
              <w:rPr>
                <w:rFonts w:ascii="宋体" w:eastAsia="宋体" w:hAnsi="Calibri"/>
                <w:sz w:val="24"/>
                <w:szCs w:val="24"/>
              </w:rPr>
            </w:pPr>
            <w:r>
              <w:rPr>
                <w:rFonts w:ascii="宋体" w:eastAsia="宋体" w:hAnsi="Calibri" w:hint="eastAsia"/>
                <w:sz w:val="24"/>
                <w:szCs w:val="24"/>
              </w:rPr>
              <w:t>中国证券登记结算有限责任公司</w:t>
            </w:r>
          </w:p>
        </w:tc>
      </w:tr>
      <w:tr w:rsidR="004E7552">
        <w:trPr>
          <w:jc w:val="center"/>
        </w:trPr>
        <w:tc>
          <w:tcPr>
            <w:tcW w:w="2510" w:type="dxa"/>
          </w:tcPr>
          <w:p w:rsidR="004E7552" w:rsidRDefault="009A04A6">
            <w:pPr>
              <w:spacing w:line="560" w:lineRule="exact"/>
              <w:rPr>
                <w:rFonts w:ascii="宋体" w:eastAsia="宋体" w:hAnsi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Calibri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7129" w:type="dxa"/>
            <w:vAlign w:val="center"/>
          </w:tcPr>
          <w:p w:rsidR="004E7552" w:rsidRDefault="009A04A6">
            <w:pPr>
              <w:spacing w:line="560" w:lineRule="exact"/>
              <w:rPr>
                <w:rFonts w:ascii="宋体" w:eastAsia="宋体" w:hAnsi="Calibri"/>
                <w:sz w:val="24"/>
                <w:szCs w:val="24"/>
              </w:rPr>
            </w:pPr>
            <w:r>
              <w:rPr>
                <w:rFonts w:ascii="宋体" w:eastAsia="宋体" w:hAnsi="Calibri" w:hint="eastAsia"/>
                <w:sz w:val="24"/>
                <w:szCs w:val="24"/>
              </w:rPr>
              <w:t>《公开募集证券投资基金信息披露管理办法》、</w:t>
            </w:r>
            <w:r>
              <w:rPr>
                <w:rFonts w:ascii="宋体" w:eastAsia="宋体" w:hAnsi="Calibri"/>
                <w:sz w:val="24"/>
                <w:szCs w:val="24"/>
              </w:rPr>
              <w:t>《华泰紫金天天发货币市场基金基金合同》、《华泰紫金天天发货币市场基金招募说明书》及其更新。</w:t>
            </w:r>
          </w:p>
        </w:tc>
      </w:tr>
      <w:tr w:rsidR="004E7552">
        <w:trPr>
          <w:jc w:val="center"/>
        </w:trPr>
        <w:tc>
          <w:tcPr>
            <w:tcW w:w="2510" w:type="dxa"/>
            <w:vAlign w:val="center"/>
          </w:tcPr>
          <w:p w:rsidR="004E7552" w:rsidRDefault="009A04A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管理费下调起始日期</w:t>
            </w:r>
          </w:p>
        </w:tc>
        <w:tc>
          <w:tcPr>
            <w:tcW w:w="7129" w:type="dxa"/>
            <w:vAlign w:val="center"/>
          </w:tcPr>
          <w:p w:rsidR="004E7552" w:rsidRDefault="009A04A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24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4E7552">
        <w:trPr>
          <w:jc w:val="center"/>
        </w:trPr>
        <w:tc>
          <w:tcPr>
            <w:tcW w:w="2510" w:type="dxa"/>
            <w:vAlign w:val="center"/>
          </w:tcPr>
          <w:p w:rsidR="004E7552" w:rsidRDefault="009A04A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管理费恢复起始日期</w:t>
            </w:r>
          </w:p>
        </w:tc>
        <w:tc>
          <w:tcPr>
            <w:tcW w:w="7129" w:type="dxa"/>
            <w:vAlign w:val="center"/>
          </w:tcPr>
          <w:p w:rsidR="004E7552" w:rsidRDefault="009A04A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25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4E7552">
        <w:trPr>
          <w:jc w:val="center"/>
        </w:trPr>
        <w:tc>
          <w:tcPr>
            <w:tcW w:w="2510" w:type="dxa"/>
            <w:vAlign w:val="center"/>
          </w:tcPr>
          <w:p w:rsidR="004E7552" w:rsidRDefault="009A04A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调整原因</w:t>
            </w:r>
          </w:p>
        </w:tc>
        <w:tc>
          <w:tcPr>
            <w:tcW w:w="7129" w:type="dxa"/>
            <w:vAlign w:val="center"/>
          </w:tcPr>
          <w:p w:rsidR="004E7552" w:rsidRDefault="009A04A6">
            <w:pPr>
              <w:autoSpaceDE w:val="0"/>
              <w:autoSpaceDN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根据本基金《基金合同》和《招募说明书》中关于管理费的相关约定：“本基金的管理费按前一日基金资产净值的</w:t>
            </w:r>
            <w:r>
              <w:rPr>
                <w:rFonts w:ascii="宋体" w:eastAsia="宋体" w:hAnsi="宋体" w:cs="宋体"/>
                <w:sz w:val="24"/>
                <w:szCs w:val="24"/>
              </w:rPr>
              <w:t>0.90%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年费率计提。如果以</w:t>
            </w:r>
            <w:r>
              <w:rPr>
                <w:rFonts w:ascii="宋体" w:eastAsia="宋体" w:hAnsi="宋体" w:cs="宋体"/>
                <w:sz w:val="24"/>
                <w:szCs w:val="24"/>
              </w:rPr>
              <w:t>0.90%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的管理费计算的七日年化暂估收益率小于或等于</w:t>
            </w: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倍活期存款利率，基金管理人将调整管理费为</w:t>
            </w:r>
            <w:r>
              <w:rPr>
                <w:rFonts w:ascii="宋体" w:eastAsia="宋体" w:hAnsi="宋体" w:cs="宋体"/>
                <w:sz w:val="24"/>
                <w:szCs w:val="24"/>
              </w:rPr>
              <w:t>0.25%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，以降低每万份基金暂估净收益为负并引发销售机构交收透支的风险，直至该类风险消除，基金管理人方可恢复计提</w:t>
            </w:r>
            <w:r>
              <w:rPr>
                <w:rFonts w:ascii="宋体" w:eastAsia="宋体" w:hAnsi="宋体" w:cs="宋体"/>
                <w:sz w:val="24"/>
                <w:szCs w:val="24"/>
              </w:rPr>
              <w:t>0.90%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的管理费。”</w:t>
            </w:r>
          </w:p>
          <w:p w:rsidR="004E7552" w:rsidRDefault="009A04A6">
            <w:pPr>
              <w:autoSpaceDE w:val="0"/>
              <w:autoSpaceDN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2026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</w:rPr>
              <w:t>24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日出现上述情形，故管理人下调管理费为</w:t>
            </w:r>
            <w:r>
              <w:rPr>
                <w:rFonts w:ascii="宋体" w:eastAsia="宋体" w:hAnsi="宋体" w:cs="宋体"/>
                <w:sz w:val="24"/>
                <w:szCs w:val="24"/>
              </w:rPr>
              <w:t>0.25%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:rsidR="004E7552" w:rsidRDefault="009A04A6">
            <w:pPr>
              <w:autoSpaceDE w:val="0"/>
              <w:autoSpaceDN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2026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日上述情况已消除，故管理人恢复管理费为</w:t>
            </w:r>
            <w:r>
              <w:rPr>
                <w:rFonts w:ascii="宋体" w:eastAsia="宋体" w:hAnsi="宋体" w:cs="宋体"/>
                <w:sz w:val="24"/>
                <w:szCs w:val="24"/>
              </w:rPr>
              <w:t>0.90%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</w:tr>
    </w:tbl>
    <w:p w:rsidR="004E7552" w:rsidRDefault="009A04A6">
      <w:pPr>
        <w:pStyle w:val="Heading2"/>
        <w:spacing w:line="560" w:lineRule="exact"/>
        <w:rPr>
          <w:rFonts w:ascii="宋体" w:eastAsia="宋体" w:hAnsi="Calibri"/>
          <w:sz w:val="24"/>
          <w:szCs w:val="24"/>
        </w:rPr>
      </w:pPr>
      <w:bookmarkStart w:id="2" w:name="_Toc275961423"/>
      <w:r>
        <w:rPr>
          <w:rFonts w:ascii="宋体" w:eastAsia="宋体" w:hAnsi="Calibri"/>
          <w:bCs w:val="0"/>
          <w:color w:val="000000"/>
          <w:sz w:val="24"/>
          <w:szCs w:val="24"/>
        </w:rPr>
        <w:lastRenderedPageBreak/>
        <w:t xml:space="preserve">2 </w:t>
      </w:r>
      <w:bookmarkStart w:id="3" w:name="_Toc275961424"/>
      <w:bookmarkEnd w:id="2"/>
      <w:r>
        <w:rPr>
          <w:rFonts w:ascii="宋体" w:eastAsia="宋体" w:hAnsi="Calibri"/>
          <w:bCs w:val="0"/>
          <w:color w:val="000000"/>
          <w:sz w:val="24"/>
          <w:szCs w:val="24"/>
        </w:rPr>
        <w:t>其他需要提示的事项</w:t>
      </w:r>
      <w:bookmarkEnd w:id="3"/>
    </w:p>
    <w:p w:rsidR="004E7552" w:rsidRDefault="009A04A6">
      <w:pPr>
        <w:spacing w:line="360" w:lineRule="auto"/>
        <w:ind w:firstLineChars="200" w:firstLine="480"/>
        <w:rPr>
          <w:rFonts w:ascii="宋体" w:eastAsia="宋体" w:hAnsi="Calibri"/>
          <w:sz w:val="24"/>
          <w:szCs w:val="24"/>
        </w:rPr>
      </w:pPr>
      <w:r>
        <w:rPr>
          <w:rFonts w:ascii="宋体" w:eastAsia="宋体" w:hAnsi="Calibri"/>
          <w:sz w:val="24"/>
          <w:szCs w:val="24"/>
        </w:rPr>
        <w:t>投资者可通过下列渠道了解相关信息</w:t>
      </w:r>
      <w:r>
        <w:rPr>
          <w:rFonts w:ascii="宋体" w:eastAsia="宋体" w:hAnsi="Calibri" w:hint="eastAsia"/>
          <w:sz w:val="24"/>
          <w:szCs w:val="24"/>
        </w:rPr>
        <w:t>：</w:t>
      </w:r>
    </w:p>
    <w:p w:rsidR="004E7552" w:rsidRDefault="009A04A6">
      <w:pPr>
        <w:spacing w:line="360" w:lineRule="auto"/>
        <w:ind w:firstLineChars="200" w:firstLine="480"/>
        <w:rPr>
          <w:rFonts w:ascii="宋体" w:eastAsia="宋体" w:hAnsi="Calibri"/>
          <w:sz w:val="24"/>
          <w:szCs w:val="24"/>
        </w:rPr>
      </w:pPr>
      <w:r>
        <w:rPr>
          <w:rFonts w:ascii="宋体" w:eastAsia="宋体" w:hAnsi="Calibri"/>
          <w:sz w:val="24"/>
          <w:szCs w:val="24"/>
        </w:rPr>
        <w:t>1</w:t>
      </w:r>
      <w:r>
        <w:rPr>
          <w:rFonts w:ascii="宋体" w:eastAsia="宋体" w:hAnsi="Calibri" w:hint="eastAsia"/>
          <w:sz w:val="24"/>
          <w:szCs w:val="24"/>
        </w:rPr>
        <w:t>、</w:t>
      </w:r>
      <w:r>
        <w:rPr>
          <w:rFonts w:ascii="宋体" w:eastAsia="宋体" w:hAnsi="Calibri"/>
          <w:sz w:val="24"/>
          <w:szCs w:val="24"/>
        </w:rPr>
        <w:t>华泰证券</w:t>
      </w:r>
      <w:r>
        <w:rPr>
          <w:rFonts w:ascii="宋体" w:eastAsia="宋体" w:hAnsi="Calibri" w:hint="eastAsia"/>
          <w:sz w:val="24"/>
          <w:szCs w:val="24"/>
        </w:rPr>
        <w:t>（上海）</w:t>
      </w:r>
      <w:r>
        <w:rPr>
          <w:rFonts w:ascii="宋体" w:eastAsia="宋体" w:hAnsi="Calibri"/>
          <w:sz w:val="24"/>
          <w:szCs w:val="24"/>
        </w:rPr>
        <w:t>资产管理有限公司网站：</w:t>
      </w:r>
      <w:r>
        <w:rPr>
          <w:rFonts w:ascii="宋体" w:eastAsia="宋体" w:hAnsi="Calibri"/>
          <w:sz w:val="24"/>
          <w:szCs w:val="24"/>
        </w:rPr>
        <w:t>https://www.htscamc.com</w:t>
      </w:r>
      <w:r>
        <w:rPr>
          <w:rFonts w:ascii="宋体" w:eastAsia="宋体" w:hAnsi="Calibri"/>
          <w:sz w:val="24"/>
          <w:szCs w:val="24"/>
        </w:rPr>
        <w:t>；</w:t>
      </w:r>
    </w:p>
    <w:p w:rsidR="004E7552" w:rsidRDefault="009A04A6">
      <w:pPr>
        <w:spacing w:line="360" w:lineRule="auto"/>
        <w:ind w:firstLineChars="200" w:firstLine="480"/>
        <w:rPr>
          <w:rFonts w:ascii="宋体" w:eastAsia="宋体" w:hAnsi="Calibri"/>
          <w:sz w:val="24"/>
          <w:szCs w:val="24"/>
        </w:rPr>
      </w:pPr>
      <w:r>
        <w:rPr>
          <w:rFonts w:ascii="宋体" w:eastAsia="宋体" w:hAnsi="Calibri" w:hint="eastAsia"/>
          <w:sz w:val="24"/>
          <w:szCs w:val="24"/>
        </w:rPr>
        <w:t>2</w:t>
      </w:r>
      <w:r>
        <w:rPr>
          <w:rFonts w:ascii="宋体" w:eastAsia="宋体" w:hAnsi="Calibri" w:hint="eastAsia"/>
          <w:sz w:val="24"/>
          <w:szCs w:val="24"/>
        </w:rPr>
        <w:t>、</w:t>
      </w:r>
      <w:r>
        <w:rPr>
          <w:rFonts w:ascii="宋体" w:eastAsia="宋体" w:hAnsi="Calibri"/>
          <w:sz w:val="24"/>
          <w:szCs w:val="24"/>
        </w:rPr>
        <w:t>华泰证券</w:t>
      </w:r>
      <w:r>
        <w:rPr>
          <w:rFonts w:ascii="宋体" w:eastAsia="宋体" w:hAnsi="Calibri" w:hint="eastAsia"/>
          <w:sz w:val="24"/>
          <w:szCs w:val="24"/>
        </w:rPr>
        <w:t>（上海）</w:t>
      </w:r>
      <w:r>
        <w:rPr>
          <w:rFonts w:ascii="宋体" w:eastAsia="宋体" w:hAnsi="Calibri"/>
          <w:sz w:val="24"/>
          <w:szCs w:val="24"/>
        </w:rPr>
        <w:t>资产管理有限公司客户服务热线：</w:t>
      </w:r>
      <w:r>
        <w:rPr>
          <w:rFonts w:ascii="宋体" w:eastAsia="宋体" w:hAnsi="Calibri"/>
          <w:sz w:val="24"/>
          <w:szCs w:val="24"/>
        </w:rPr>
        <w:t>4008895597</w:t>
      </w:r>
      <w:r>
        <w:rPr>
          <w:rFonts w:ascii="宋体" w:eastAsia="宋体" w:hAnsi="Calibri"/>
          <w:sz w:val="24"/>
          <w:szCs w:val="24"/>
        </w:rPr>
        <w:t>；</w:t>
      </w:r>
    </w:p>
    <w:p w:rsidR="004E7552" w:rsidRDefault="009A04A6">
      <w:pPr>
        <w:spacing w:line="360" w:lineRule="auto"/>
        <w:ind w:firstLineChars="200" w:firstLine="480"/>
        <w:rPr>
          <w:rFonts w:ascii="宋体" w:eastAsia="宋体" w:hAnsi="Calibri"/>
          <w:sz w:val="24"/>
          <w:szCs w:val="24"/>
        </w:rPr>
      </w:pPr>
      <w:r>
        <w:rPr>
          <w:rFonts w:ascii="宋体" w:eastAsia="宋体" w:hAnsi="Calibri"/>
          <w:sz w:val="24"/>
          <w:szCs w:val="24"/>
        </w:rPr>
        <w:t>3</w:t>
      </w:r>
      <w:r>
        <w:rPr>
          <w:rFonts w:ascii="宋体" w:eastAsia="宋体" w:hAnsi="Calibri"/>
          <w:sz w:val="24"/>
          <w:szCs w:val="24"/>
        </w:rPr>
        <w:t>、本</w:t>
      </w:r>
      <w:r>
        <w:rPr>
          <w:rFonts w:ascii="宋体" w:eastAsia="宋体" w:hAnsi="Calibri" w:hint="eastAsia"/>
          <w:sz w:val="24"/>
          <w:szCs w:val="24"/>
        </w:rPr>
        <w:t>基金</w:t>
      </w:r>
      <w:r>
        <w:rPr>
          <w:rFonts w:ascii="宋体" w:eastAsia="宋体" w:hAnsi="Calibri"/>
          <w:sz w:val="24"/>
          <w:szCs w:val="24"/>
        </w:rPr>
        <w:t>销售机构：华泰证券股份有限公司。</w:t>
      </w:r>
    </w:p>
    <w:p w:rsidR="004E7552" w:rsidRDefault="004E7552">
      <w:pPr>
        <w:spacing w:line="360" w:lineRule="auto"/>
        <w:ind w:firstLineChars="200" w:firstLine="480"/>
        <w:rPr>
          <w:rFonts w:ascii="宋体" w:eastAsia="宋体" w:hAnsi="Calibri"/>
          <w:sz w:val="24"/>
          <w:szCs w:val="24"/>
        </w:rPr>
      </w:pPr>
    </w:p>
    <w:p w:rsidR="004E7552" w:rsidRDefault="009A04A6">
      <w:pPr>
        <w:spacing w:line="360" w:lineRule="auto"/>
        <w:ind w:firstLineChars="200" w:firstLine="480"/>
        <w:rPr>
          <w:rFonts w:ascii="宋体" w:eastAsia="宋体" w:hAnsi="Calibri"/>
          <w:sz w:val="24"/>
          <w:szCs w:val="24"/>
        </w:rPr>
      </w:pPr>
      <w:r>
        <w:rPr>
          <w:rFonts w:ascii="宋体" w:eastAsia="宋体" w:hAnsi="Calibri"/>
          <w:sz w:val="24"/>
          <w:szCs w:val="24"/>
        </w:rPr>
        <w:t>风险提示：本基金管理人承诺以诚实信用、勤勉尽责的原则管理和运用基金资产，但不保证基金一定盈利，也不保证最低收益。基金的过往业绩并不预示其未来业绩表现</w:t>
      </w:r>
      <w:r>
        <w:rPr>
          <w:rFonts w:ascii="宋体" w:eastAsia="宋体" w:hAnsi="Calibri" w:hint="eastAsia"/>
          <w:sz w:val="24"/>
          <w:szCs w:val="24"/>
        </w:rPr>
        <w:t>，</w:t>
      </w:r>
      <w:r>
        <w:rPr>
          <w:rFonts w:ascii="宋体" w:eastAsia="宋体" w:hAnsi="Calibri"/>
          <w:sz w:val="24"/>
          <w:szCs w:val="24"/>
        </w:rPr>
        <w:t>基金</w:t>
      </w:r>
      <w:r>
        <w:rPr>
          <w:rFonts w:ascii="宋体" w:eastAsia="宋体" w:hAnsi="Calibri"/>
          <w:sz w:val="24"/>
          <w:szCs w:val="24"/>
        </w:rPr>
        <w:t>管理人管理的其他基金的业绩不构成对本基金业绩表现的保证。投资有风险，敬请投资者在投资基金前认真阅读基金合同、招募说明书、基金产品资料概要等基金法律文件，了解基金的风险收益特征，并根据自身的风险承受能力选择适合自己的基金产品。敬请投资者在购买基金前认真考虑、谨慎决策。</w:t>
      </w:r>
    </w:p>
    <w:p w:rsidR="004E7552" w:rsidRDefault="004E7552">
      <w:pPr>
        <w:spacing w:line="360" w:lineRule="auto"/>
        <w:ind w:firstLineChars="200" w:firstLine="480"/>
        <w:rPr>
          <w:rFonts w:ascii="宋体" w:eastAsia="宋体" w:hAnsi="Calibri"/>
          <w:sz w:val="24"/>
          <w:szCs w:val="24"/>
        </w:rPr>
      </w:pPr>
    </w:p>
    <w:p w:rsidR="004E7552" w:rsidRDefault="009A04A6">
      <w:pPr>
        <w:spacing w:line="360" w:lineRule="auto"/>
        <w:ind w:firstLineChars="200" w:firstLine="480"/>
        <w:jc w:val="right"/>
        <w:rPr>
          <w:rFonts w:ascii="宋体" w:eastAsia="宋体" w:hAnsi="Calibri"/>
          <w:sz w:val="24"/>
          <w:szCs w:val="24"/>
        </w:rPr>
      </w:pPr>
      <w:r>
        <w:rPr>
          <w:rFonts w:ascii="宋体" w:eastAsia="宋体" w:hAnsi="Calibri" w:hint="eastAsia"/>
          <w:sz w:val="24"/>
          <w:szCs w:val="24"/>
        </w:rPr>
        <w:t>华泰证券（上海）资产管理有限公司</w:t>
      </w:r>
    </w:p>
    <w:p w:rsidR="004E7552" w:rsidRDefault="009A04A6">
      <w:pPr>
        <w:spacing w:line="360" w:lineRule="auto"/>
        <w:ind w:firstLineChars="200" w:firstLine="480"/>
        <w:jc w:val="right"/>
        <w:rPr>
          <w:rFonts w:ascii="宋体" w:eastAsia="宋体" w:hAnsi="Calibri"/>
          <w:sz w:val="24"/>
          <w:szCs w:val="24"/>
        </w:rPr>
      </w:pPr>
      <w:r>
        <w:rPr>
          <w:rFonts w:ascii="宋体" w:eastAsia="宋体" w:hAnsi="Calibri" w:hint="eastAsia"/>
          <w:sz w:val="24"/>
          <w:szCs w:val="24"/>
        </w:rPr>
        <w:t>2026</w:t>
      </w:r>
      <w:r>
        <w:rPr>
          <w:rFonts w:ascii="宋体" w:eastAsia="宋体" w:hAnsi="Calibri" w:hint="eastAsia"/>
          <w:sz w:val="24"/>
          <w:szCs w:val="24"/>
        </w:rPr>
        <w:t>年</w:t>
      </w:r>
      <w:r>
        <w:rPr>
          <w:rFonts w:ascii="宋体" w:eastAsia="宋体" w:hAnsi="Calibri"/>
          <w:sz w:val="24"/>
          <w:szCs w:val="24"/>
        </w:rPr>
        <w:t>4</w:t>
      </w:r>
      <w:r>
        <w:rPr>
          <w:rFonts w:ascii="宋体" w:eastAsia="宋体" w:hAnsi="Calibri" w:hint="eastAsia"/>
          <w:sz w:val="24"/>
          <w:szCs w:val="24"/>
        </w:rPr>
        <w:t>月</w:t>
      </w:r>
      <w:r>
        <w:rPr>
          <w:rFonts w:ascii="宋体" w:eastAsia="宋体" w:hAnsi="Calibri"/>
          <w:sz w:val="24"/>
          <w:szCs w:val="24"/>
        </w:rPr>
        <w:t>25</w:t>
      </w:r>
      <w:r>
        <w:rPr>
          <w:rFonts w:ascii="宋体" w:eastAsia="宋体" w:hAnsi="Calibri" w:hint="eastAsia"/>
          <w:sz w:val="24"/>
          <w:szCs w:val="24"/>
        </w:rPr>
        <w:t>日</w:t>
      </w:r>
    </w:p>
    <w:sectPr w:rsidR="004E7552" w:rsidSect="004E7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552" w:rsidRDefault="009A04A6">
      <w:r>
        <w:separator/>
      </w:r>
    </w:p>
  </w:endnote>
  <w:endnote w:type="continuationSeparator" w:id="0">
    <w:p w:rsidR="004E7552" w:rsidRDefault="009A0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552" w:rsidRDefault="009A04A6">
      <w:r>
        <w:separator/>
      </w:r>
    </w:p>
  </w:footnote>
  <w:footnote w:type="continuationSeparator" w:id="0">
    <w:p w:rsidR="004E7552" w:rsidRDefault="009A04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</w:compat>
  <w:rsids>
    <w:rsidRoot w:val="004E7552"/>
    <w:rsid w:val="004E7552"/>
    <w:rsid w:val="009A0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52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4E7552"/>
    <w:rPr>
      <w:rFonts w:ascii="Arial" w:eastAsia="SimSun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4E7552"/>
    <w:rPr>
      <w:rFonts w:ascii="Arial" w:eastAsia="SimSun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E7552"/>
    <w:pPr>
      <w:keepNext/>
      <w:keepLines/>
      <w:spacing w:before="320" w:after="200"/>
      <w:outlineLvl w:val="2"/>
    </w:pPr>
    <w:rPr>
      <w:rFonts w:ascii="Arial" w:eastAsia="SimSun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E7552"/>
    <w:rPr>
      <w:rFonts w:ascii="Arial" w:eastAsia="SimSun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E7552"/>
    <w:pPr>
      <w:keepNext/>
      <w:keepLines/>
      <w:spacing w:before="320" w:after="200"/>
      <w:outlineLvl w:val="3"/>
    </w:pPr>
    <w:rPr>
      <w:rFonts w:ascii="Arial" w:eastAsia="SimSun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E7552"/>
    <w:rPr>
      <w:rFonts w:ascii="Arial" w:eastAsia="SimSun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E7552"/>
    <w:pPr>
      <w:keepNext/>
      <w:keepLines/>
      <w:spacing w:before="320" w:after="200"/>
      <w:outlineLvl w:val="4"/>
    </w:pPr>
    <w:rPr>
      <w:rFonts w:ascii="Arial" w:eastAsia="SimSun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4E7552"/>
    <w:rPr>
      <w:rFonts w:ascii="Arial" w:eastAsia="SimSun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E7552"/>
    <w:pPr>
      <w:keepNext/>
      <w:keepLines/>
      <w:spacing w:before="320" w:after="200"/>
      <w:outlineLvl w:val="5"/>
    </w:pPr>
    <w:rPr>
      <w:rFonts w:ascii="Arial" w:eastAsia="SimSun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4E7552"/>
    <w:rPr>
      <w:rFonts w:ascii="Arial" w:eastAsia="SimSun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E7552"/>
    <w:pPr>
      <w:keepNext/>
      <w:keepLines/>
      <w:spacing w:before="320" w:after="200"/>
      <w:outlineLvl w:val="6"/>
    </w:pPr>
    <w:rPr>
      <w:rFonts w:ascii="Arial" w:eastAsia="SimSun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4E7552"/>
    <w:rPr>
      <w:rFonts w:ascii="Arial" w:eastAsia="SimSun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E7552"/>
    <w:pPr>
      <w:keepNext/>
      <w:keepLines/>
      <w:spacing w:before="320" w:after="200"/>
      <w:outlineLvl w:val="7"/>
    </w:pPr>
    <w:rPr>
      <w:rFonts w:ascii="Arial" w:eastAsia="SimSun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4E7552"/>
    <w:rPr>
      <w:rFonts w:ascii="Arial" w:eastAsia="SimSun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E7552"/>
    <w:pPr>
      <w:keepNext/>
      <w:keepLines/>
      <w:spacing w:before="320" w:after="200"/>
      <w:outlineLvl w:val="8"/>
    </w:pPr>
    <w:rPr>
      <w:rFonts w:ascii="Arial" w:eastAsia="SimSun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E7552"/>
    <w:rPr>
      <w:rFonts w:ascii="Arial" w:eastAsia="SimSun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E7552"/>
    <w:pPr>
      <w:ind w:left="720"/>
      <w:contextualSpacing/>
    </w:pPr>
  </w:style>
  <w:style w:type="paragraph" w:styleId="a4">
    <w:name w:val="No Spacing"/>
    <w:uiPriority w:val="1"/>
    <w:qFormat/>
    <w:rsid w:val="004E7552"/>
  </w:style>
  <w:style w:type="paragraph" w:styleId="a5">
    <w:name w:val="Title"/>
    <w:basedOn w:val="a"/>
    <w:next w:val="a"/>
    <w:link w:val="Char"/>
    <w:uiPriority w:val="10"/>
    <w:qFormat/>
    <w:rsid w:val="004E7552"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basedOn w:val="a0"/>
    <w:link w:val="a5"/>
    <w:uiPriority w:val="10"/>
    <w:rsid w:val="004E7552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rsid w:val="004E7552"/>
    <w:pPr>
      <w:spacing w:before="200" w:after="200"/>
    </w:pPr>
    <w:rPr>
      <w:sz w:val="24"/>
      <w:szCs w:val="24"/>
    </w:rPr>
  </w:style>
  <w:style w:type="character" w:customStyle="1" w:styleId="Char0">
    <w:name w:val="副标题 Char"/>
    <w:basedOn w:val="a0"/>
    <w:link w:val="a6"/>
    <w:uiPriority w:val="11"/>
    <w:rsid w:val="004E7552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rsid w:val="004E7552"/>
    <w:pPr>
      <w:ind w:left="720" w:right="720"/>
    </w:pPr>
    <w:rPr>
      <w:i/>
    </w:rPr>
  </w:style>
  <w:style w:type="character" w:customStyle="1" w:styleId="Char1">
    <w:name w:val="引用 Char"/>
    <w:link w:val="a7"/>
    <w:uiPriority w:val="29"/>
    <w:rsid w:val="004E7552"/>
    <w:rPr>
      <w:i/>
    </w:rPr>
  </w:style>
  <w:style w:type="paragraph" w:styleId="a8">
    <w:name w:val="Intense Quote"/>
    <w:basedOn w:val="a"/>
    <w:next w:val="a"/>
    <w:link w:val="Char2"/>
    <w:uiPriority w:val="30"/>
    <w:qFormat/>
    <w:rsid w:val="004E755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har2">
    <w:name w:val="明显引用 Char"/>
    <w:link w:val="a8"/>
    <w:uiPriority w:val="30"/>
    <w:rsid w:val="004E7552"/>
    <w:rPr>
      <w:i/>
    </w:rPr>
  </w:style>
  <w:style w:type="character" w:customStyle="1" w:styleId="HeaderChar">
    <w:name w:val="Header Char"/>
    <w:basedOn w:val="a0"/>
    <w:link w:val="Header"/>
    <w:uiPriority w:val="99"/>
    <w:rsid w:val="004E7552"/>
  </w:style>
  <w:style w:type="character" w:customStyle="1" w:styleId="FooterChar">
    <w:name w:val="Footer Char"/>
    <w:basedOn w:val="a0"/>
    <w:link w:val="Footer"/>
    <w:uiPriority w:val="99"/>
    <w:rsid w:val="004E755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E755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E7552"/>
  </w:style>
  <w:style w:type="table" w:styleId="a9">
    <w:name w:val="Table Grid"/>
    <w:basedOn w:val="a1"/>
    <w:uiPriority w:val="59"/>
    <w:rsid w:val="004E75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TableGridLight">
    <w:name w:val="Table Grid Light"/>
    <w:basedOn w:val="a1"/>
    <w:uiPriority w:val="59"/>
    <w:rsid w:val="004E755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1">
    <w:name w:val="Plain Table 1"/>
    <w:basedOn w:val="a1"/>
    <w:uiPriority w:val="59"/>
    <w:rsid w:val="004E755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2">
    <w:name w:val="Plain Table 2"/>
    <w:basedOn w:val="a1"/>
    <w:uiPriority w:val="59"/>
    <w:rsid w:val="004E755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pPr>
        <w:snapToGrid/>
      </w:p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3">
    <w:name w:val="Plain Table 3"/>
    <w:basedOn w:val="a1"/>
    <w:uiPriority w:val="99"/>
    <w:rsid w:val="004E75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>
        <w:snapToGrid/>
      </w:pPr>
      <w:rPr>
        <w:b/>
        <w:caps/>
        <w:color w:val="404040"/>
      </w:rPr>
    </w:tblStylePr>
    <w:tblStylePr w:type="firstCol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>
        <w:snapToGrid/>
      </w:pPr>
      <w:rPr>
        <w:b/>
        <w:caps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4">
    <w:name w:val="Plain Table 4"/>
    <w:basedOn w:val="a1"/>
    <w:uiPriority w:val="99"/>
    <w:rsid w:val="004E75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5">
    <w:name w:val="Plain Table 5"/>
    <w:basedOn w:val="a1"/>
    <w:uiPriority w:val="99"/>
    <w:rsid w:val="004E75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">
    <w:name w:val="Grid Table 1 Light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1">
    <w:name w:val="Grid Table 1 Light - Accent 1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2">
    <w:name w:val="Grid Table 1 Light - Accent 2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3">
    <w:name w:val="Grid Table 1 Light - Accent 3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4">
    <w:name w:val="Grid Table 1 Light - Accent 4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5">
    <w:name w:val="Grid Table 1 Light - Accent 5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6">
    <w:name w:val="Grid Table 1 Light - Accent 6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">
    <w:name w:val="Grid Table 2"/>
    <w:basedOn w:val="a1"/>
    <w:uiPriority w:val="99"/>
    <w:rsid w:val="004E755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1">
    <w:name w:val="Grid Table 2 - Accent 1"/>
    <w:basedOn w:val="a1"/>
    <w:uiPriority w:val="99"/>
    <w:rsid w:val="004E755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2">
    <w:name w:val="Grid Table 2 - Accent 2"/>
    <w:basedOn w:val="a1"/>
    <w:uiPriority w:val="99"/>
    <w:rsid w:val="004E755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3">
    <w:name w:val="Grid Table 2 - Accent 3"/>
    <w:basedOn w:val="a1"/>
    <w:uiPriority w:val="99"/>
    <w:rsid w:val="004E755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4">
    <w:name w:val="Grid Table 2 - Accent 4"/>
    <w:basedOn w:val="a1"/>
    <w:uiPriority w:val="99"/>
    <w:rsid w:val="004E755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5">
    <w:name w:val="Grid Table 2 - Accent 5"/>
    <w:basedOn w:val="a1"/>
    <w:uiPriority w:val="99"/>
    <w:rsid w:val="004E755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6">
    <w:name w:val="Grid Table 2 - Accent 6"/>
    <w:basedOn w:val="a1"/>
    <w:uiPriority w:val="99"/>
    <w:rsid w:val="004E755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">
    <w:name w:val="Grid Table 3"/>
    <w:basedOn w:val="a1"/>
    <w:uiPriority w:val="99"/>
    <w:rsid w:val="004E755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1">
    <w:name w:val="Grid Table 3 - Accent 1"/>
    <w:basedOn w:val="a1"/>
    <w:uiPriority w:val="99"/>
    <w:rsid w:val="004E755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2">
    <w:name w:val="Grid Table 3 - Accent 2"/>
    <w:basedOn w:val="a1"/>
    <w:uiPriority w:val="99"/>
    <w:rsid w:val="004E755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3">
    <w:name w:val="Grid Table 3 - Accent 3"/>
    <w:basedOn w:val="a1"/>
    <w:uiPriority w:val="99"/>
    <w:rsid w:val="004E755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4">
    <w:name w:val="Grid Table 3 - Accent 4"/>
    <w:basedOn w:val="a1"/>
    <w:uiPriority w:val="99"/>
    <w:rsid w:val="004E755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5">
    <w:name w:val="Grid Table 3 - Accent 5"/>
    <w:basedOn w:val="a1"/>
    <w:uiPriority w:val="99"/>
    <w:rsid w:val="004E755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6">
    <w:name w:val="Grid Table 3 - Accent 6"/>
    <w:basedOn w:val="a1"/>
    <w:uiPriority w:val="99"/>
    <w:rsid w:val="004E755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">
    <w:name w:val="Grid Table 4"/>
    <w:basedOn w:val="a1"/>
    <w:uiPriority w:val="59"/>
    <w:rsid w:val="004E755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1">
    <w:name w:val="Grid Table 4 - Accent 1"/>
    <w:basedOn w:val="a1"/>
    <w:uiPriority w:val="59"/>
    <w:rsid w:val="004E755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2">
    <w:name w:val="Grid Table 4 - Accent 2"/>
    <w:basedOn w:val="a1"/>
    <w:uiPriority w:val="59"/>
    <w:rsid w:val="004E755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3">
    <w:name w:val="Grid Table 4 - Accent 3"/>
    <w:basedOn w:val="a1"/>
    <w:uiPriority w:val="59"/>
    <w:rsid w:val="004E755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4">
    <w:name w:val="Grid Table 4 - Accent 4"/>
    <w:basedOn w:val="a1"/>
    <w:uiPriority w:val="59"/>
    <w:rsid w:val="004E755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5">
    <w:name w:val="Grid Table 4 - Accent 5"/>
    <w:basedOn w:val="a1"/>
    <w:uiPriority w:val="59"/>
    <w:rsid w:val="004E755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6">
    <w:name w:val="Grid Table 4 - Accent 6"/>
    <w:basedOn w:val="a1"/>
    <w:uiPriority w:val="59"/>
    <w:rsid w:val="004E755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">
    <w:name w:val="Grid Table 5 Dark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pPr>
        <w:snapToGrid/>
      </w:pPr>
      <w:tblPr/>
      <w:tcPr>
        <w:shd w:val="clear" w:color="FFFFFF" w:fill="8A8A8A" w:themeFill="tex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8A8A8A" w:themeFill="tex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1">
    <w:name w:val="Grid Table 5 Dark- Accent 1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pPr>
        <w:snapToGrid/>
      </w:pPr>
      <w:tblPr/>
      <w:tcPr>
        <w:shd w:val="clear" w:color="FFFFFF" w:fill="AEC4E0" w:themeFill="accen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AEC4E0" w:themeFill="accen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2">
    <w:name w:val="Grid Table 5 Dark - Accent 2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pPr>
        <w:snapToGrid/>
      </w:pPr>
      <w:tblPr/>
      <w:tcPr>
        <w:shd w:val="clear" w:color="FFFFFF" w:fill="E2AEAD" w:themeFill="accent2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2AEAD" w:themeFill="accent2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3">
    <w:name w:val="Grid Table 5 Dark - Accent 3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pPr>
        <w:snapToGrid/>
      </w:pPr>
      <w:tblPr/>
      <w:tcPr>
        <w:shd w:val="clear" w:color="FFFFFF" w:fill="D0DFB2" w:themeFill="accent3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0DFB2" w:themeFill="accent3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4">
    <w:name w:val="Grid Table 5 Dark- Accent 4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pPr>
        <w:snapToGrid/>
      </w:pPr>
      <w:tblPr/>
      <w:tcPr>
        <w:shd w:val="clear" w:color="FFFFFF" w:fill="C4B7D4" w:themeFill="accent4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C4B7D4" w:themeFill="accent4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5">
    <w:name w:val="Grid Table 5 Dark - Accent 5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tblPr/>
      <w:tcPr>
        <w:shd w:val="clear" w:color="FFFFFF" w:fill="ACD8E4" w:themeFill="accent5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ACD8E4" w:themeFill="accent5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6">
    <w:name w:val="Grid Table 5 Dark - Accent 6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tblPr/>
      <w:tcPr>
        <w:shd w:val="clear" w:color="FFFFFF" w:fill="FBCEAA" w:themeFill="accent6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BCEAA" w:themeFill="accent6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">
    <w:name w:val="Grid Table 6 Colorful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b/>
        <w:color w:val="7F7F7F" w:themeColor="text1" w:themeTint="80" w:themeShade="95"/>
      </w:rPr>
    </w:tblStylePr>
    <w:tblStylePr w:type="firstCol">
      <w:pPr>
        <w:snapToGrid/>
      </w:pPr>
      <w:rPr>
        <w:b/>
        <w:color w:val="7F7F7F" w:themeColor="text1" w:themeTint="80" w:themeShade="95"/>
      </w:rPr>
    </w:tblStylePr>
    <w:tblStylePr w:type="lastCol">
      <w:pPr>
        <w:snapToGrid/>
      </w:pPr>
      <w:rPr>
        <w:b/>
        <w:color w:val="7F7F7F" w:themeColor="text1" w:themeTint="80" w:themeShade="95"/>
      </w:rPr>
    </w:tblStylePr>
    <w:tblStylePr w:type="band1Vert">
      <w:pPr>
        <w:snapToGrid/>
      </w:p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1">
    <w:name w:val="Grid Table 6 Colorful - Accent 1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pPr>
        <w:snapToGrid/>
      </w:pPr>
      <w:rPr>
        <w:b/>
        <w:color w:val="A6BFDD" w:themeColor="accent1" w:themeTint="80" w:themeShade="95"/>
      </w:rPr>
    </w:tblStylePr>
    <w:tblStylePr w:type="firstCol">
      <w:pPr>
        <w:snapToGrid/>
      </w:pPr>
      <w:rPr>
        <w:b/>
        <w:color w:val="A6BFDD" w:themeColor="accent1" w:themeTint="80" w:themeShade="95"/>
      </w:rPr>
    </w:tblStylePr>
    <w:tblStylePr w:type="lastCol">
      <w:pPr>
        <w:snapToGrid/>
      </w:pPr>
      <w:rPr>
        <w:b/>
        <w:color w:val="A6BFDD" w:themeColor="accent1" w:themeTint="80" w:themeShade="95"/>
      </w:rPr>
    </w:tblStylePr>
    <w:tblStylePr w:type="band1Vert">
      <w:pPr>
        <w:snapToGrid/>
      </w:p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  <w:rPr>
        <w:rFonts w:ascii="Arial" w:hAnsi="Arial"/>
        <w:color w:val="A6BFDD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2">
    <w:name w:val="Grid Table 6 Colorful - Accent 2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pPr>
        <w:snapToGrid/>
      </w:pPr>
      <w:rPr>
        <w:b/>
        <w:color w:val="D99695" w:themeColor="accent2" w:themeTint="97" w:themeShade="95"/>
      </w:rPr>
    </w:tblStylePr>
    <w:tblStylePr w:type="firstCol">
      <w:pPr>
        <w:snapToGrid/>
      </w:pPr>
      <w:rPr>
        <w:b/>
        <w:color w:val="D99695" w:themeColor="accent2" w:themeTint="97" w:themeShade="95"/>
      </w:rPr>
    </w:tblStylePr>
    <w:tblStylePr w:type="lastCol">
      <w:pPr>
        <w:snapToGrid/>
      </w:pPr>
      <w:rPr>
        <w:b/>
        <w:color w:val="D99695" w:themeColor="accent2" w:themeTint="97" w:themeShade="95"/>
      </w:rPr>
    </w:tblStylePr>
    <w:tblStylePr w:type="band1Vert">
      <w:pPr>
        <w:snapToGrid/>
      </w:p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3">
    <w:name w:val="Grid Table 6 Colorful - Accent 3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pPr>
        <w:snapToGrid/>
      </w:pPr>
      <w:rPr>
        <w:b/>
        <w:color w:val="9ABB59" w:themeColor="accent3" w:themeTint="FE" w:themeShade="95"/>
      </w:rPr>
    </w:tblStylePr>
    <w:tblStylePr w:type="firstCol">
      <w:pPr>
        <w:snapToGrid/>
      </w:pPr>
      <w:rPr>
        <w:b/>
        <w:color w:val="9ABB59" w:themeColor="accent3" w:themeTint="FE" w:themeShade="95"/>
      </w:rPr>
    </w:tblStylePr>
    <w:tblStylePr w:type="lastCol">
      <w:pPr>
        <w:snapToGrid/>
      </w:pPr>
      <w:rPr>
        <w:b/>
        <w:color w:val="9ABB59" w:themeColor="accent3" w:themeTint="FE" w:themeShade="95"/>
      </w:rPr>
    </w:tblStylePr>
    <w:tblStylePr w:type="band1Vert">
      <w:pPr>
        <w:snapToGrid/>
      </w:p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  <w:rPr>
        <w:rFonts w:ascii="Arial" w:hAnsi="Arial"/>
        <w:color w:val="9ABB59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4">
    <w:name w:val="Grid Table 6 Colorful - Accent 4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pPr>
        <w:snapToGrid/>
      </w:pPr>
      <w:rPr>
        <w:b/>
        <w:color w:val="B2A1C6" w:themeColor="accent4" w:themeTint="9A" w:themeShade="95"/>
      </w:rPr>
    </w:tblStylePr>
    <w:tblStylePr w:type="firstCol">
      <w:pPr>
        <w:snapToGrid/>
      </w:pPr>
      <w:rPr>
        <w:b/>
        <w:color w:val="B2A1C6" w:themeColor="accent4" w:themeTint="9A" w:themeShade="95"/>
      </w:rPr>
    </w:tblStylePr>
    <w:tblStylePr w:type="lastCol">
      <w:pPr>
        <w:snapToGrid/>
      </w:pPr>
      <w:rPr>
        <w:b/>
        <w:color w:val="B2A1C6" w:themeColor="accent4" w:themeTint="9A" w:themeShade="95"/>
      </w:rPr>
    </w:tblStylePr>
    <w:tblStylePr w:type="band1Vert">
      <w:pPr>
        <w:snapToGrid/>
      </w:p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5">
    <w:name w:val="Grid Table 6 Colorful - Accent 5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pPr>
        <w:snapToGrid/>
      </w:pPr>
      <w:rPr>
        <w:b/>
        <w:color w:val="266779" w:themeColor="accent5" w:themeShade="95"/>
      </w:rPr>
    </w:tblStylePr>
    <w:tblStylePr w:type="firstCol">
      <w:pPr>
        <w:snapToGrid/>
      </w:pPr>
      <w:rPr>
        <w:b/>
        <w:color w:val="266779" w:themeColor="accent5" w:themeShade="95"/>
      </w:rPr>
    </w:tblStylePr>
    <w:tblStylePr w:type="lastCol">
      <w:pPr>
        <w:snapToGrid/>
      </w:pPr>
      <w:rPr>
        <w:b/>
        <w:color w:val="266779" w:themeColor="accent5" w:themeShade="95"/>
      </w:rPr>
    </w:tblStylePr>
    <w:tblStylePr w:type="band1Vert">
      <w:pPr>
        <w:snapToGrid/>
      </w:p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6">
    <w:name w:val="Grid Table 6 Colorful - Accent 6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pPr>
        <w:snapToGrid/>
      </w:pPr>
      <w:rPr>
        <w:b/>
        <w:color w:val="266779" w:themeColor="accent5" w:themeShade="95"/>
      </w:rPr>
    </w:tblStylePr>
    <w:tblStylePr w:type="firstCol">
      <w:pPr>
        <w:snapToGrid/>
      </w:pPr>
      <w:rPr>
        <w:b/>
        <w:color w:val="266779" w:themeColor="accent5" w:themeShade="95"/>
      </w:rPr>
    </w:tblStylePr>
    <w:tblStylePr w:type="lastCol">
      <w:pPr>
        <w:snapToGrid/>
      </w:pPr>
      <w:rPr>
        <w:b/>
        <w:color w:val="266779" w:themeColor="accent5" w:themeShade="95"/>
      </w:rPr>
    </w:tblStylePr>
    <w:tblStylePr w:type="band1Vert">
      <w:pPr>
        <w:snapToGrid/>
      </w:p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">
    <w:name w:val="Grid Table 7 Colorful"/>
    <w:basedOn w:val="a1"/>
    <w:uiPriority w:val="99"/>
    <w:rsid w:val="004E755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1">
    <w:name w:val="Grid Table 7 Colorful - Accent 1"/>
    <w:basedOn w:val="a1"/>
    <w:uiPriority w:val="99"/>
    <w:rsid w:val="004E755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  <w:rPr>
        <w:rFonts w:ascii="Arial" w:hAnsi="Arial"/>
        <w:color w:val="A6BFDD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2">
    <w:name w:val="Grid Table 7 Colorful - Accent 2"/>
    <w:basedOn w:val="a1"/>
    <w:uiPriority w:val="99"/>
    <w:rsid w:val="004E755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3">
    <w:name w:val="Grid Table 7 Colorful - Accent 3"/>
    <w:basedOn w:val="a1"/>
    <w:uiPriority w:val="99"/>
    <w:rsid w:val="004E755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  <w:rPr>
        <w:rFonts w:ascii="Arial" w:hAnsi="Arial"/>
        <w:color w:val="9ABB59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4">
    <w:name w:val="Grid Table 7 Colorful - Accent 4"/>
    <w:basedOn w:val="a1"/>
    <w:uiPriority w:val="99"/>
    <w:rsid w:val="004E755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5">
    <w:name w:val="Grid Table 7 Colorful - Accent 5"/>
    <w:basedOn w:val="a1"/>
    <w:uiPriority w:val="99"/>
    <w:rsid w:val="004E755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6">
    <w:name w:val="Grid Table 7 Colorful - Accent 6"/>
    <w:basedOn w:val="a1"/>
    <w:uiPriority w:val="99"/>
    <w:rsid w:val="004E755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  <w:rPr>
        <w:rFonts w:ascii="Arial" w:hAnsi="Arial"/>
        <w:color w:val="B15407" w:themeColor="accent6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">
    <w:name w:val="List Table 1 Light"/>
    <w:basedOn w:val="a1"/>
    <w:uiPriority w:val="99"/>
    <w:rsid w:val="004E75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1">
    <w:name w:val="List Table 1 Light - Accent 1"/>
    <w:basedOn w:val="a1"/>
    <w:uiPriority w:val="99"/>
    <w:rsid w:val="004E75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2">
    <w:name w:val="List Table 1 Light - Accent 2"/>
    <w:basedOn w:val="a1"/>
    <w:uiPriority w:val="99"/>
    <w:rsid w:val="004E75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3">
    <w:name w:val="List Table 1 Light - Accent 3"/>
    <w:basedOn w:val="a1"/>
    <w:uiPriority w:val="99"/>
    <w:rsid w:val="004E75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4">
    <w:name w:val="List Table 1 Light - Accent 4"/>
    <w:basedOn w:val="a1"/>
    <w:uiPriority w:val="99"/>
    <w:rsid w:val="004E75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5">
    <w:name w:val="List Table 1 Light - Accent 5"/>
    <w:basedOn w:val="a1"/>
    <w:uiPriority w:val="99"/>
    <w:rsid w:val="004E75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6">
    <w:name w:val="List Table 1 Light - Accent 6"/>
    <w:basedOn w:val="a1"/>
    <w:uiPriority w:val="99"/>
    <w:rsid w:val="004E75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">
    <w:name w:val="List Table 2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1">
    <w:name w:val="List Table 2 - Accent 1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2">
    <w:name w:val="List Table 2 - Accent 2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3">
    <w:name w:val="List Table 2 - Accent 3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4">
    <w:name w:val="List Table 2 - Accent 4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5">
    <w:name w:val="List Table 2 - Accent 5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6">
    <w:name w:val="List Table 2 - Accent 6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">
    <w:name w:val="List Table 3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1">
    <w:name w:val="List Table 3 - Accent 1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2">
    <w:name w:val="List Table 3 - Accent 2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3">
    <w:name w:val="List Table 3 - Accent 3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4">
    <w:name w:val="List Table 3 - Accent 4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5">
    <w:name w:val="List Table 3 - Accent 5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6">
    <w:name w:val="List Table 3 - Accent 6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">
    <w:name w:val="List Table 4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1">
    <w:name w:val="List Table 4 - Accent 1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2">
    <w:name w:val="List Table 4 - Accent 2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3">
    <w:name w:val="List Table 4 - Accent 3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4">
    <w:name w:val="List Table 4 - Accent 4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5">
    <w:name w:val="List Table 4 - Accent 5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6">
    <w:name w:val="List Table 4 - Accent 6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">
    <w:name w:val="List Table 5 Dark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1">
    <w:name w:val="List Table 5 Dark - Accent 1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2">
    <w:name w:val="List Table 5 Dark - Accent 2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3">
    <w:name w:val="List Table 5 Dark - Accent 3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4">
    <w:name w:val="List Table 5 Dark - Accent 4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5">
    <w:name w:val="List Table 5 Dark - Accent 5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6">
    <w:name w:val="List Table 5 Dark - Accent 6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">
    <w:name w:val="List Table 6 Colorful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pPr>
        <w:snapToGrid/>
      </w:pPr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pPr>
        <w:snapToGrid/>
      </w:pPr>
      <w:rPr>
        <w:b/>
        <w:color w:val="000000" w:themeColor="text1"/>
      </w:rPr>
    </w:tblStylePr>
    <w:tblStylePr w:type="lastCol">
      <w:pPr>
        <w:snapToGrid/>
      </w:pPr>
      <w:rPr>
        <w:b/>
        <w:color w:val="000000" w:themeColor="text1"/>
      </w:r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  <w:rPr>
        <w:rFonts w:ascii="Arial" w:hAnsi="Arial"/>
        <w:color w:val="000000" w:themeColor="text1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1">
    <w:name w:val="List Table 6 Colorful - Accent 1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pPr>
        <w:snapToGrid/>
      </w:pPr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pPr>
        <w:snapToGrid/>
      </w:pPr>
      <w:rPr>
        <w:b/>
        <w:color w:val="2A4A71" w:themeColor="accent1" w:themeShade="95"/>
      </w:rPr>
    </w:tblStylePr>
    <w:tblStylePr w:type="lastCol">
      <w:pPr>
        <w:snapToGrid/>
      </w:pPr>
      <w:rPr>
        <w:b/>
        <w:color w:val="2A4A71" w:themeColor="accent1" w:themeShade="95"/>
      </w:r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  <w:rPr>
        <w:rFonts w:ascii="Arial" w:hAnsi="Arial"/>
        <w:color w:val="2A4A71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2">
    <w:name w:val="List Table 6 Colorful - Accent 2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pPr>
        <w:snapToGrid/>
      </w:pPr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pPr>
        <w:snapToGrid/>
      </w:pPr>
      <w:rPr>
        <w:b/>
        <w:color w:val="D99695" w:themeColor="accent2" w:themeTint="97" w:themeShade="95"/>
      </w:rPr>
    </w:tblStylePr>
    <w:tblStylePr w:type="lastCol">
      <w:pPr>
        <w:snapToGrid/>
      </w:pPr>
      <w:rPr>
        <w:b/>
        <w:color w:val="D99695" w:themeColor="accent2" w:themeTint="97" w:themeShade="95"/>
      </w:r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3">
    <w:name w:val="List Table 6 Colorful - Accent 3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pPr>
        <w:snapToGrid/>
      </w:pPr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pPr>
        <w:snapToGrid/>
      </w:pPr>
      <w:rPr>
        <w:b/>
        <w:color w:val="C3D69B" w:themeColor="accent3" w:themeTint="98" w:themeShade="95"/>
      </w:rPr>
    </w:tblStylePr>
    <w:tblStylePr w:type="lastCol">
      <w:pPr>
        <w:snapToGrid/>
      </w:pPr>
      <w:rPr>
        <w:b/>
        <w:color w:val="C3D69B" w:themeColor="accent3" w:themeTint="98" w:themeShade="95"/>
      </w:r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  <w:rPr>
        <w:rFonts w:ascii="Arial" w:hAnsi="Arial"/>
        <w:color w:val="C3D69B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4">
    <w:name w:val="List Table 6 Colorful - Accent 4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pPr>
        <w:snapToGrid/>
      </w:pPr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pPr>
        <w:snapToGrid/>
      </w:pPr>
      <w:rPr>
        <w:b/>
        <w:color w:val="B2A1C6" w:themeColor="accent4" w:themeTint="9A" w:themeShade="95"/>
      </w:rPr>
    </w:tblStylePr>
    <w:tblStylePr w:type="lastCol">
      <w:pPr>
        <w:snapToGrid/>
      </w:pPr>
      <w:rPr>
        <w:b/>
        <w:color w:val="B2A1C6" w:themeColor="accent4" w:themeTint="9A" w:themeShade="95"/>
      </w:r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5">
    <w:name w:val="List Table 6 Colorful - Accent 5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pPr>
        <w:snapToGrid/>
      </w:pPr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pPr>
        <w:snapToGrid/>
      </w:pPr>
      <w:rPr>
        <w:b/>
        <w:color w:val="92CCDC" w:themeColor="accent5" w:themeTint="9A" w:themeShade="95"/>
      </w:rPr>
    </w:tblStylePr>
    <w:tblStylePr w:type="lastCol">
      <w:pPr>
        <w:snapToGrid/>
      </w:pPr>
      <w:rPr>
        <w:b/>
        <w:color w:val="92CCDC" w:themeColor="accent5" w:themeTint="9A" w:themeShade="95"/>
      </w:r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  <w:rPr>
        <w:rFonts w:ascii="Arial" w:hAnsi="Arial"/>
        <w:color w:val="92CCDC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6">
    <w:name w:val="List Table 6 Colorful - Accent 6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pPr>
        <w:snapToGrid/>
      </w:pPr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pPr>
        <w:snapToGrid/>
      </w:pPr>
      <w:rPr>
        <w:b/>
        <w:color w:val="FAC090" w:themeColor="accent6" w:themeTint="98" w:themeShade="95"/>
      </w:rPr>
    </w:tblStylePr>
    <w:tblStylePr w:type="lastCol">
      <w:pPr>
        <w:snapToGrid/>
      </w:pPr>
      <w:rPr>
        <w:b/>
        <w:color w:val="FAC090" w:themeColor="accent6" w:themeTint="98" w:themeShade="95"/>
      </w:r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  <w:rPr>
        <w:rFonts w:ascii="Arial" w:hAnsi="Arial"/>
        <w:color w:val="FAC090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">
    <w:name w:val="List Table 7 Colorful"/>
    <w:basedOn w:val="a1"/>
    <w:uiPriority w:val="99"/>
    <w:rsid w:val="004E755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1">
    <w:name w:val="List Table 7 Colorful - Accent 1"/>
    <w:basedOn w:val="a1"/>
    <w:uiPriority w:val="99"/>
    <w:rsid w:val="004E755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  <w:rPr>
        <w:rFonts w:ascii="Arial" w:hAnsi="Arial"/>
        <w:color w:val="2A4A71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2">
    <w:name w:val="List Table 7 Colorful - Accent 2"/>
    <w:basedOn w:val="a1"/>
    <w:uiPriority w:val="99"/>
    <w:rsid w:val="004E755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3">
    <w:name w:val="List Table 7 Colorful - Accent 3"/>
    <w:basedOn w:val="a1"/>
    <w:uiPriority w:val="99"/>
    <w:rsid w:val="004E755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  <w:rPr>
        <w:rFonts w:ascii="Arial" w:hAnsi="Arial"/>
        <w:color w:val="C3D69B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4">
    <w:name w:val="List Table 7 Colorful - Accent 4"/>
    <w:basedOn w:val="a1"/>
    <w:uiPriority w:val="99"/>
    <w:rsid w:val="004E755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5">
    <w:name w:val="List Table 7 Colorful - Accent 5"/>
    <w:basedOn w:val="a1"/>
    <w:uiPriority w:val="99"/>
    <w:rsid w:val="004E755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  <w:rPr>
        <w:rFonts w:ascii="Arial" w:hAnsi="Arial"/>
        <w:color w:val="92CCDC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6">
    <w:name w:val="List Table 7 Colorful - Accent 6"/>
    <w:basedOn w:val="a1"/>
    <w:uiPriority w:val="99"/>
    <w:rsid w:val="004E755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  <w:rPr>
        <w:rFonts w:ascii="Arial" w:hAnsi="Arial"/>
        <w:color w:val="FAC090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">
    <w:name w:val="Lined - Accent"/>
    <w:basedOn w:val="a1"/>
    <w:uiPriority w:val="99"/>
    <w:rsid w:val="004E755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1">
    <w:name w:val="Lined - Accent 1"/>
    <w:basedOn w:val="a1"/>
    <w:uiPriority w:val="99"/>
    <w:rsid w:val="004E755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2">
    <w:name w:val="Lined - Accent 2"/>
    <w:basedOn w:val="a1"/>
    <w:uiPriority w:val="99"/>
    <w:rsid w:val="004E755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3">
    <w:name w:val="Lined - Accent 3"/>
    <w:basedOn w:val="a1"/>
    <w:uiPriority w:val="99"/>
    <w:rsid w:val="004E755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4">
    <w:name w:val="Lined - Accent 4"/>
    <w:basedOn w:val="a1"/>
    <w:uiPriority w:val="99"/>
    <w:rsid w:val="004E755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5">
    <w:name w:val="Lined - Accent 5"/>
    <w:basedOn w:val="a1"/>
    <w:uiPriority w:val="99"/>
    <w:rsid w:val="004E755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6">
    <w:name w:val="Lined - Accent 6"/>
    <w:basedOn w:val="a1"/>
    <w:uiPriority w:val="99"/>
    <w:rsid w:val="004E755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">
    <w:name w:val="Bordered &amp; Lined - Accent"/>
    <w:basedOn w:val="a1"/>
    <w:uiPriority w:val="99"/>
    <w:rsid w:val="004E755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1">
    <w:name w:val="Bordered &amp; Lined - Accent 1"/>
    <w:basedOn w:val="a1"/>
    <w:uiPriority w:val="99"/>
    <w:rsid w:val="004E755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2">
    <w:name w:val="Bordered &amp; Lined - Accent 2"/>
    <w:basedOn w:val="a1"/>
    <w:uiPriority w:val="99"/>
    <w:rsid w:val="004E755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3">
    <w:name w:val="Bordered &amp; Lined - Accent 3"/>
    <w:basedOn w:val="a1"/>
    <w:uiPriority w:val="99"/>
    <w:rsid w:val="004E755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4">
    <w:name w:val="Bordered &amp; Lined - Accent 4"/>
    <w:basedOn w:val="a1"/>
    <w:uiPriority w:val="99"/>
    <w:rsid w:val="004E755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5">
    <w:name w:val="Bordered &amp; Lined - Accent 5"/>
    <w:basedOn w:val="a1"/>
    <w:uiPriority w:val="99"/>
    <w:rsid w:val="004E755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6">
    <w:name w:val="Bordered &amp; Lined - Accent 6"/>
    <w:basedOn w:val="a1"/>
    <w:uiPriority w:val="99"/>
    <w:rsid w:val="004E755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">
    <w:name w:val="Bordered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1">
    <w:name w:val="Bordered - Accent 1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2">
    <w:name w:val="Bordered - Accent 2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3">
    <w:name w:val="Bordered - Accent 3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4">
    <w:name w:val="Bordered - Accent 4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5">
    <w:name w:val="Bordered - Accent 5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6">
    <w:name w:val="Bordered - Accent 6"/>
    <w:basedOn w:val="a1"/>
    <w:uiPriority w:val="99"/>
    <w:rsid w:val="004E755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styleId="aa">
    <w:name w:val="Hyperlink"/>
    <w:uiPriority w:val="99"/>
    <w:unhideWhenUsed/>
    <w:rsid w:val="004E7552"/>
    <w:rPr>
      <w:color w:val="0000FF" w:themeColor="hyperlink"/>
      <w:u w:val="single"/>
    </w:rPr>
  </w:style>
  <w:style w:type="character" w:customStyle="1" w:styleId="FootnoteTextChar">
    <w:name w:val="Footnote Text Char"/>
    <w:link w:val="ab"/>
    <w:uiPriority w:val="99"/>
    <w:rsid w:val="004E7552"/>
    <w:rPr>
      <w:sz w:val="18"/>
    </w:rPr>
  </w:style>
  <w:style w:type="paragraph" w:styleId="ac">
    <w:name w:val="endnote text"/>
    <w:basedOn w:val="a"/>
    <w:link w:val="Char3"/>
    <w:uiPriority w:val="99"/>
    <w:semiHidden/>
    <w:unhideWhenUsed/>
    <w:rsid w:val="004E7552"/>
    <w:rPr>
      <w:sz w:val="20"/>
    </w:rPr>
  </w:style>
  <w:style w:type="character" w:customStyle="1" w:styleId="Char3">
    <w:name w:val="尾注文本 Char"/>
    <w:link w:val="ac"/>
    <w:uiPriority w:val="99"/>
    <w:rsid w:val="004E7552"/>
    <w:rPr>
      <w:sz w:val="20"/>
    </w:rPr>
  </w:style>
  <w:style w:type="character" w:styleId="ad">
    <w:name w:val="endnote reference"/>
    <w:basedOn w:val="a0"/>
    <w:uiPriority w:val="99"/>
    <w:semiHidden/>
    <w:unhideWhenUsed/>
    <w:rsid w:val="004E755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E7552"/>
    <w:pPr>
      <w:spacing w:after="57"/>
    </w:pPr>
  </w:style>
  <w:style w:type="paragraph" w:styleId="2">
    <w:name w:val="toc 2"/>
    <w:basedOn w:val="a"/>
    <w:next w:val="a"/>
    <w:uiPriority w:val="39"/>
    <w:unhideWhenUsed/>
    <w:rsid w:val="004E755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E755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E755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E755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E755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E755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E755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E7552"/>
    <w:pPr>
      <w:spacing w:after="57"/>
      <w:ind w:left="2268"/>
    </w:pPr>
  </w:style>
  <w:style w:type="paragraph" w:styleId="TOC">
    <w:name w:val="TOC Heading"/>
    <w:uiPriority w:val="39"/>
    <w:unhideWhenUsed/>
    <w:rsid w:val="004E7552"/>
  </w:style>
  <w:style w:type="paragraph" w:styleId="ae">
    <w:name w:val="table of figures"/>
    <w:basedOn w:val="a"/>
    <w:next w:val="a"/>
    <w:uiPriority w:val="99"/>
    <w:unhideWhenUsed/>
    <w:rsid w:val="004E7552"/>
  </w:style>
  <w:style w:type="paragraph" w:customStyle="1" w:styleId="Heading1">
    <w:name w:val="Heading 1"/>
    <w:basedOn w:val="a"/>
    <w:next w:val="a"/>
    <w:link w:val="10"/>
    <w:qFormat/>
    <w:rsid w:val="004E7552"/>
    <w:pPr>
      <w:keepNext/>
      <w:keepLines/>
      <w:spacing w:before="340" w:after="330" w:line="578" w:lineRule="auto"/>
      <w:outlineLvl w:val="0"/>
    </w:pPr>
    <w:rPr>
      <w:rFonts w:eastAsia="宋体"/>
      <w:b/>
      <w:bCs/>
      <w:sz w:val="44"/>
      <w:szCs w:val="44"/>
    </w:rPr>
  </w:style>
  <w:style w:type="paragraph" w:customStyle="1" w:styleId="Heading2">
    <w:name w:val="Heading 2"/>
    <w:basedOn w:val="a"/>
    <w:next w:val="a"/>
    <w:link w:val="20"/>
    <w:qFormat/>
    <w:rsid w:val="004E755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customStyle="1" w:styleId="10">
    <w:name w:val="标题 1 字符"/>
    <w:basedOn w:val="a0"/>
    <w:link w:val="Heading1"/>
    <w:rsid w:val="004E7552"/>
    <w:rPr>
      <w:rFonts w:ascii="Times New Roman" w:eastAsia="宋体" w:hAnsi="Times New Roman" w:cs="Times New Roman"/>
      <w:b/>
      <w:bCs/>
      <w:sz w:val="44"/>
      <w:szCs w:val="44"/>
    </w:rPr>
  </w:style>
  <w:style w:type="character" w:customStyle="1" w:styleId="20">
    <w:name w:val="标题 2 字符"/>
    <w:basedOn w:val="a0"/>
    <w:link w:val="Heading2"/>
    <w:rsid w:val="004E7552"/>
    <w:rPr>
      <w:rFonts w:ascii="Arial" w:eastAsia="黑体" w:hAnsi="Arial" w:cs="Times New Roman"/>
      <w:b/>
      <w:bCs/>
      <w:sz w:val="32"/>
      <w:szCs w:val="32"/>
    </w:rPr>
  </w:style>
  <w:style w:type="character" w:styleId="af">
    <w:name w:val="footnote reference"/>
    <w:basedOn w:val="a0"/>
    <w:rsid w:val="004E7552"/>
    <w:rPr>
      <w:vertAlign w:val="superscript"/>
    </w:rPr>
  </w:style>
  <w:style w:type="paragraph" w:styleId="ab">
    <w:name w:val="footnote text"/>
    <w:basedOn w:val="a"/>
    <w:link w:val="Char4"/>
    <w:rsid w:val="004E7552"/>
    <w:pPr>
      <w:snapToGrid w:val="0"/>
      <w:jc w:val="left"/>
    </w:pPr>
    <w:rPr>
      <w:rFonts w:eastAsia="宋体"/>
      <w:sz w:val="18"/>
    </w:rPr>
  </w:style>
  <w:style w:type="character" w:customStyle="1" w:styleId="Char4">
    <w:name w:val="脚注文本 Char"/>
    <w:basedOn w:val="a0"/>
    <w:link w:val="ab"/>
    <w:rsid w:val="004E7552"/>
    <w:rPr>
      <w:rFonts w:ascii="Times New Roman" w:eastAsia="宋体" w:hAnsi="Times New Roman" w:cs="Times New Roman"/>
      <w:sz w:val="18"/>
      <w:szCs w:val="20"/>
    </w:rPr>
  </w:style>
  <w:style w:type="paragraph" w:styleId="af0">
    <w:name w:val="Document Map"/>
    <w:basedOn w:val="a"/>
    <w:link w:val="Char5"/>
    <w:uiPriority w:val="99"/>
    <w:semiHidden/>
    <w:unhideWhenUsed/>
    <w:rsid w:val="004E7552"/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0"/>
    <w:link w:val="af0"/>
    <w:uiPriority w:val="99"/>
    <w:semiHidden/>
    <w:rsid w:val="004E7552"/>
    <w:rPr>
      <w:rFonts w:ascii="宋体" w:eastAsia="宋体" w:hAnsi="Times New Roman" w:cs="Times New Roman"/>
      <w:sz w:val="18"/>
      <w:szCs w:val="18"/>
    </w:rPr>
  </w:style>
  <w:style w:type="paragraph" w:customStyle="1" w:styleId="Header">
    <w:name w:val="Header"/>
    <w:basedOn w:val="a"/>
    <w:link w:val="af1"/>
    <w:uiPriority w:val="99"/>
    <w:unhideWhenUsed/>
    <w:rsid w:val="004E7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Header"/>
    <w:uiPriority w:val="99"/>
    <w:rsid w:val="004E7552"/>
    <w:rPr>
      <w:rFonts w:ascii="Times New Roman" w:eastAsia="方正仿宋简体" w:hAnsi="Times New Roman" w:cs="Times New Roman"/>
      <w:sz w:val="18"/>
      <w:szCs w:val="18"/>
    </w:rPr>
  </w:style>
  <w:style w:type="paragraph" w:customStyle="1" w:styleId="Footer">
    <w:name w:val="Footer"/>
    <w:basedOn w:val="a"/>
    <w:link w:val="af2"/>
    <w:uiPriority w:val="99"/>
    <w:unhideWhenUsed/>
    <w:rsid w:val="004E7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Footer"/>
    <w:uiPriority w:val="99"/>
    <w:rsid w:val="004E7552"/>
    <w:rPr>
      <w:rFonts w:ascii="Times New Roman" w:eastAsia="方正仿宋简体" w:hAnsi="Times New Roman" w:cs="Times New Roman"/>
      <w:sz w:val="18"/>
      <w:szCs w:val="18"/>
    </w:rPr>
  </w:style>
  <w:style w:type="paragraph" w:styleId="af3">
    <w:name w:val="Balloon Text"/>
    <w:basedOn w:val="a"/>
    <w:link w:val="Char6"/>
    <w:uiPriority w:val="99"/>
    <w:semiHidden/>
    <w:unhideWhenUsed/>
    <w:rsid w:val="004E7552"/>
    <w:rPr>
      <w:sz w:val="18"/>
      <w:szCs w:val="18"/>
    </w:rPr>
  </w:style>
  <w:style w:type="character" w:customStyle="1" w:styleId="Char6">
    <w:name w:val="批注框文本 Char"/>
    <w:basedOn w:val="a0"/>
    <w:link w:val="af3"/>
    <w:uiPriority w:val="99"/>
    <w:semiHidden/>
    <w:rsid w:val="004E7552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785</Characters>
  <Application>Microsoft Office Word</Application>
  <DocSecurity>4</DocSecurity>
  <Lines>6</Lines>
  <Paragraphs>1</Paragraphs>
  <ScaleCrop>false</ScaleCrop>
  <Company>微软中国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ZHONGM</cp:lastModifiedBy>
  <cp:revision>2</cp:revision>
  <dcterms:created xsi:type="dcterms:W3CDTF">2026-04-24T16:02:00Z</dcterms:created>
  <dcterms:modified xsi:type="dcterms:W3CDTF">2026-04-24T16:02:00Z</dcterms:modified>
</cp:coreProperties>
</file>