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53E12">
      <w:pPr>
        <w:jc w:val="center"/>
        <w:rPr>
          <w:rFonts w:ascii="黑体" w:eastAsia="黑体" w:hAnsi="黑体" w:hint="eastAsia"/>
          <w:bCs/>
          <w:sz w:val="32"/>
          <w:szCs w:val="32"/>
        </w:rPr>
      </w:pPr>
      <w:r>
        <w:rPr>
          <w:rFonts w:ascii="黑体" w:eastAsia="黑体" w:hAnsi="黑体" w:hint="eastAsia"/>
          <w:bCs/>
          <w:sz w:val="32"/>
          <w:szCs w:val="32"/>
        </w:rPr>
        <w:t>嘉实原油证券投资基金（</w:t>
      </w:r>
      <w:r>
        <w:rPr>
          <w:rFonts w:ascii="黑体" w:eastAsia="黑体" w:hAnsi="黑体" w:hint="eastAsia"/>
          <w:bCs/>
          <w:sz w:val="32"/>
          <w:szCs w:val="32"/>
        </w:rPr>
        <w:t>QDII-LOF</w:t>
      </w:r>
      <w:r>
        <w:rPr>
          <w:rFonts w:ascii="黑体" w:eastAsia="黑体" w:hAnsi="黑体" w:hint="eastAsia"/>
          <w:bCs/>
          <w:sz w:val="32"/>
          <w:szCs w:val="32"/>
        </w:rPr>
        <w:t>）溢价风险提示公告</w:t>
      </w:r>
    </w:p>
    <w:p w:rsidR="00000000" w:rsidRDefault="00D53E12">
      <w:pPr>
        <w:ind w:firstLineChars="200" w:firstLine="420"/>
        <w:rPr>
          <w:rFonts w:hint="eastAsia"/>
        </w:rPr>
      </w:pPr>
    </w:p>
    <w:p w:rsidR="00000000" w:rsidRDefault="00D53E12">
      <w:pPr>
        <w:spacing w:line="360" w:lineRule="auto"/>
        <w:ind w:firstLineChars="200" w:firstLine="420"/>
        <w:rPr>
          <w:rFonts w:ascii="宋体" w:hAnsi="宋体" w:cs="Arial"/>
          <w:b/>
          <w:color w:val="000000"/>
          <w:szCs w:val="21"/>
        </w:rPr>
      </w:pPr>
      <w:r>
        <w:rPr>
          <w:rFonts w:ascii="宋体" w:hAnsi="宋体" w:hint="eastAsia"/>
        </w:rPr>
        <w:t>近期，嘉实基金管理有限公司（以下简称“基金管理人”）旗下嘉实原油证券投资基金（</w:t>
      </w:r>
      <w:r>
        <w:rPr>
          <w:rFonts w:ascii="宋体" w:hAnsi="宋体" w:hint="eastAsia"/>
        </w:rPr>
        <w:t>QDII-LOF</w:t>
      </w:r>
      <w:r>
        <w:rPr>
          <w:rFonts w:ascii="宋体" w:hAnsi="宋体" w:hint="eastAsia"/>
        </w:rPr>
        <w:t>）（基金代码：</w:t>
      </w:r>
      <w:r>
        <w:rPr>
          <w:rFonts w:ascii="宋体" w:hAnsi="宋体"/>
        </w:rPr>
        <w:t>160723</w:t>
      </w:r>
      <w:r>
        <w:rPr>
          <w:rFonts w:ascii="宋体" w:hAnsi="宋体" w:hint="eastAsia"/>
        </w:rPr>
        <w:t>，场内简称：嘉实原油</w:t>
      </w:r>
      <w:r>
        <w:rPr>
          <w:rFonts w:ascii="宋体" w:hAnsi="宋体" w:hint="eastAsia"/>
        </w:rPr>
        <w:t>LOF</w:t>
      </w:r>
      <w:r>
        <w:rPr>
          <w:rFonts w:ascii="宋体" w:hAnsi="宋体" w:hint="eastAsia"/>
        </w:rPr>
        <w:t>，以下简称“本基金”）二级市场交易价格</w:t>
      </w:r>
      <w:r>
        <w:rPr>
          <w:rFonts w:ascii="宋体" w:hAnsi="宋体" w:cs="Arial" w:hint="eastAsia"/>
          <w:color w:val="000000"/>
          <w:szCs w:val="21"/>
        </w:rPr>
        <w:t>高于基金份额净值，出现较大幅度溢价。</w:t>
      </w:r>
      <w:r>
        <w:rPr>
          <w:rFonts w:ascii="宋体" w:hAnsi="宋体" w:cs="Arial" w:hint="eastAsia"/>
          <w:b/>
          <w:color w:val="000000"/>
          <w:szCs w:val="21"/>
        </w:rPr>
        <w:t>特此郑重提醒广大投资者，应密切关注二级市场交易价格的溢价风险，审慎做出投资决策。若投资者盲目以大幅偏离资产实际价值的高溢价买入，后续可能面临二级市场价格回落导致的重大投资损失。</w:t>
      </w:r>
    </w:p>
    <w:p w:rsidR="00000000" w:rsidRDefault="00D53E12">
      <w:pPr>
        <w:spacing w:line="360" w:lineRule="auto"/>
        <w:ind w:firstLineChars="200" w:firstLine="422"/>
        <w:rPr>
          <w:rFonts w:ascii="宋体" w:hAnsi="宋体" w:cs="Arial"/>
          <w:color w:val="000000"/>
          <w:szCs w:val="21"/>
        </w:rPr>
      </w:pPr>
      <w:r>
        <w:rPr>
          <w:rFonts w:ascii="宋体" w:hAnsi="宋体" w:cs="Arial" w:hint="eastAsia"/>
          <w:b/>
          <w:color w:val="000000"/>
          <w:szCs w:val="21"/>
        </w:rPr>
        <w:t>若本基金</w:t>
      </w:r>
      <w:r>
        <w:rPr>
          <w:rFonts w:ascii="宋体" w:hAnsi="宋体" w:cs="Arial" w:hint="eastAsia"/>
          <w:b/>
          <w:color w:val="000000"/>
          <w:szCs w:val="21"/>
        </w:rPr>
        <w:t>2026</w:t>
      </w:r>
      <w:r>
        <w:rPr>
          <w:rFonts w:ascii="宋体" w:hAnsi="宋体" w:cs="Arial" w:hint="eastAsia"/>
          <w:b/>
          <w:color w:val="000000"/>
          <w:szCs w:val="21"/>
        </w:rPr>
        <w:t>年</w:t>
      </w:r>
      <w:r>
        <w:rPr>
          <w:rFonts w:ascii="宋体" w:hAnsi="宋体" w:cs="Arial" w:hint="eastAsia"/>
          <w:b/>
          <w:color w:val="000000"/>
          <w:szCs w:val="21"/>
        </w:rPr>
        <w:t>4</w:t>
      </w:r>
      <w:r>
        <w:rPr>
          <w:rFonts w:ascii="宋体" w:hAnsi="宋体" w:cs="Arial" w:hint="eastAsia"/>
          <w:b/>
          <w:color w:val="000000"/>
          <w:szCs w:val="21"/>
        </w:rPr>
        <w:t>月</w:t>
      </w:r>
      <w:r>
        <w:rPr>
          <w:rFonts w:ascii="宋体" w:hAnsi="宋体" w:cs="Arial" w:hint="eastAsia"/>
          <w:b/>
          <w:color w:val="000000"/>
          <w:szCs w:val="21"/>
        </w:rPr>
        <w:t>24</w:t>
      </w:r>
      <w:r>
        <w:rPr>
          <w:rFonts w:ascii="宋体" w:hAnsi="宋体" w:cs="Arial" w:hint="eastAsia"/>
          <w:b/>
          <w:color w:val="000000"/>
          <w:szCs w:val="21"/>
        </w:rPr>
        <w:t>日</w:t>
      </w:r>
      <w:r>
        <w:rPr>
          <w:rFonts w:ascii="宋体" w:hAnsi="宋体" w:cs="Arial" w:hint="eastAsia"/>
          <w:b/>
          <w:color w:val="000000"/>
          <w:szCs w:val="21"/>
        </w:rPr>
        <w:t>二级市场交易价格溢价幅度未</w:t>
      </w:r>
      <w:r>
        <w:rPr>
          <w:rFonts w:ascii="宋体" w:hAnsi="宋体" w:cs="Arial" w:hint="eastAsia"/>
          <w:b/>
          <w:color w:val="000000"/>
          <w:szCs w:val="21"/>
        </w:rPr>
        <w:t>有效回落，本基金有权采取向深圳证券交易所申请盘中临时停牌、延长停牌时间等措施以向市场警示风险，具体以届时公告为准。</w:t>
      </w:r>
    </w:p>
    <w:p w:rsidR="00000000" w:rsidRDefault="00D53E12">
      <w:pPr>
        <w:spacing w:line="360" w:lineRule="auto"/>
        <w:ind w:firstLineChars="200" w:firstLine="420"/>
        <w:rPr>
          <w:rFonts w:ascii="宋体" w:hAnsi="宋体" w:hint="eastAsia"/>
        </w:rPr>
      </w:pPr>
      <w:r>
        <w:rPr>
          <w:rFonts w:ascii="宋体" w:hAnsi="宋体" w:hint="eastAsia"/>
        </w:rPr>
        <w:t>为此，本基金管理人声明如下：</w:t>
      </w:r>
    </w:p>
    <w:p w:rsidR="00000000" w:rsidRDefault="00D53E12">
      <w:pPr>
        <w:spacing w:line="360" w:lineRule="auto"/>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本基金主要投资于以跟踪原油价格指数或原油价格为投资目标的公募基金（包含</w:t>
      </w:r>
      <w:r>
        <w:rPr>
          <w:rFonts w:ascii="宋体" w:hAnsi="宋体" w:hint="eastAsia"/>
        </w:rPr>
        <w:t>ETF</w:t>
      </w:r>
      <w:r>
        <w:rPr>
          <w:rFonts w:ascii="宋体" w:hAnsi="宋体" w:hint="eastAsia"/>
        </w:rPr>
        <w:t>），风险水平高，敬请投资者选择适合自身风险承受能力的产品进行投资。</w:t>
      </w:r>
    </w:p>
    <w:p w:rsidR="00000000" w:rsidRDefault="00D53E12">
      <w:pPr>
        <w:spacing w:line="360" w:lineRule="auto"/>
        <w:ind w:firstLineChars="200" w:firstLine="420"/>
        <w:rPr>
          <w:rFonts w:ascii="宋体" w:hAnsi="宋体"/>
        </w:rPr>
      </w:pPr>
      <w:r>
        <w:rPr>
          <w:rFonts w:ascii="宋体" w:hAnsi="宋体" w:hint="eastAsia"/>
        </w:rPr>
        <w:t>2</w:t>
      </w:r>
      <w:r>
        <w:rPr>
          <w:rFonts w:ascii="宋体" w:hAnsi="宋体" w:hint="eastAsia"/>
        </w:rPr>
        <w:t>、本基金为上市开放式基金，投资者可在二级市场交易本基金，也可以申购、赎回本基金。本基金二级市场的交易价格，除了有基金份额净值变化的风险外，还会受到市场供求关系、系统性风险、流动性风险等其他因素的影响，可能使投资人面临</w:t>
      </w:r>
      <w:r>
        <w:rPr>
          <w:rFonts w:ascii="宋体" w:hAnsi="宋体" w:hint="eastAsia"/>
        </w:rPr>
        <w:t>损失。</w:t>
      </w:r>
    </w:p>
    <w:p w:rsidR="00000000" w:rsidRDefault="00D53E12">
      <w:pPr>
        <w:spacing w:line="360" w:lineRule="auto"/>
        <w:ind w:firstLineChars="200" w:firstLine="420"/>
        <w:rPr>
          <w:rFonts w:ascii="宋体" w:hAnsi="宋体" w:hint="eastAsia"/>
        </w:rPr>
      </w:pPr>
      <w:r>
        <w:rPr>
          <w:rFonts w:ascii="宋体" w:hAnsi="宋体" w:hint="eastAsia"/>
        </w:rPr>
        <w:t>根据法律法规及基金法律文件的相关规定，为了保证基金的平稳运作，保护基金份额持有人利益，本基金管理人决定自</w:t>
      </w:r>
      <w:r>
        <w:rPr>
          <w:rFonts w:ascii="宋体" w:hAnsi="宋体" w:hint="eastAsia"/>
        </w:rPr>
        <w:t>202</w:t>
      </w:r>
      <w:r>
        <w:rPr>
          <w:rFonts w:ascii="宋体" w:hAnsi="宋体"/>
        </w:rPr>
        <w:t>6</w:t>
      </w:r>
      <w:r>
        <w:rPr>
          <w:rFonts w:ascii="宋体" w:hAnsi="宋体" w:hint="eastAsia"/>
        </w:rPr>
        <w:t>年</w:t>
      </w:r>
      <w:r>
        <w:rPr>
          <w:rFonts w:ascii="宋体" w:hAnsi="宋体"/>
        </w:rPr>
        <w:t>2</w:t>
      </w:r>
      <w:r>
        <w:rPr>
          <w:rFonts w:ascii="宋体" w:hAnsi="宋体" w:hint="eastAsia"/>
        </w:rPr>
        <w:t>月</w:t>
      </w:r>
      <w:r>
        <w:rPr>
          <w:rFonts w:ascii="宋体" w:hAnsi="宋体"/>
        </w:rPr>
        <w:t>3</w:t>
      </w:r>
      <w:r>
        <w:rPr>
          <w:rFonts w:ascii="宋体" w:hAnsi="宋体" w:hint="eastAsia"/>
        </w:rPr>
        <w:t>日起暂停申购（含定期定额投资）业务，恢复办理本基金的申购（含定期定额投资）业务的具体时间将另行公告。</w:t>
      </w:r>
    </w:p>
    <w:p w:rsidR="00000000" w:rsidRDefault="00D53E12">
      <w:pPr>
        <w:spacing w:line="360" w:lineRule="auto"/>
        <w:ind w:firstLineChars="200" w:firstLine="420"/>
        <w:rPr>
          <w:rFonts w:ascii="宋体" w:hAnsi="宋体" w:hint="eastAsia"/>
        </w:rPr>
      </w:pPr>
      <w:r>
        <w:rPr>
          <w:rFonts w:ascii="宋体" w:hAnsi="宋体" w:hint="eastAsia"/>
        </w:rPr>
        <w:t>3</w:t>
      </w:r>
      <w:r>
        <w:rPr>
          <w:rFonts w:ascii="宋体" w:hAnsi="宋体" w:hint="eastAsia"/>
        </w:rPr>
        <w:t>、截至目前，本基金运作正常且无应披露而未披露的重大信息，基金管理人将严格按照法律法规及基金合同的规定进行投资运作，履行信息披露义务。</w:t>
      </w:r>
    </w:p>
    <w:p w:rsidR="00000000" w:rsidRDefault="00D53E12">
      <w:pPr>
        <w:spacing w:line="360" w:lineRule="auto"/>
        <w:ind w:firstLineChars="200" w:firstLine="420"/>
        <w:rPr>
          <w:rFonts w:ascii="宋体" w:hAnsi="宋体" w:hint="eastAsia"/>
        </w:rPr>
      </w:pPr>
      <w:r>
        <w:rPr>
          <w:rFonts w:ascii="宋体" w:hAnsi="宋体" w:hint="eastAsia"/>
        </w:rPr>
        <w:t>风险提示：基金管理人承诺以诚实信用、勤勉尽责的原则管理和运用基金资产，但不保证基金一定盈利，也不保证最低收益。投资人投资于本基金前应认真阅读本基金</w:t>
      </w:r>
      <w:r>
        <w:rPr>
          <w:rFonts w:ascii="宋体" w:hAnsi="宋体" w:hint="eastAsia"/>
        </w:rPr>
        <w:t>的基金合同和招募说明书等相关法律文件。</w:t>
      </w:r>
    </w:p>
    <w:p w:rsidR="00000000" w:rsidRDefault="00D53E12">
      <w:pPr>
        <w:spacing w:line="360" w:lineRule="auto"/>
        <w:ind w:firstLineChars="200" w:firstLine="420"/>
        <w:rPr>
          <w:rFonts w:ascii="宋体" w:hAnsi="宋体" w:hint="eastAsia"/>
        </w:rPr>
      </w:pPr>
      <w:r>
        <w:rPr>
          <w:rFonts w:ascii="宋体" w:hAnsi="宋体" w:hint="eastAsia"/>
        </w:rPr>
        <w:t>敬请投资者注意投资风险。</w:t>
      </w:r>
    </w:p>
    <w:p w:rsidR="00000000" w:rsidRDefault="00D53E12">
      <w:pPr>
        <w:spacing w:line="360" w:lineRule="auto"/>
        <w:ind w:firstLineChars="200" w:firstLine="420"/>
        <w:rPr>
          <w:rFonts w:ascii="宋体" w:hAnsi="宋体" w:hint="eastAsia"/>
        </w:rPr>
      </w:pPr>
      <w:r>
        <w:rPr>
          <w:rFonts w:ascii="宋体" w:hAnsi="宋体" w:hint="eastAsia"/>
        </w:rPr>
        <w:t>特此公告。</w:t>
      </w:r>
    </w:p>
    <w:p w:rsidR="00000000" w:rsidRDefault="00D53E12">
      <w:pPr>
        <w:spacing w:line="360" w:lineRule="auto"/>
        <w:ind w:firstLineChars="200" w:firstLine="420"/>
        <w:jc w:val="right"/>
        <w:rPr>
          <w:rFonts w:ascii="宋体" w:hAnsi="宋体" w:hint="eastAsia"/>
        </w:rPr>
      </w:pPr>
      <w:r>
        <w:rPr>
          <w:rFonts w:ascii="宋体" w:hAnsi="宋体" w:hint="eastAsia"/>
        </w:rPr>
        <w:t>嘉实基金管理有限公司</w:t>
      </w:r>
    </w:p>
    <w:p w:rsidR="00000000" w:rsidRDefault="00D53E12">
      <w:pPr>
        <w:spacing w:line="360" w:lineRule="auto"/>
        <w:ind w:firstLineChars="200" w:firstLine="420"/>
        <w:jc w:val="right"/>
        <w:rPr>
          <w:rFonts w:ascii="宋体" w:hAnsi="宋体" w:hint="eastAsia"/>
        </w:rPr>
      </w:pPr>
      <w:r>
        <w:rPr>
          <w:rFonts w:ascii="宋体" w:hAnsi="宋体" w:hint="eastAsia"/>
        </w:rPr>
        <w:t xml:space="preserve"> </w:t>
      </w:r>
      <w:r>
        <w:rPr>
          <w:rFonts w:ascii="宋体" w:hAnsi="宋体" w:hint="eastAsia"/>
        </w:rPr>
        <w:t>2026</w:t>
      </w:r>
      <w:r>
        <w:rPr>
          <w:rFonts w:ascii="宋体" w:hAnsi="宋体" w:hint="eastAsia"/>
        </w:rPr>
        <w:t>年</w:t>
      </w:r>
      <w:r>
        <w:rPr>
          <w:rFonts w:ascii="宋体" w:hAnsi="宋体" w:hint="eastAsia"/>
        </w:rPr>
        <w:t>4</w:t>
      </w:r>
      <w:r>
        <w:rPr>
          <w:rFonts w:ascii="宋体" w:hAnsi="宋体" w:hint="eastAsia"/>
        </w:rPr>
        <w:t>月</w:t>
      </w:r>
      <w:r>
        <w:rPr>
          <w:rFonts w:ascii="宋体" w:hAnsi="宋体" w:hint="eastAsia"/>
        </w:rPr>
        <w:t>24</w:t>
      </w:r>
      <w:r>
        <w:rPr>
          <w:rFonts w:ascii="宋体" w:hAnsi="宋体" w:hint="eastAsia"/>
        </w:rPr>
        <w:t>日</w:t>
      </w:r>
    </w:p>
    <w:sectPr w:rsidR="00000000">
      <w:pgSz w:w="11906" w:h="16838"/>
      <w:pgMar w:top="1440" w:right="1800" w:bottom="1440" w:left="1800" w:header="851" w:footer="992" w:gutter="0"/>
      <w:cols w:space="720"/>
      <w:rtlGutter/>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gutterAtTop/>
  <w:stylePaneFormatFilter w:val="3F01"/>
  <w:trackRevisions/>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336"/>
    <w:rsid w:val="0000613A"/>
    <w:rsid w:val="00007D35"/>
    <w:rsid w:val="00040E05"/>
    <w:rsid w:val="00052626"/>
    <w:rsid w:val="00053D02"/>
    <w:rsid w:val="00060E61"/>
    <w:rsid w:val="000610D7"/>
    <w:rsid w:val="00067148"/>
    <w:rsid w:val="000714C4"/>
    <w:rsid w:val="00071A8E"/>
    <w:rsid w:val="00082218"/>
    <w:rsid w:val="00092A2C"/>
    <w:rsid w:val="000B155C"/>
    <w:rsid w:val="000B20C5"/>
    <w:rsid w:val="000B2DFB"/>
    <w:rsid w:val="000B46C4"/>
    <w:rsid w:val="000B6AEC"/>
    <w:rsid w:val="000D6CF4"/>
    <w:rsid w:val="000E0BB9"/>
    <w:rsid w:val="000E134D"/>
    <w:rsid w:val="000E6533"/>
    <w:rsid w:val="00100B23"/>
    <w:rsid w:val="001010C5"/>
    <w:rsid w:val="0010765F"/>
    <w:rsid w:val="001076CF"/>
    <w:rsid w:val="0013712D"/>
    <w:rsid w:val="00137951"/>
    <w:rsid w:val="001412D9"/>
    <w:rsid w:val="001557FA"/>
    <w:rsid w:val="0015738B"/>
    <w:rsid w:val="00171707"/>
    <w:rsid w:val="001746CE"/>
    <w:rsid w:val="00194784"/>
    <w:rsid w:val="001B5217"/>
    <w:rsid w:val="001C266E"/>
    <w:rsid w:val="001C6F7C"/>
    <w:rsid w:val="001F393F"/>
    <w:rsid w:val="00200774"/>
    <w:rsid w:val="00203F44"/>
    <w:rsid w:val="0021670F"/>
    <w:rsid w:val="00220FD5"/>
    <w:rsid w:val="00221A90"/>
    <w:rsid w:val="002235B5"/>
    <w:rsid w:val="00232373"/>
    <w:rsid w:val="00235227"/>
    <w:rsid w:val="0023560E"/>
    <w:rsid w:val="00237458"/>
    <w:rsid w:val="00241455"/>
    <w:rsid w:val="002425A1"/>
    <w:rsid w:val="00251B0B"/>
    <w:rsid w:val="00255397"/>
    <w:rsid w:val="002658FC"/>
    <w:rsid w:val="0028321E"/>
    <w:rsid w:val="00283460"/>
    <w:rsid w:val="002923EB"/>
    <w:rsid w:val="00292E9E"/>
    <w:rsid w:val="002A1682"/>
    <w:rsid w:val="002A5D2F"/>
    <w:rsid w:val="002A5D65"/>
    <w:rsid w:val="002C064E"/>
    <w:rsid w:val="002C0D63"/>
    <w:rsid w:val="002C6B8B"/>
    <w:rsid w:val="002E2E0A"/>
    <w:rsid w:val="002F2E2A"/>
    <w:rsid w:val="002F2F2D"/>
    <w:rsid w:val="003117DB"/>
    <w:rsid w:val="003150C4"/>
    <w:rsid w:val="00315F04"/>
    <w:rsid w:val="00317ACC"/>
    <w:rsid w:val="00320BF5"/>
    <w:rsid w:val="00322C5D"/>
    <w:rsid w:val="0033454E"/>
    <w:rsid w:val="00341C97"/>
    <w:rsid w:val="003479F4"/>
    <w:rsid w:val="00370BF7"/>
    <w:rsid w:val="00374D27"/>
    <w:rsid w:val="00377CED"/>
    <w:rsid w:val="003806BF"/>
    <w:rsid w:val="003829C9"/>
    <w:rsid w:val="00385817"/>
    <w:rsid w:val="00385D77"/>
    <w:rsid w:val="003A781C"/>
    <w:rsid w:val="003B69E9"/>
    <w:rsid w:val="003B7C7B"/>
    <w:rsid w:val="003C2ACA"/>
    <w:rsid w:val="003C3B11"/>
    <w:rsid w:val="003C400C"/>
    <w:rsid w:val="003C5190"/>
    <w:rsid w:val="003D1418"/>
    <w:rsid w:val="003D2E3C"/>
    <w:rsid w:val="003D669D"/>
    <w:rsid w:val="003E040C"/>
    <w:rsid w:val="003E126B"/>
    <w:rsid w:val="003E31AC"/>
    <w:rsid w:val="003E42A2"/>
    <w:rsid w:val="003E4EC9"/>
    <w:rsid w:val="003F0F60"/>
    <w:rsid w:val="003F4784"/>
    <w:rsid w:val="00427C6A"/>
    <w:rsid w:val="00431AFA"/>
    <w:rsid w:val="00436276"/>
    <w:rsid w:val="00436D00"/>
    <w:rsid w:val="0044002C"/>
    <w:rsid w:val="00441ADF"/>
    <w:rsid w:val="00465B60"/>
    <w:rsid w:val="0049632B"/>
    <w:rsid w:val="004B26DC"/>
    <w:rsid w:val="004B2EDC"/>
    <w:rsid w:val="004B46DC"/>
    <w:rsid w:val="004C339B"/>
    <w:rsid w:val="004D0A89"/>
    <w:rsid w:val="004D261F"/>
    <w:rsid w:val="004E33F8"/>
    <w:rsid w:val="004E7C07"/>
    <w:rsid w:val="005006CE"/>
    <w:rsid w:val="0051476B"/>
    <w:rsid w:val="00522EDF"/>
    <w:rsid w:val="00533A44"/>
    <w:rsid w:val="0053655A"/>
    <w:rsid w:val="00553F01"/>
    <w:rsid w:val="00557AF4"/>
    <w:rsid w:val="005610A1"/>
    <w:rsid w:val="0056657C"/>
    <w:rsid w:val="00585650"/>
    <w:rsid w:val="0059006D"/>
    <w:rsid w:val="005A6B57"/>
    <w:rsid w:val="005A7D55"/>
    <w:rsid w:val="005B08E0"/>
    <w:rsid w:val="005D0E3C"/>
    <w:rsid w:val="005E1BFA"/>
    <w:rsid w:val="005E394F"/>
    <w:rsid w:val="005E4E6F"/>
    <w:rsid w:val="005F50D9"/>
    <w:rsid w:val="005F58FE"/>
    <w:rsid w:val="0061220B"/>
    <w:rsid w:val="006122E6"/>
    <w:rsid w:val="006218C0"/>
    <w:rsid w:val="00634CD5"/>
    <w:rsid w:val="00635F45"/>
    <w:rsid w:val="00637CD8"/>
    <w:rsid w:val="00645DB4"/>
    <w:rsid w:val="00654442"/>
    <w:rsid w:val="00654A06"/>
    <w:rsid w:val="006712FC"/>
    <w:rsid w:val="006776A8"/>
    <w:rsid w:val="00685026"/>
    <w:rsid w:val="006A0899"/>
    <w:rsid w:val="006A08BD"/>
    <w:rsid w:val="006A3CEF"/>
    <w:rsid w:val="006B6AA5"/>
    <w:rsid w:val="006D1AD0"/>
    <w:rsid w:val="006E15A2"/>
    <w:rsid w:val="006E3652"/>
    <w:rsid w:val="006F25C8"/>
    <w:rsid w:val="007137D9"/>
    <w:rsid w:val="00734985"/>
    <w:rsid w:val="007365F5"/>
    <w:rsid w:val="00742891"/>
    <w:rsid w:val="00753AF6"/>
    <w:rsid w:val="00754044"/>
    <w:rsid w:val="007673CE"/>
    <w:rsid w:val="007719C3"/>
    <w:rsid w:val="00771B3D"/>
    <w:rsid w:val="00785403"/>
    <w:rsid w:val="0079129F"/>
    <w:rsid w:val="00791B35"/>
    <w:rsid w:val="007A1F8D"/>
    <w:rsid w:val="007A243D"/>
    <w:rsid w:val="007A3883"/>
    <w:rsid w:val="007B7220"/>
    <w:rsid w:val="007C1004"/>
    <w:rsid w:val="007D60A2"/>
    <w:rsid w:val="007D7A80"/>
    <w:rsid w:val="007F2DDE"/>
    <w:rsid w:val="00811676"/>
    <w:rsid w:val="00817F2C"/>
    <w:rsid w:val="00824A43"/>
    <w:rsid w:val="00831C86"/>
    <w:rsid w:val="0083301C"/>
    <w:rsid w:val="00847433"/>
    <w:rsid w:val="008518F5"/>
    <w:rsid w:val="00856D38"/>
    <w:rsid w:val="00865D66"/>
    <w:rsid w:val="0087009A"/>
    <w:rsid w:val="00873B45"/>
    <w:rsid w:val="0087722C"/>
    <w:rsid w:val="00877EE4"/>
    <w:rsid w:val="00896B1B"/>
    <w:rsid w:val="008A679B"/>
    <w:rsid w:val="008B0334"/>
    <w:rsid w:val="008E02B3"/>
    <w:rsid w:val="00911175"/>
    <w:rsid w:val="0091247D"/>
    <w:rsid w:val="009249B1"/>
    <w:rsid w:val="0093384A"/>
    <w:rsid w:val="00933C68"/>
    <w:rsid w:val="00941C23"/>
    <w:rsid w:val="00951068"/>
    <w:rsid w:val="00954AD0"/>
    <w:rsid w:val="00954BBD"/>
    <w:rsid w:val="009614DD"/>
    <w:rsid w:val="00961853"/>
    <w:rsid w:val="009621F3"/>
    <w:rsid w:val="00964F55"/>
    <w:rsid w:val="0097277E"/>
    <w:rsid w:val="009765B8"/>
    <w:rsid w:val="00981B1F"/>
    <w:rsid w:val="009961A0"/>
    <w:rsid w:val="009B074E"/>
    <w:rsid w:val="009B55E8"/>
    <w:rsid w:val="009C1028"/>
    <w:rsid w:val="009C49DA"/>
    <w:rsid w:val="009E6BDC"/>
    <w:rsid w:val="00A143D6"/>
    <w:rsid w:val="00A24FB4"/>
    <w:rsid w:val="00A30489"/>
    <w:rsid w:val="00A40D9E"/>
    <w:rsid w:val="00A44797"/>
    <w:rsid w:val="00A45FB9"/>
    <w:rsid w:val="00A64820"/>
    <w:rsid w:val="00A75BA9"/>
    <w:rsid w:val="00A82BC6"/>
    <w:rsid w:val="00A83DC4"/>
    <w:rsid w:val="00A8541B"/>
    <w:rsid w:val="00A85F05"/>
    <w:rsid w:val="00A87468"/>
    <w:rsid w:val="00A8783F"/>
    <w:rsid w:val="00A918AA"/>
    <w:rsid w:val="00AA66EA"/>
    <w:rsid w:val="00AB0536"/>
    <w:rsid w:val="00AB1B63"/>
    <w:rsid w:val="00AB6FE4"/>
    <w:rsid w:val="00AC1740"/>
    <w:rsid w:val="00AC55E5"/>
    <w:rsid w:val="00AD6DFE"/>
    <w:rsid w:val="00AE75DD"/>
    <w:rsid w:val="00AF4D13"/>
    <w:rsid w:val="00AF6405"/>
    <w:rsid w:val="00B00696"/>
    <w:rsid w:val="00B049B1"/>
    <w:rsid w:val="00B2325B"/>
    <w:rsid w:val="00B3476F"/>
    <w:rsid w:val="00B35D49"/>
    <w:rsid w:val="00B40AC8"/>
    <w:rsid w:val="00B40B60"/>
    <w:rsid w:val="00B46855"/>
    <w:rsid w:val="00B4692D"/>
    <w:rsid w:val="00B479B8"/>
    <w:rsid w:val="00B71C4E"/>
    <w:rsid w:val="00BA001D"/>
    <w:rsid w:val="00BA396B"/>
    <w:rsid w:val="00BA69A5"/>
    <w:rsid w:val="00BB0008"/>
    <w:rsid w:val="00BB5FEA"/>
    <w:rsid w:val="00BD4858"/>
    <w:rsid w:val="00BD5185"/>
    <w:rsid w:val="00BF3539"/>
    <w:rsid w:val="00C06821"/>
    <w:rsid w:val="00C2444B"/>
    <w:rsid w:val="00C26340"/>
    <w:rsid w:val="00C26527"/>
    <w:rsid w:val="00C31ED3"/>
    <w:rsid w:val="00C36FD1"/>
    <w:rsid w:val="00C520E6"/>
    <w:rsid w:val="00C52A56"/>
    <w:rsid w:val="00C87D8E"/>
    <w:rsid w:val="00CA736A"/>
    <w:rsid w:val="00CB063B"/>
    <w:rsid w:val="00CB409B"/>
    <w:rsid w:val="00CC176F"/>
    <w:rsid w:val="00CC1D1F"/>
    <w:rsid w:val="00CC711A"/>
    <w:rsid w:val="00CD0B9A"/>
    <w:rsid w:val="00CD1AFD"/>
    <w:rsid w:val="00CD22AE"/>
    <w:rsid w:val="00CF388F"/>
    <w:rsid w:val="00CF39B1"/>
    <w:rsid w:val="00CF7071"/>
    <w:rsid w:val="00CF708E"/>
    <w:rsid w:val="00D0232E"/>
    <w:rsid w:val="00D0656A"/>
    <w:rsid w:val="00D1104B"/>
    <w:rsid w:val="00D163CB"/>
    <w:rsid w:val="00D30BB9"/>
    <w:rsid w:val="00D31E3D"/>
    <w:rsid w:val="00D3308B"/>
    <w:rsid w:val="00D34BA3"/>
    <w:rsid w:val="00D3516D"/>
    <w:rsid w:val="00D3619A"/>
    <w:rsid w:val="00D3677C"/>
    <w:rsid w:val="00D45806"/>
    <w:rsid w:val="00D53E12"/>
    <w:rsid w:val="00D66B53"/>
    <w:rsid w:val="00D802F2"/>
    <w:rsid w:val="00D8417B"/>
    <w:rsid w:val="00D91961"/>
    <w:rsid w:val="00D936F1"/>
    <w:rsid w:val="00DA149D"/>
    <w:rsid w:val="00DA2EAB"/>
    <w:rsid w:val="00DB08A0"/>
    <w:rsid w:val="00DB6E40"/>
    <w:rsid w:val="00DD15BA"/>
    <w:rsid w:val="00DE102E"/>
    <w:rsid w:val="00DE45D3"/>
    <w:rsid w:val="00DF755D"/>
    <w:rsid w:val="00E00E1A"/>
    <w:rsid w:val="00E03526"/>
    <w:rsid w:val="00E04A2A"/>
    <w:rsid w:val="00E05696"/>
    <w:rsid w:val="00E11431"/>
    <w:rsid w:val="00E136DB"/>
    <w:rsid w:val="00E14E3D"/>
    <w:rsid w:val="00E1718A"/>
    <w:rsid w:val="00E17D95"/>
    <w:rsid w:val="00E24C63"/>
    <w:rsid w:val="00E326FA"/>
    <w:rsid w:val="00E35964"/>
    <w:rsid w:val="00E35B33"/>
    <w:rsid w:val="00E35F4D"/>
    <w:rsid w:val="00E37CFC"/>
    <w:rsid w:val="00E41F60"/>
    <w:rsid w:val="00E43F3A"/>
    <w:rsid w:val="00E46255"/>
    <w:rsid w:val="00E549DA"/>
    <w:rsid w:val="00E60B19"/>
    <w:rsid w:val="00E629F4"/>
    <w:rsid w:val="00E641C0"/>
    <w:rsid w:val="00E661EE"/>
    <w:rsid w:val="00E83608"/>
    <w:rsid w:val="00EA63A0"/>
    <w:rsid w:val="00EA6803"/>
    <w:rsid w:val="00EB1918"/>
    <w:rsid w:val="00EB358F"/>
    <w:rsid w:val="00EC2FF6"/>
    <w:rsid w:val="00ED441A"/>
    <w:rsid w:val="00ED76FD"/>
    <w:rsid w:val="00EE4783"/>
    <w:rsid w:val="00F00921"/>
    <w:rsid w:val="00F12B8C"/>
    <w:rsid w:val="00F43A05"/>
    <w:rsid w:val="00F54702"/>
    <w:rsid w:val="00F55D8D"/>
    <w:rsid w:val="00F65731"/>
    <w:rsid w:val="00F7205C"/>
    <w:rsid w:val="00F72EEC"/>
    <w:rsid w:val="00F77F1F"/>
    <w:rsid w:val="00F85F8C"/>
    <w:rsid w:val="00F932C9"/>
    <w:rsid w:val="00F97A2F"/>
    <w:rsid w:val="00FA2E97"/>
    <w:rsid w:val="00FB0799"/>
    <w:rsid w:val="00FB7B1F"/>
    <w:rsid w:val="00FC086D"/>
    <w:rsid w:val="00FC71FC"/>
    <w:rsid w:val="00FD4094"/>
    <w:rsid w:val="00FE4D41"/>
    <w:rsid w:val="00FF0B46"/>
    <w:rsid w:val="00FF5072"/>
    <w:rsid w:val="00FF5854"/>
    <w:rsid w:val="00FF5CDA"/>
    <w:rsid w:val="00FF5F5C"/>
    <w:rsid w:val="00FF5FE1"/>
    <w:rsid w:val="026B43EB"/>
    <w:rsid w:val="071822E2"/>
    <w:rsid w:val="07B26781"/>
    <w:rsid w:val="0A462724"/>
    <w:rsid w:val="0D2C3F28"/>
    <w:rsid w:val="1A026F77"/>
    <w:rsid w:val="1E9F1927"/>
    <w:rsid w:val="1F7A0A9B"/>
    <w:rsid w:val="26567970"/>
    <w:rsid w:val="287613C8"/>
    <w:rsid w:val="2D103FF0"/>
    <w:rsid w:val="32684654"/>
    <w:rsid w:val="376E1CD0"/>
    <w:rsid w:val="3A641A18"/>
    <w:rsid w:val="45F97543"/>
    <w:rsid w:val="4AF105AB"/>
    <w:rsid w:val="4D386643"/>
    <w:rsid w:val="50951203"/>
    <w:rsid w:val="514F53E8"/>
    <w:rsid w:val="53FE368A"/>
    <w:rsid w:val="575A70FB"/>
    <w:rsid w:val="65E12869"/>
    <w:rsid w:val="6C4E47A9"/>
    <w:rsid w:val="6D5F0E02"/>
    <w:rsid w:val="722166FC"/>
    <w:rsid w:val="739756CE"/>
    <w:rsid w:val="739A1ADA"/>
    <w:rsid w:val="794A1B11"/>
    <w:rsid w:val="7A0835EC"/>
    <w:rsid w:val="7A257FD2"/>
    <w:rsid w:val="7B7510AC"/>
    <w:rsid w:val="7BB12EA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1"/>
    <w:lsdException w:name="Light List" w:uiPriority="1"/>
    <w:lsdException w:name="Light Grid" w:uiPriority="1"/>
    <w:lsdException w:name="Medium Shading 1" w:uiPriority="1"/>
    <w:lsdException w:name="Medium Shading 2" w:uiPriority="1"/>
    <w:lsdException w:name="Medium List 1" w:uiPriority="1"/>
    <w:lsdException w:name="Medium List 2" w:uiPriority="1"/>
    <w:lsdException w:name="Medium Grid 1" w:uiPriority="1"/>
    <w:lsdException w:name="Medium Grid 2" w:uiPriority="1"/>
    <w:lsdException w:name="Medium Grid 3" w:uiPriority="1"/>
    <w:lsdException w:name="Dark List" w:uiPriority="1"/>
    <w:lsdException w:name="Colorful Shading" w:uiPriority="1"/>
    <w:lsdException w:name="Colorful List" w:uiPriority="1"/>
    <w:lsdException w:name="Colorful Grid" w:uiPriority="1"/>
    <w:lsdException w:name="Light Shading Accent 1" w:uiPriority="1"/>
    <w:lsdException w:name="Light List Accent 1" w:uiPriority="1"/>
    <w:lsdException w:name="Light Grid Accent 1" w:uiPriority="1"/>
    <w:lsdException w:name="Medium Shading 1 Accent 1" w:uiPriority="1"/>
    <w:lsdException w:name="Medium Shading 2 Accent 1" w:uiPriority="1"/>
    <w:lsdException w:name="Medium List 1 Accent 1" w:uiPriority="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1"/>
    <w:lsdException w:name="Medium Grid 1 Accent 1" w:uiPriority="1"/>
    <w:lsdException w:name="Medium Grid 2 Accent 1" w:uiPriority="1"/>
    <w:lsdException w:name="Medium Grid 3 Accent 1" w:uiPriority="1"/>
    <w:lsdException w:name="Dark List Accent 1" w:uiPriority="1"/>
    <w:lsdException w:name="Colorful Shading Accent 1" w:uiPriority="1"/>
    <w:lsdException w:name="Colorful List Accent 1" w:uiPriority="1"/>
    <w:lsdException w:name="Colorful Grid Accent 1" w:uiPriority="1"/>
    <w:lsdException w:name="Light Shading Accent 2" w:uiPriority="1"/>
    <w:lsdException w:name="Light List Accent 2" w:uiPriority="1"/>
    <w:lsdException w:name="Light Grid Accent 2" w:uiPriority="1"/>
    <w:lsdException w:name="Medium Shading 1 Accent 2" w:uiPriority="1"/>
    <w:lsdException w:name="Medium Shading 2 Accent 2" w:uiPriority="1"/>
    <w:lsdException w:name="Medium List 1 Accent 2" w:uiPriority="1"/>
    <w:lsdException w:name="Medium List 2 Accent 2" w:uiPriority="1"/>
    <w:lsdException w:name="Medium Grid 1 Accent 2" w:uiPriority="1"/>
    <w:lsdException w:name="Medium Grid 2 Accent 2" w:uiPriority="1"/>
    <w:lsdException w:name="Medium Grid 3 Accent 2" w:uiPriority="1"/>
    <w:lsdException w:name="Dark List Accent 2" w:uiPriority="1"/>
    <w:lsdException w:name="Colorful Shading Accent 2" w:uiPriority="1"/>
    <w:lsdException w:name="Colorful List Accent 2" w:uiPriority="1"/>
    <w:lsdException w:name="Colorful Grid Accent 2" w:uiPriority="1"/>
    <w:lsdException w:name="Light Shading Accent 3" w:uiPriority="1"/>
    <w:lsdException w:name="Light List Accent 3" w:uiPriority="1"/>
    <w:lsdException w:name="Light Grid Accent 3" w:uiPriority="1"/>
    <w:lsdException w:name="Medium Shading 1 Accent 3" w:uiPriority="1"/>
    <w:lsdException w:name="Medium Shading 2 Accent 3" w:uiPriority="1"/>
    <w:lsdException w:name="Medium List 1 Accent 3" w:uiPriority="1"/>
    <w:lsdException w:name="Medium List 2 Accent 3" w:uiPriority="1"/>
    <w:lsdException w:name="Medium Grid 1 Accent 3" w:uiPriority="1"/>
    <w:lsdException w:name="Medium Grid 2 Accent 3" w:uiPriority="1"/>
    <w:lsdException w:name="Medium Grid 3 Accent 3" w:uiPriority="1"/>
    <w:lsdException w:name="Dark List Accent 3" w:uiPriority="1"/>
    <w:lsdException w:name="Colorful Shading Accent 3" w:uiPriority="1"/>
    <w:lsdException w:name="Colorful List Accent 3" w:uiPriority="1"/>
    <w:lsdException w:name="Colorful Grid Accent 3" w:uiPriority="1"/>
    <w:lsdException w:name="Light Shading Accent 4" w:uiPriority="1"/>
    <w:lsdException w:name="Light List Accent 4" w:uiPriority="1"/>
    <w:lsdException w:name="Light Grid Accent 4" w:uiPriority="1"/>
    <w:lsdException w:name="Medium Shading 1 Accent 4" w:uiPriority="1"/>
    <w:lsdException w:name="Medium Shading 2 Accent 4" w:uiPriority="1"/>
    <w:lsdException w:name="Medium List 1 Accent 4" w:uiPriority="1"/>
    <w:lsdException w:name="Medium List 2 Accent 4" w:uiPriority="1"/>
    <w:lsdException w:name="Medium Grid 1 Accent 4" w:uiPriority="1"/>
    <w:lsdException w:name="Medium Grid 2 Accent 4" w:uiPriority="1"/>
    <w:lsdException w:name="Medium Grid 3 Accent 4" w:uiPriority="1"/>
    <w:lsdException w:name="Dark List Accent 4" w:uiPriority="1"/>
    <w:lsdException w:name="Colorful Shading Accent 4" w:uiPriority="1"/>
    <w:lsdException w:name="Colorful List Accent 4" w:uiPriority="1"/>
    <w:lsdException w:name="Colorful Grid Accent 4" w:uiPriority="1"/>
    <w:lsdException w:name="Light Shading Accent 5" w:uiPriority="1"/>
    <w:lsdException w:name="Light List Accent 5" w:uiPriority="1"/>
    <w:lsdException w:name="Light Grid Accent 5" w:uiPriority="1"/>
    <w:lsdException w:name="Medium Shading 1 Accent 5" w:uiPriority="1"/>
    <w:lsdException w:name="Medium Shading 2 Accent 5" w:uiPriority="1"/>
    <w:lsdException w:name="Medium List 1 Accent 5" w:uiPriority="1"/>
    <w:lsdException w:name="Medium List 2 Accent 5" w:uiPriority="1"/>
    <w:lsdException w:name="Medium Grid 1 Accent 5" w:uiPriority="1"/>
    <w:lsdException w:name="Medium Grid 2 Accent 5" w:uiPriority="1"/>
    <w:lsdException w:name="Medium Grid 3 Accent 5" w:uiPriority="1"/>
    <w:lsdException w:name="Dark List Accent 5" w:uiPriority="1"/>
    <w:lsdException w:name="Colorful Shading Accent 5" w:uiPriority="1"/>
    <w:lsdException w:name="Colorful List Accent 5" w:uiPriority="1"/>
    <w:lsdException w:name="Colorful Grid Accent 5" w:uiPriority="1"/>
    <w:lsdException w:name="Light Shading Accent 6" w:uiPriority="1"/>
    <w:lsdException w:name="Light List Accent 6" w:uiPriority="1"/>
    <w:lsdException w:name="Light Grid Accent 6" w:uiPriority="1"/>
    <w:lsdException w:name="Medium Shading 1 Accent 6" w:uiPriority="1"/>
    <w:lsdException w:name="Medium Shading 2 Accent 6" w:uiPriority="1"/>
    <w:lsdException w:name="Medium List 1 Accent 6" w:uiPriority="1"/>
    <w:lsdException w:name="Medium List 2 Accent 6" w:uiPriority="1"/>
    <w:lsdException w:name="Medium Grid 1 Accent 6" w:uiPriority="1"/>
    <w:lsdException w:name="Medium Grid 2 Accent 6" w:uiPriority="1"/>
    <w:lsdException w:name="Medium Grid 3 Accent 6" w:uiPriority="1"/>
    <w:lsdException w:name="Dark List Accent 6" w:uiPriority="1"/>
    <w:lsdException w:name="Colorful Shading Accent 6" w:uiPriority="1"/>
    <w:lsdException w:name="Colorful List Accent 6" w:uiPriority="1"/>
    <w:lsdException w:name="Colorful Grid Accent 6" w:uiPriority="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character" w:customStyle="1" w:styleId="Char">
    <w:name w:val="批注文字 Char"/>
    <w:link w:val="a3"/>
    <w:rPr>
      <w:rFonts w:ascii="Calibri" w:hAnsi="Calibri"/>
      <w:kern w:val="2"/>
      <w:sz w:val="21"/>
      <w:szCs w:val="24"/>
    </w:rPr>
  </w:style>
  <w:style w:type="paragraph" w:styleId="a4">
    <w:name w:val="Date"/>
    <w:basedOn w:val="a"/>
    <w:next w:val="a"/>
    <w:link w:val="Char0"/>
    <w:pPr>
      <w:ind w:leftChars="2500" w:left="100"/>
    </w:pPr>
  </w:style>
  <w:style w:type="character" w:customStyle="1" w:styleId="Char0">
    <w:name w:val="日期 Char"/>
    <w:link w:val="a4"/>
    <w:rPr>
      <w:rFonts w:ascii="Calibri" w:hAnsi="Calibri"/>
      <w:kern w:val="2"/>
      <w:sz w:val="21"/>
      <w:szCs w:val="24"/>
    </w:rPr>
  </w:style>
  <w:style w:type="paragraph" w:styleId="a5">
    <w:name w:val="Balloon Text"/>
    <w:basedOn w:val="a"/>
    <w:link w:val="Char1"/>
    <w:rPr>
      <w:sz w:val="18"/>
      <w:szCs w:val="18"/>
    </w:rPr>
  </w:style>
  <w:style w:type="character" w:customStyle="1" w:styleId="Char1">
    <w:name w:val="批注框文本 Char"/>
    <w:link w:val="a5"/>
    <w:rPr>
      <w:rFonts w:ascii="Calibri" w:hAnsi="Calibri"/>
      <w:kern w:val="2"/>
      <w:sz w:val="18"/>
      <w:szCs w:val="18"/>
    </w:rPr>
  </w:style>
  <w:style w:type="paragraph" w:styleId="a6">
    <w:name w:val="footer"/>
    <w:basedOn w:val="a"/>
    <w:link w:val="Char2"/>
    <w:pPr>
      <w:tabs>
        <w:tab w:val="center" w:pos="4153"/>
        <w:tab w:val="right" w:pos="8306"/>
      </w:tabs>
      <w:snapToGrid w:val="0"/>
      <w:jc w:val="left"/>
    </w:pPr>
    <w:rPr>
      <w:sz w:val="18"/>
      <w:szCs w:val="18"/>
    </w:rPr>
  </w:style>
  <w:style w:type="character" w:customStyle="1" w:styleId="Char2">
    <w:name w:val="页脚 Char"/>
    <w:link w:val="a6"/>
    <w:rPr>
      <w:rFonts w:ascii="Calibri" w:hAnsi="Calibri"/>
      <w:kern w:val="2"/>
      <w:sz w:val="18"/>
      <w:szCs w:val="18"/>
    </w:rPr>
  </w:style>
  <w:style w:type="paragraph" w:styleId="a7">
    <w:name w:val="header"/>
    <w:basedOn w:val="a"/>
    <w:link w:val="Char3"/>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a7"/>
    <w:rPr>
      <w:rFonts w:ascii="Calibri" w:hAnsi="Calibri"/>
      <w:kern w:val="2"/>
      <w:sz w:val="18"/>
      <w:szCs w:val="18"/>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8">
    <w:name w:val="annotation subject"/>
    <w:basedOn w:val="a3"/>
    <w:next w:val="a3"/>
    <w:link w:val="Char4"/>
    <w:rPr>
      <w:b/>
      <w:bCs/>
    </w:rPr>
  </w:style>
  <w:style w:type="character" w:customStyle="1" w:styleId="Char4">
    <w:name w:val="批注主题 Char"/>
    <w:link w:val="a8"/>
    <w:rPr>
      <w:rFonts w:ascii="Calibri" w:hAnsi="Calibri"/>
      <w:b/>
      <w:bCs/>
      <w:kern w:val="2"/>
      <w:sz w:val="21"/>
      <w:szCs w:val="24"/>
    </w:rPr>
  </w:style>
  <w:style w:type="character" w:styleId="a9">
    <w:name w:val="annotation reference"/>
    <w:rPr>
      <w:sz w:val="21"/>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707</Characters>
  <Application>Microsoft Office Word</Application>
  <DocSecurity>4</DocSecurity>
  <PresentationFormat/>
  <Lines>5</Lines>
  <Paragraphs>1</Paragraphs>
  <Slides>0</Slides>
  <Notes>0</Notes>
  <HiddenSlides>0</HiddenSlides>
  <MMClips>0</MMClips>
  <ScaleCrop>false</ScaleCrop>
  <Manager/>
  <Company/>
  <LinksUpToDate>false</LinksUpToDate>
  <CharactersWithSpaces>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ZHONGM</cp:lastModifiedBy>
  <cp:revision>2</cp:revision>
  <cp:lastPrinted>2020-01-29T11:25:00Z</cp:lastPrinted>
  <dcterms:created xsi:type="dcterms:W3CDTF">2026-04-23T16:02:00Z</dcterms:created>
  <dcterms:modified xsi:type="dcterms:W3CDTF">2026-04-23T16:02:00Z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24AA597D30314DEA9F7C09971AB128C8</vt:lpwstr>
  </property>
</Properties>
</file>