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436" w:rsidRPr="001950FA" w:rsidRDefault="00893436" w:rsidP="001950FA">
      <w:pPr>
        <w:widowControl/>
        <w:spacing w:line="360" w:lineRule="auto"/>
        <w:jc w:val="center"/>
        <w:rPr>
          <w:rFonts w:ascii="宋体" w:eastAsia="宋体" w:hAnsi="宋体" w:cs="宋体"/>
          <w:b/>
          <w:kern w:val="0"/>
          <w:sz w:val="28"/>
          <w:szCs w:val="28"/>
        </w:rPr>
      </w:pPr>
      <w:r w:rsidRPr="001950FA">
        <w:rPr>
          <w:rFonts w:ascii="宋体" w:eastAsia="宋体" w:hAnsi="宋体" w:cs="宋体" w:hint="eastAsia"/>
          <w:b/>
          <w:kern w:val="0"/>
          <w:sz w:val="28"/>
          <w:szCs w:val="28"/>
        </w:rPr>
        <w:t>国泰富时中国A股自由现金流聚焦交易型开放式指数证券投资基金发起式联接基金第11次分红公告</w:t>
      </w:r>
    </w:p>
    <w:p w:rsidR="00893436" w:rsidRPr="001950FA" w:rsidRDefault="00893436" w:rsidP="001950FA">
      <w:pPr>
        <w:spacing w:line="360" w:lineRule="auto"/>
        <w:jc w:val="center"/>
        <w:rPr>
          <w:rFonts w:ascii="宋体" w:eastAsia="宋体" w:hAnsi="宋体"/>
          <w:color w:val="000000"/>
          <w:sz w:val="21"/>
          <w:szCs w:val="21"/>
        </w:rPr>
      </w:pPr>
      <w:r w:rsidRPr="001950FA">
        <w:rPr>
          <w:rFonts w:ascii="宋体" w:eastAsia="宋体" w:hAnsi="宋体"/>
          <w:color w:val="000000"/>
          <w:sz w:val="21"/>
          <w:szCs w:val="21"/>
        </w:rPr>
        <w:t>公告送出日期：</w:t>
      </w:r>
      <w:r w:rsidRPr="001950FA">
        <w:rPr>
          <w:rFonts w:ascii="宋体" w:eastAsia="宋体" w:hAnsi="宋体" w:cs="宋体"/>
          <w:bCs/>
          <w:sz w:val="21"/>
          <w:szCs w:val="21"/>
        </w:rPr>
        <w:t>2026年4月24日</w:t>
      </w:r>
    </w:p>
    <w:p w:rsidR="00893436" w:rsidRPr="001950FA" w:rsidRDefault="00893436" w:rsidP="00B14D73">
      <w:pPr>
        <w:spacing w:line="360" w:lineRule="auto"/>
        <w:jc w:val="center"/>
        <w:rPr>
          <w:rFonts w:ascii="宋体" w:eastAsia="宋体" w:hAnsi="宋体"/>
          <w:color w:val="000000"/>
          <w:sz w:val="21"/>
          <w:szCs w:val="21"/>
        </w:rPr>
      </w:pPr>
    </w:p>
    <w:p w:rsidR="00893436" w:rsidRPr="001950FA" w:rsidRDefault="00893436" w:rsidP="00B14D73">
      <w:pPr>
        <w:pStyle w:val="2"/>
        <w:spacing w:line="360" w:lineRule="auto"/>
        <w:rPr>
          <w:rFonts w:ascii="宋体" w:eastAsia="宋体" w:hAnsi="宋体"/>
          <w:bCs w:val="0"/>
          <w:color w:val="000000"/>
          <w:sz w:val="21"/>
          <w:szCs w:val="21"/>
        </w:rPr>
      </w:pPr>
      <w:bookmarkStart w:id="0" w:name="_Toc275961418"/>
      <w:r w:rsidRPr="001950FA">
        <w:rPr>
          <w:rFonts w:ascii="宋体" w:eastAsia="宋体" w:hAnsi="宋体"/>
          <w:bCs w:val="0"/>
          <w:color w:val="000000"/>
          <w:sz w:val="21"/>
          <w:szCs w:val="21"/>
        </w:rPr>
        <w:t>1 公告基本信息</w:t>
      </w:r>
      <w:bookmarkEnd w:id="0"/>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68"/>
        <w:gridCol w:w="2552"/>
        <w:gridCol w:w="2268"/>
        <w:gridCol w:w="2451"/>
      </w:tblGrid>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基金名称</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国泰富时中国A股自由现金流聚焦交易型开放式指数证券投资基金发起式联接基金</w:t>
            </w:r>
          </w:p>
        </w:tc>
      </w:tr>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基金简称</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国泰富时中国A股自由现金流聚焦ETF发起联接</w:t>
            </w:r>
          </w:p>
        </w:tc>
      </w:tr>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基金主代码</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023919</w:t>
            </w:r>
          </w:p>
        </w:tc>
      </w:tr>
      <w:tr w:rsidR="0039192C" w:rsidRPr="001950FA" w:rsidTr="00FE7BF2">
        <w:trPr>
          <w:jc w:val="center"/>
        </w:trPr>
        <w:tc>
          <w:tcPr>
            <w:tcW w:w="4920" w:type="dxa"/>
            <w:gridSpan w:val="2"/>
            <w:vAlign w:val="center"/>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基金合同生效日</w:t>
            </w:r>
          </w:p>
        </w:tc>
        <w:tc>
          <w:tcPr>
            <w:tcW w:w="4719" w:type="dxa"/>
            <w:gridSpan w:val="2"/>
            <w:vAlign w:val="center"/>
          </w:tcPr>
          <w:p w:rsidR="0039192C" w:rsidRPr="001950FA" w:rsidRDefault="003E51F2" w:rsidP="00B14D73">
            <w:pPr>
              <w:spacing w:line="360" w:lineRule="auto"/>
              <w:rPr>
                <w:rFonts w:ascii="宋体" w:eastAsia="宋体" w:hAnsi="宋体"/>
                <w:sz w:val="21"/>
                <w:szCs w:val="21"/>
              </w:rPr>
            </w:pPr>
            <w:r w:rsidRPr="001950FA">
              <w:rPr>
                <w:rFonts w:ascii="宋体" w:eastAsia="宋体" w:hAnsi="宋体"/>
                <w:sz w:val="21"/>
                <w:szCs w:val="21"/>
              </w:rPr>
              <w:t>2025年4月29日</w:t>
            </w:r>
          </w:p>
        </w:tc>
      </w:tr>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基金管理人名称</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国泰基金管理有限公司</w:t>
            </w:r>
          </w:p>
        </w:tc>
      </w:tr>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基金托管人名称</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广发证券股份有限公司</w:t>
            </w:r>
          </w:p>
        </w:tc>
      </w:tr>
      <w:tr w:rsidR="0039192C" w:rsidRPr="001950FA" w:rsidTr="00FE7BF2">
        <w:trPr>
          <w:jc w:val="center"/>
        </w:trPr>
        <w:tc>
          <w:tcPr>
            <w:tcW w:w="4920" w:type="dxa"/>
            <w:gridSpan w:val="2"/>
          </w:tcPr>
          <w:p w:rsidR="0039192C" w:rsidRPr="001950FA" w:rsidRDefault="0039192C"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公告依据</w:t>
            </w:r>
          </w:p>
        </w:tc>
        <w:tc>
          <w:tcPr>
            <w:tcW w:w="4719" w:type="dxa"/>
            <w:gridSpan w:val="2"/>
            <w:vAlign w:val="center"/>
          </w:tcPr>
          <w:p w:rsidR="0039192C"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《中华人民共和国证券投资基金法》、《公开募集证券投资基金运作管理办法》、《国泰富时中国A股自由现金流聚焦交易型开放式指数证券投资基金发起式联接基金基金合同》等</w:t>
            </w:r>
          </w:p>
        </w:tc>
      </w:tr>
      <w:tr w:rsidR="00893436" w:rsidRPr="001950FA" w:rsidTr="00FE7BF2">
        <w:trPr>
          <w:jc w:val="center"/>
        </w:trPr>
        <w:tc>
          <w:tcPr>
            <w:tcW w:w="4920" w:type="dxa"/>
            <w:gridSpan w:val="2"/>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收益分配基准日</w:t>
            </w:r>
          </w:p>
        </w:tc>
        <w:tc>
          <w:tcPr>
            <w:tcW w:w="4719" w:type="dxa"/>
            <w:gridSpan w:val="2"/>
          </w:tcPr>
          <w:p w:rsidR="00893436" w:rsidRPr="001950FA" w:rsidRDefault="0039192C" w:rsidP="00B14D73">
            <w:pPr>
              <w:spacing w:line="360" w:lineRule="auto"/>
              <w:rPr>
                <w:rFonts w:ascii="宋体" w:eastAsia="宋体" w:hAnsi="宋体"/>
                <w:sz w:val="21"/>
                <w:szCs w:val="21"/>
              </w:rPr>
            </w:pPr>
            <w:r w:rsidRPr="001950FA">
              <w:rPr>
                <w:rFonts w:ascii="宋体" w:eastAsia="宋体" w:hAnsi="宋体"/>
                <w:sz w:val="21"/>
                <w:szCs w:val="21"/>
              </w:rPr>
              <w:t>2026年4月21日</w:t>
            </w:r>
          </w:p>
        </w:tc>
      </w:tr>
      <w:tr w:rsidR="00B84889" w:rsidRPr="001950FA" w:rsidTr="00B66754">
        <w:trPr>
          <w:jc w:val="center"/>
        </w:trPr>
        <w:tc>
          <w:tcPr>
            <w:tcW w:w="4920" w:type="dxa"/>
            <w:gridSpan w:val="2"/>
            <w:vAlign w:val="center"/>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有关年度分红次数的说明</w:t>
            </w:r>
          </w:p>
        </w:tc>
        <w:tc>
          <w:tcPr>
            <w:tcW w:w="4719" w:type="dxa"/>
            <w:gridSpan w:val="2"/>
            <w:vAlign w:val="center"/>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本次分红为2026年度第四次分红。</w:t>
            </w:r>
          </w:p>
        </w:tc>
      </w:tr>
      <w:tr w:rsidR="00B84889" w:rsidRPr="001950FA" w:rsidTr="00B66754">
        <w:trPr>
          <w:jc w:val="center"/>
        </w:trPr>
        <w:tc>
          <w:tcPr>
            <w:tcW w:w="4920" w:type="dxa"/>
            <w:gridSpan w:val="2"/>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下属分级基金的基金简称</w:t>
            </w:r>
          </w:p>
        </w:tc>
        <w:tc>
          <w:tcPr>
            <w:tcW w:w="2268"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国泰富时中国A股自由现金流聚焦ETF发起联接A</w:t>
            </w:r>
          </w:p>
        </w:tc>
        <w:tc>
          <w:tcPr>
            <w:tcW w:w="2451"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国泰富时中国A股自由现金流聚焦ETF发起联接C</w:t>
            </w:r>
          </w:p>
        </w:tc>
      </w:tr>
      <w:tr w:rsidR="00B84889" w:rsidRPr="001950FA" w:rsidTr="00B66754">
        <w:trPr>
          <w:jc w:val="center"/>
        </w:trPr>
        <w:tc>
          <w:tcPr>
            <w:tcW w:w="4920" w:type="dxa"/>
            <w:gridSpan w:val="2"/>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下属分级基金的交易代码</w:t>
            </w:r>
          </w:p>
        </w:tc>
        <w:tc>
          <w:tcPr>
            <w:tcW w:w="2268"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023919</w:t>
            </w:r>
          </w:p>
        </w:tc>
        <w:tc>
          <w:tcPr>
            <w:tcW w:w="2451"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023920</w:t>
            </w:r>
          </w:p>
        </w:tc>
      </w:tr>
      <w:tr w:rsidR="00B84889" w:rsidRPr="001950FA" w:rsidTr="00B66754">
        <w:trPr>
          <w:jc w:val="center"/>
        </w:trPr>
        <w:tc>
          <w:tcPr>
            <w:tcW w:w="2368" w:type="dxa"/>
            <w:vMerge w:val="restart"/>
            <w:vAlign w:val="center"/>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截止基准日下属分级基金的相关指标</w:t>
            </w:r>
          </w:p>
        </w:tc>
        <w:tc>
          <w:tcPr>
            <w:tcW w:w="2552" w:type="dxa"/>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基准日下属分级基金份额净值</w:t>
            </w:r>
            <w:r w:rsidRPr="001950FA">
              <w:rPr>
                <w:rFonts w:ascii="宋体" w:eastAsia="宋体" w:hAnsi="宋体" w:hint="eastAsia"/>
                <w:sz w:val="21"/>
                <w:szCs w:val="21"/>
              </w:rPr>
              <w:t>（单位：</w:t>
            </w:r>
            <w:r w:rsidRPr="001950FA">
              <w:rPr>
                <w:rFonts w:ascii="宋体" w:eastAsia="宋体" w:hAnsi="宋体" w:hint="eastAsia"/>
                <w:color w:val="000000"/>
                <w:kern w:val="0"/>
                <w:sz w:val="21"/>
                <w:szCs w:val="21"/>
              </w:rPr>
              <w:t>元</w:t>
            </w:r>
            <w:r w:rsidRPr="001950FA">
              <w:rPr>
                <w:rFonts w:ascii="宋体" w:eastAsia="宋体" w:hAnsi="宋体" w:hint="eastAsia"/>
                <w:sz w:val="21"/>
                <w:szCs w:val="21"/>
              </w:rPr>
              <w:t>）</w:t>
            </w:r>
          </w:p>
        </w:tc>
        <w:tc>
          <w:tcPr>
            <w:tcW w:w="2268"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1.1447</w:t>
            </w:r>
          </w:p>
        </w:tc>
        <w:tc>
          <w:tcPr>
            <w:tcW w:w="2451"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1.1424</w:t>
            </w:r>
          </w:p>
        </w:tc>
      </w:tr>
      <w:tr w:rsidR="00B84889" w:rsidRPr="001950FA" w:rsidTr="00B66754">
        <w:trPr>
          <w:trHeight w:val="405"/>
          <w:jc w:val="center"/>
        </w:trPr>
        <w:tc>
          <w:tcPr>
            <w:tcW w:w="2368" w:type="dxa"/>
            <w:vMerge/>
          </w:tcPr>
          <w:p w:rsidR="00B84889" w:rsidRPr="001950FA" w:rsidRDefault="00B84889" w:rsidP="00B66754">
            <w:pPr>
              <w:spacing w:line="360" w:lineRule="auto"/>
              <w:rPr>
                <w:rFonts w:ascii="宋体" w:eastAsia="宋体" w:hAnsi="宋体"/>
                <w:color w:val="000000"/>
                <w:sz w:val="21"/>
                <w:szCs w:val="21"/>
              </w:rPr>
            </w:pPr>
          </w:p>
        </w:tc>
        <w:tc>
          <w:tcPr>
            <w:tcW w:w="2552" w:type="dxa"/>
            <w:vAlign w:val="center"/>
          </w:tcPr>
          <w:p w:rsidR="00B84889" w:rsidRPr="001950FA" w:rsidRDefault="00B84889"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基准日下属分级基金可供分配利润</w:t>
            </w:r>
            <w:r w:rsidRPr="001950FA">
              <w:rPr>
                <w:rFonts w:ascii="宋体" w:eastAsia="宋体" w:hAnsi="宋体" w:hint="eastAsia"/>
                <w:sz w:val="21"/>
                <w:szCs w:val="21"/>
              </w:rPr>
              <w:t>（单位：</w:t>
            </w:r>
            <w:r w:rsidRPr="001950FA">
              <w:rPr>
                <w:rFonts w:ascii="宋体" w:eastAsia="宋体" w:hAnsi="宋体" w:hint="eastAsia"/>
                <w:color w:val="000000"/>
                <w:kern w:val="0"/>
                <w:sz w:val="21"/>
                <w:szCs w:val="21"/>
              </w:rPr>
              <w:t>元</w:t>
            </w:r>
            <w:r w:rsidRPr="001950FA">
              <w:rPr>
                <w:rFonts w:ascii="宋体" w:eastAsia="宋体" w:hAnsi="宋体" w:hint="eastAsia"/>
                <w:sz w:val="21"/>
                <w:szCs w:val="21"/>
              </w:rPr>
              <w:t>）</w:t>
            </w:r>
          </w:p>
        </w:tc>
        <w:tc>
          <w:tcPr>
            <w:tcW w:w="2268"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12,197,682.65</w:t>
            </w:r>
          </w:p>
        </w:tc>
        <w:tc>
          <w:tcPr>
            <w:tcW w:w="2451" w:type="dxa"/>
          </w:tcPr>
          <w:p w:rsidR="00B84889" w:rsidRPr="001950FA" w:rsidRDefault="00B84889" w:rsidP="00B66754">
            <w:pPr>
              <w:spacing w:line="360" w:lineRule="auto"/>
              <w:rPr>
                <w:rFonts w:ascii="宋体" w:eastAsia="宋体" w:hAnsi="宋体"/>
                <w:sz w:val="21"/>
                <w:szCs w:val="21"/>
              </w:rPr>
            </w:pPr>
            <w:r w:rsidRPr="001950FA">
              <w:rPr>
                <w:rFonts w:ascii="宋体" w:eastAsia="宋体" w:hAnsi="宋体"/>
                <w:sz w:val="21"/>
                <w:szCs w:val="21"/>
              </w:rPr>
              <w:t>5,527,394.67</w:t>
            </w:r>
          </w:p>
        </w:tc>
      </w:tr>
      <w:tr w:rsidR="00FE7BF2" w:rsidRPr="001950FA" w:rsidTr="00FE7BF2">
        <w:trPr>
          <w:jc w:val="center"/>
        </w:trPr>
        <w:tc>
          <w:tcPr>
            <w:tcW w:w="4920" w:type="dxa"/>
            <w:gridSpan w:val="2"/>
          </w:tcPr>
          <w:p w:rsidR="00FE7BF2" w:rsidRPr="001950FA" w:rsidRDefault="00FE7BF2" w:rsidP="00B66754">
            <w:pPr>
              <w:spacing w:line="360" w:lineRule="auto"/>
              <w:rPr>
                <w:rFonts w:ascii="宋体" w:eastAsia="宋体" w:hAnsi="宋体"/>
                <w:color w:val="000000"/>
                <w:sz w:val="21"/>
                <w:szCs w:val="21"/>
              </w:rPr>
            </w:pPr>
            <w:r w:rsidRPr="001950FA">
              <w:rPr>
                <w:rFonts w:ascii="宋体" w:eastAsia="宋体" w:hAnsi="宋体"/>
                <w:color w:val="000000"/>
                <w:sz w:val="21"/>
                <w:szCs w:val="21"/>
              </w:rPr>
              <w:t>本次下属分级基金分红方案（单位：元/10份基金份</w:t>
            </w:r>
            <w:r w:rsidRPr="001950FA">
              <w:rPr>
                <w:rFonts w:ascii="宋体" w:eastAsia="宋体" w:hAnsi="宋体"/>
                <w:color w:val="000000"/>
                <w:sz w:val="21"/>
                <w:szCs w:val="21"/>
              </w:rPr>
              <w:lastRenderedPageBreak/>
              <w:t>额）</w:t>
            </w:r>
          </w:p>
        </w:tc>
        <w:tc>
          <w:tcPr>
            <w:tcW w:w="2268" w:type="dxa"/>
          </w:tcPr>
          <w:p w:rsidR="00FE7BF2" w:rsidRPr="001950FA" w:rsidRDefault="00FE7BF2" w:rsidP="00B66754">
            <w:pPr>
              <w:spacing w:line="360" w:lineRule="auto"/>
              <w:rPr>
                <w:rFonts w:ascii="宋体" w:eastAsia="宋体" w:hAnsi="宋体"/>
                <w:sz w:val="21"/>
                <w:szCs w:val="21"/>
              </w:rPr>
            </w:pPr>
            <w:r w:rsidRPr="001950FA">
              <w:rPr>
                <w:rFonts w:ascii="宋体" w:eastAsia="宋体" w:hAnsi="宋体" w:hint="eastAsia"/>
                <w:sz w:val="21"/>
                <w:szCs w:val="21"/>
              </w:rPr>
              <w:lastRenderedPageBreak/>
              <w:t>0.020</w:t>
            </w:r>
          </w:p>
        </w:tc>
        <w:tc>
          <w:tcPr>
            <w:tcW w:w="2451" w:type="dxa"/>
          </w:tcPr>
          <w:p w:rsidR="00FE7BF2" w:rsidRPr="001950FA" w:rsidRDefault="00FE7BF2" w:rsidP="00B66754">
            <w:pPr>
              <w:spacing w:line="360" w:lineRule="auto"/>
              <w:rPr>
                <w:rFonts w:ascii="宋体" w:eastAsia="宋体" w:hAnsi="宋体"/>
                <w:sz w:val="21"/>
                <w:szCs w:val="21"/>
              </w:rPr>
            </w:pPr>
            <w:r w:rsidRPr="001950FA">
              <w:rPr>
                <w:rFonts w:ascii="宋体" w:eastAsia="宋体" w:hAnsi="宋体" w:hint="eastAsia"/>
                <w:sz w:val="21"/>
                <w:szCs w:val="21"/>
              </w:rPr>
              <w:t>0.020</w:t>
            </w:r>
          </w:p>
        </w:tc>
      </w:tr>
    </w:tbl>
    <w:p w:rsidR="00FE7BF2" w:rsidRPr="001950FA" w:rsidRDefault="00FE7BF2" w:rsidP="00B14D73">
      <w:pPr>
        <w:spacing w:line="360" w:lineRule="auto"/>
        <w:rPr>
          <w:rFonts w:ascii="宋体" w:eastAsia="宋体" w:hAnsi="宋体"/>
          <w:sz w:val="21"/>
          <w:szCs w:val="21"/>
        </w:rPr>
      </w:pPr>
    </w:p>
    <w:p w:rsidR="00893436" w:rsidRPr="001950FA" w:rsidRDefault="00F45E48" w:rsidP="00B14D73">
      <w:pPr>
        <w:spacing w:line="360" w:lineRule="auto"/>
        <w:rPr>
          <w:rFonts w:ascii="宋体" w:eastAsia="宋体" w:hAnsi="宋体"/>
          <w:sz w:val="21"/>
          <w:szCs w:val="21"/>
        </w:rPr>
      </w:pPr>
      <w:r w:rsidRPr="001950FA">
        <w:rPr>
          <w:rFonts w:ascii="宋体" w:eastAsia="宋体" w:hAnsi="宋体"/>
          <w:sz w:val="21"/>
          <w:szCs w:val="21"/>
        </w:rPr>
        <w:t>注：基于本基金的特点，本基金收益分配无需以弥补亏损为前提，收益分配后各类基金份额净值有可能低于面值。</w:t>
      </w:r>
    </w:p>
    <w:p w:rsidR="00893436" w:rsidRPr="001950FA" w:rsidRDefault="00893436" w:rsidP="00B14D73">
      <w:pPr>
        <w:pStyle w:val="2"/>
        <w:spacing w:line="360" w:lineRule="auto"/>
        <w:rPr>
          <w:rFonts w:ascii="宋体" w:eastAsia="宋体" w:hAnsi="宋体"/>
          <w:bCs w:val="0"/>
          <w:color w:val="000000"/>
          <w:sz w:val="21"/>
          <w:szCs w:val="21"/>
        </w:rPr>
      </w:pPr>
      <w:bookmarkStart w:id="1" w:name="_Toc275961419"/>
      <w:r w:rsidRPr="001950FA">
        <w:rPr>
          <w:rFonts w:ascii="宋体" w:eastAsia="宋体" w:hAnsi="宋体"/>
          <w:bCs w:val="0"/>
          <w:color w:val="000000"/>
          <w:sz w:val="21"/>
          <w:szCs w:val="21"/>
        </w:rPr>
        <w:t>2 与分红相关的其他信息</w:t>
      </w:r>
      <w:bookmarkEnd w:id="1"/>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34"/>
        <w:gridCol w:w="6405"/>
      </w:tblGrid>
      <w:tr w:rsidR="00893436" w:rsidRPr="001950FA" w:rsidTr="0083403A">
        <w:trPr>
          <w:jc w:val="center"/>
        </w:trPr>
        <w:tc>
          <w:tcPr>
            <w:tcW w:w="4355" w:type="dxa"/>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权益登记日</w:t>
            </w:r>
          </w:p>
        </w:tc>
        <w:tc>
          <w:tcPr>
            <w:tcW w:w="4355" w:type="dxa"/>
          </w:tcPr>
          <w:p w:rsidR="00893436" w:rsidRPr="001950FA" w:rsidRDefault="00362297" w:rsidP="00B14D73">
            <w:pPr>
              <w:spacing w:line="360" w:lineRule="auto"/>
              <w:rPr>
                <w:rFonts w:ascii="宋体" w:eastAsia="宋体" w:hAnsi="宋体"/>
                <w:sz w:val="21"/>
                <w:szCs w:val="21"/>
              </w:rPr>
            </w:pPr>
            <w:r w:rsidRPr="001950FA">
              <w:rPr>
                <w:rFonts w:ascii="宋体" w:eastAsia="宋体" w:hAnsi="宋体"/>
                <w:sz w:val="21"/>
                <w:szCs w:val="21"/>
              </w:rPr>
              <w:t>2026年4月27日</w:t>
            </w:r>
          </w:p>
        </w:tc>
      </w:tr>
      <w:tr w:rsidR="00E87601" w:rsidRPr="001950FA" w:rsidTr="00E87601">
        <w:trPr>
          <w:jc w:val="center"/>
        </w:trPr>
        <w:tc>
          <w:tcPr>
            <w:tcW w:w="4355" w:type="dxa"/>
          </w:tcPr>
          <w:p w:rsidR="0099338F" w:rsidRPr="001950FA" w:rsidRDefault="0099338F"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除息日</w:t>
            </w:r>
          </w:p>
        </w:tc>
        <w:tc>
          <w:tcPr>
            <w:tcW w:w="8710" w:type="dxa"/>
          </w:tcPr>
          <w:p w:rsidR="0099338F" w:rsidRPr="001950FA" w:rsidRDefault="0099338F" w:rsidP="00E87601">
            <w:pPr>
              <w:spacing w:line="360" w:lineRule="auto"/>
              <w:rPr>
                <w:rFonts w:ascii="宋体" w:eastAsia="宋体" w:hAnsi="宋体"/>
                <w:sz w:val="21"/>
                <w:szCs w:val="21"/>
              </w:rPr>
            </w:pPr>
            <w:r w:rsidRPr="001950FA">
              <w:rPr>
                <w:rFonts w:ascii="宋体" w:eastAsia="宋体" w:hAnsi="宋体"/>
                <w:sz w:val="21"/>
                <w:szCs w:val="21"/>
              </w:rPr>
              <w:t>2026年4月27日</w:t>
            </w:r>
          </w:p>
        </w:tc>
      </w:tr>
      <w:tr w:rsidR="00893436" w:rsidRPr="001950FA" w:rsidTr="0083403A">
        <w:trPr>
          <w:jc w:val="center"/>
        </w:trPr>
        <w:tc>
          <w:tcPr>
            <w:tcW w:w="4355" w:type="dxa"/>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现金红利发放日</w:t>
            </w:r>
          </w:p>
        </w:tc>
        <w:tc>
          <w:tcPr>
            <w:tcW w:w="4355" w:type="dxa"/>
          </w:tcPr>
          <w:p w:rsidR="00893436" w:rsidRPr="001950FA" w:rsidRDefault="00BA7F58" w:rsidP="00B14D73">
            <w:pPr>
              <w:spacing w:line="360" w:lineRule="auto"/>
              <w:rPr>
                <w:rFonts w:ascii="宋体" w:eastAsia="宋体" w:hAnsi="宋体"/>
                <w:sz w:val="21"/>
                <w:szCs w:val="21"/>
              </w:rPr>
            </w:pPr>
            <w:r w:rsidRPr="001950FA">
              <w:rPr>
                <w:rFonts w:ascii="宋体" w:eastAsia="宋体" w:hAnsi="宋体"/>
                <w:sz w:val="21"/>
                <w:szCs w:val="21"/>
              </w:rPr>
              <w:t>2026年4月28日</w:t>
            </w:r>
          </w:p>
        </w:tc>
      </w:tr>
      <w:tr w:rsidR="00893436" w:rsidRPr="001950FA" w:rsidTr="0083403A">
        <w:trPr>
          <w:jc w:val="center"/>
        </w:trPr>
        <w:tc>
          <w:tcPr>
            <w:tcW w:w="4355" w:type="dxa"/>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分红对象</w:t>
            </w:r>
          </w:p>
        </w:tc>
        <w:tc>
          <w:tcPr>
            <w:tcW w:w="4355" w:type="dxa"/>
            <w:shd w:val="clear" w:color="auto" w:fill="auto"/>
          </w:tcPr>
          <w:p w:rsidR="00893436" w:rsidRPr="001950FA" w:rsidRDefault="00BA7F58" w:rsidP="00B14D73">
            <w:pPr>
              <w:spacing w:line="360" w:lineRule="auto"/>
              <w:rPr>
                <w:rFonts w:ascii="宋体" w:eastAsia="宋体" w:hAnsi="宋体"/>
                <w:sz w:val="21"/>
                <w:szCs w:val="21"/>
              </w:rPr>
            </w:pPr>
            <w:r w:rsidRPr="001950FA">
              <w:rPr>
                <w:rFonts w:ascii="宋体" w:eastAsia="宋体" w:hAnsi="宋体"/>
                <w:sz w:val="21"/>
                <w:szCs w:val="21"/>
              </w:rPr>
              <w:t>权益登记日在注册登记机构登记在册的本基金全体基金份额持有人</w:t>
            </w:r>
          </w:p>
        </w:tc>
      </w:tr>
      <w:tr w:rsidR="00893436" w:rsidRPr="001950FA" w:rsidTr="0083403A">
        <w:trPr>
          <w:jc w:val="center"/>
        </w:trPr>
        <w:tc>
          <w:tcPr>
            <w:tcW w:w="4355" w:type="dxa"/>
            <w:shd w:val="clear" w:color="auto" w:fill="auto"/>
            <w:vAlign w:val="center"/>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红利再投资相关事项的说明</w:t>
            </w:r>
          </w:p>
        </w:tc>
        <w:tc>
          <w:tcPr>
            <w:tcW w:w="4355" w:type="dxa"/>
            <w:shd w:val="clear" w:color="auto" w:fill="auto"/>
          </w:tcPr>
          <w:p w:rsidR="00893436" w:rsidRPr="001950FA" w:rsidRDefault="00BA7F58" w:rsidP="00B14D73">
            <w:pPr>
              <w:spacing w:line="360" w:lineRule="auto"/>
              <w:rPr>
                <w:rFonts w:ascii="宋体" w:eastAsia="宋体" w:hAnsi="宋体"/>
                <w:sz w:val="21"/>
                <w:szCs w:val="21"/>
              </w:rPr>
            </w:pPr>
            <w:r w:rsidRPr="001950FA">
              <w:rPr>
                <w:rFonts w:ascii="宋体" w:eastAsia="宋体" w:hAnsi="宋体"/>
                <w:sz w:val="21"/>
                <w:szCs w:val="21"/>
              </w:rPr>
              <w:t>选择红利再投资方式的投资者，其红利将按照2026年4月27日除息后的基金份额净值为计算基准确定再投资份额。本基金管理人对红利再投资所确定的基金份额于2026年4月28日直接计入其基金账户，2026年4月29日起投资者可以查询、赎回。</w:t>
            </w:r>
          </w:p>
        </w:tc>
      </w:tr>
      <w:tr w:rsidR="00893436" w:rsidRPr="001950FA" w:rsidTr="0083403A">
        <w:trPr>
          <w:jc w:val="center"/>
        </w:trPr>
        <w:tc>
          <w:tcPr>
            <w:tcW w:w="4355" w:type="dxa"/>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税收相关事项的说明</w:t>
            </w:r>
          </w:p>
        </w:tc>
        <w:tc>
          <w:tcPr>
            <w:tcW w:w="4355" w:type="dxa"/>
            <w:shd w:val="clear" w:color="auto" w:fill="auto"/>
          </w:tcPr>
          <w:p w:rsidR="00893436" w:rsidRPr="001950FA" w:rsidRDefault="00BA7F58" w:rsidP="00B14D73">
            <w:pPr>
              <w:spacing w:line="360" w:lineRule="auto"/>
              <w:rPr>
                <w:rFonts w:ascii="宋体" w:eastAsia="宋体" w:hAnsi="宋体"/>
                <w:sz w:val="21"/>
                <w:szCs w:val="21"/>
              </w:rPr>
            </w:pPr>
            <w:r w:rsidRPr="001950FA">
              <w:rPr>
                <w:rFonts w:ascii="宋体" w:eastAsia="宋体" w:hAnsi="宋体"/>
                <w:sz w:val="21"/>
                <w:szCs w:val="21"/>
              </w:rPr>
              <w:t>根据财政部、国家税务总局的财税字【2002】128号《关于开放式证券投资基金有关税收问题的通知》，投资者(包括个人和机构投资者)从基金利润分配中取得的收入，暂不征收个人所得税和企业所得税。</w:t>
            </w:r>
          </w:p>
        </w:tc>
      </w:tr>
      <w:tr w:rsidR="00893436" w:rsidRPr="001950FA" w:rsidTr="0083403A">
        <w:trPr>
          <w:jc w:val="center"/>
        </w:trPr>
        <w:tc>
          <w:tcPr>
            <w:tcW w:w="4355" w:type="dxa"/>
          </w:tcPr>
          <w:p w:rsidR="00893436" w:rsidRPr="001950FA" w:rsidRDefault="00893436" w:rsidP="00B14D73">
            <w:pPr>
              <w:spacing w:line="360" w:lineRule="auto"/>
              <w:rPr>
                <w:rFonts w:ascii="宋体" w:eastAsia="宋体" w:hAnsi="宋体"/>
                <w:color w:val="000000"/>
                <w:sz w:val="21"/>
                <w:szCs w:val="21"/>
              </w:rPr>
            </w:pPr>
            <w:r w:rsidRPr="001950FA">
              <w:rPr>
                <w:rFonts w:ascii="宋体" w:eastAsia="宋体" w:hAnsi="宋体"/>
                <w:color w:val="000000"/>
                <w:sz w:val="21"/>
                <w:szCs w:val="21"/>
              </w:rPr>
              <w:t>费用相关事项的说明</w:t>
            </w:r>
          </w:p>
        </w:tc>
        <w:tc>
          <w:tcPr>
            <w:tcW w:w="4355" w:type="dxa"/>
            <w:shd w:val="clear" w:color="auto" w:fill="auto"/>
          </w:tcPr>
          <w:p w:rsidR="00893436" w:rsidRPr="001950FA" w:rsidRDefault="00BA7F58" w:rsidP="00B14D73">
            <w:pPr>
              <w:spacing w:line="360" w:lineRule="auto"/>
              <w:rPr>
                <w:rFonts w:ascii="宋体" w:eastAsia="宋体" w:hAnsi="宋体"/>
                <w:sz w:val="21"/>
                <w:szCs w:val="21"/>
              </w:rPr>
            </w:pPr>
            <w:r w:rsidRPr="001950FA">
              <w:rPr>
                <w:rFonts w:ascii="宋体" w:eastAsia="宋体" w:hAnsi="宋体"/>
                <w:sz w:val="21"/>
                <w:szCs w:val="21"/>
              </w:rPr>
              <w:t>本基金本次分红免收分红手续费。</w:t>
            </w:r>
          </w:p>
        </w:tc>
      </w:tr>
    </w:tbl>
    <w:p w:rsidR="00893436" w:rsidRPr="001950FA" w:rsidRDefault="00893436" w:rsidP="00B14D73">
      <w:pPr>
        <w:pStyle w:val="2"/>
        <w:spacing w:line="360" w:lineRule="auto"/>
        <w:rPr>
          <w:rFonts w:ascii="宋体" w:eastAsia="宋体" w:hAnsi="宋体"/>
          <w:bCs w:val="0"/>
          <w:color w:val="000000"/>
          <w:sz w:val="21"/>
          <w:szCs w:val="21"/>
        </w:rPr>
      </w:pPr>
      <w:bookmarkStart w:id="2" w:name="_Toc275961420"/>
      <w:r w:rsidRPr="001950FA">
        <w:rPr>
          <w:rFonts w:ascii="宋体" w:eastAsia="宋体" w:hAnsi="宋体"/>
          <w:bCs w:val="0"/>
          <w:color w:val="000000"/>
          <w:sz w:val="21"/>
          <w:szCs w:val="21"/>
        </w:rPr>
        <w:t>3 其他需要提示的事项</w:t>
      </w:r>
      <w:bookmarkEnd w:id="2"/>
    </w:p>
    <w:p w:rsidR="00DB73E1" w:rsidRDefault="000E6344">
      <w:pPr>
        <w:spacing w:line="360" w:lineRule="auto"/>
        <w:ind w:firstLineChars="200" w:firstLine="420"/>
        <w:rPr>
          <w:rFonts w:ascii="宋体" w:eastAsia="宋体" w:hAnsi="宋体"/>
          <w:sz w:val="21"/>
          <w:szCs w:val="21"/>
        </w:rPr>
      </w:pPr>
      <w:r>
        <w:rPr>
          <w:rFonts w:ascii="宋体" w:eastAsia="宋体" w:hAnsi="宋体"/>
          <w:sz w:val="21"/>
          <w:szCs w:val="21"/>
        </w:rPr>
        <w:t>（1）提示</w:t>
      </w:r>
    </w:p>
    <w:p w:rsidR="00DB73E1" w:rsidRDefault="000E6344">
      <w:pPr>
        <w:spacing w:line="360" w:lineRule="auto"/>
        <w:ind w:firstLineChars="200" w:firstLine="420"/>
        <w:rPr>
          <w:rFonts w:ascii="宋体" w:eastAsia="宋体" w:hAnsi="宋体"/>
          <w:sz w:val="21"/>
          <w:szCs w:val="21"/>
        </w:rPr>
      </w:pPr>
      <w:r>
        <w:rPr>
          <w:rFonts w:ascii="宋体" w:eastAsia="宋体" w:hAnsi="宋体"/>
          <w:sz w:val="21"/>
          <w:szCs w:val="21"/>
        </w:rPr>
        <w:t>权益登记日以后（含权益登记日）申请申购或转入的基金份额不享有本次分红权益，权益登记日以后（含权益登记日）申请赎回或转出的基金份额享有本次分红权益。</w:t>
      </w:r>
    </w:p>
    <w:p w:rsidR="00DB73E1" w:rsidRDefault="000E6344">
      <w:pPr>
        <w:spacing w:line="360" w:lineRule="auto"/>
        <w:ind w:firstLineChars="200" w:firstLine="420"/>
        <w:rPr>
          <w:rFonts w:ascii="宋体" w:eastAsia="宋体" w:hAnsi="宋体"/>
          <w:sz w:val="21"/>
          <w:szCs w:val="21"/>
        </w:rPr>
      </w:pPr>
      <w:r>
        <w:rPr>
          <w:rFonts w:ascii="宋体" w:eastAsia="宋体" w:hAnsi="宋体"/>
          <w:sz w:val="21"/>
          <w:szCs w:val="21"/>
        </w:rPr>
        <w:t>（2）咨询办法</w:t>
      </w:r>
    </w:p>
    <w:p w:rsidR="00DB73E1" w:rsidRDefault="000E6344">
      <w:pPr>
        <w:spacing w:line="360" w:lineRule="auto"/>
        <w:ind w:firstLineChars="200" w:firstLine="420"/>
        <w:rPr>
          <w:rFonts w:ascii="宋体" w:eastAsia="宋体" w:hAnsi="宋体"/>
          <w:sz w:val="21"/>
          <w:szCs w:val="21"/>
        </w:rPr>
      </w:pPr>
      <w:r>
        <w:rPr>
          <w:rFonts w:ascii="宋体" w:eastAsia="宋体" w:hAnsi="宋体"/>
          <w:sz w:val="21"/>
          <w:szCs w:val="21"/>
        </w:rPr>
        <w:t>1）国泰基金管理有限公司网站：www.gtfund.com；</w:t>
      </w:r>
    </w:p>
    <w:p w:rsidR="00DB73E1" w:rsidRDefault="000E6344">
      <w:pPr>
        <w:spacing w:line="360" w:lineRule="auto"/>
        <w:ind w:firstLineChars="200" w:firstLine="420"/>
        <w:rPr>
          <w:rFonts w:ascii="宋体" w:eastAsia="宋体" w:hAnsi="宋体"/>
          <w:sz w:val="21"/>
          <w:szCs w:val="21"/>
        </w:rPr>
      </w:pPr>
      <w:r>
        <w:rPr>
          <w:rFonts w:ascii="宋体" w:eastAsia="宋体" w:hAnsi="宋体"/>
          <w:sz w:val="21"/>
          <w:szCs w:val="21"/>
        </w:rPr>
        <w:t>2）国泰基金管理有限公司客户服务热线：400-888-8688（免长途话费）、021-31089000；</w:t>
      </w:r>
    </w:p>
    <w:p w:rsidR="00B66754" w:rsidRDefault="00284B1B" w:rsidP="0083403A">
      <w:pPr>
        <w:spacing w:line="360" w:lineRule="auto"/>
        <w:ind w:firstLineChars="200" w:firstLine="420"/>
        <w:rPr>
          <w:rFonts w:ascii="宋体" w:eastAsia="宋体" w:hAnsi="宋体"/>
          <w:sz w:val="21"/>
          <w:szCs w:val="21"/>
        </w:rPr>
      </w:pPr>
      <w:r w:rsidRPr="001950FA">
        <w:rPr>
          <w:rFonts w:ascii="宋体" w:eastAsia="宋体" w:hAnsi="宋体"/>
          <w:sz w:val="21"/>
          <w:szCs w:val="21"/>
        </w:rPr>
        <w:t>3）国泰基金管理有限公司直销网点及本基金各销售机构的相关网点。</w:t>
      </w:r>
    </w:p>
    <w:p w:rsidR="00157206" w:rsidRDefault="00157206" w:rsidP="0083403A">
      <w:pPr>
        <w:spacing w:line="360" w:lineRule="auto"/>
        <w:ind w:firstLineChars="200" w:firstLine="420"/>
        <w:rPr>
          <w:rFonts w:ascii="宋体" w:eastAsia="宋体" w:hAnsi="宋体"/>
          <w:sz w:val="21"/>
          <w:szCs w:val="21"/>
        </w:rPr>
      </w:pPr>
    </w:p>
    <w:p w:rsidR="00157206" w:rsidRDefault="00157206" w:rsidP="0083403A">
      <w:pPr>
        <w:spacing w:line="360" w:lineRule="auto"/>
        <w:ind w:firstLineChars="200" w:firstLine="420"/>
        <w:rPr>
          <w:rFonts w:ascii="宋体" w:eastAsia="宋体" w:hAnsi="宋体"/>
          <w:sz w:val="21"/>
          <w:szCs w:val="21"/>
        </w:rPr>
      </w:pPr>
    </w:p>
    <w:p w:rsidR="00157206" w:rsidRDefault="00157206" w:rsidP="0083403A">
      <w:pPr>
        <w:spacing w:line="360" w:lineRule="auto"/>
        <w:ind w:firstLineChars="200" w:firstLine="420"/>
        <w:rPr>
          <w:rFonts w:ascii="宋体" w:eastAsia="宋体" w:hAnsi="宋体"/>
          <w:sz w:val="21"/>
          <w:szCs w:val="21"/>
        </w:rPr>
      </w:pPr>
    </w:p>
    <w:p w:rsidR="00784965" w:rsidRDefault="00784965" w:rsidP="0083403A">
      <w:pPr>
        <w:spacing w:line="360" w:lineRule="auto"/>
        <w:ind w:firstLineChars="200" w:firstLine="420"/>
        <w:rPr>
          <w:rFonts w:ascii="宋体" w:eastAsia="宋体" w:hAnsi="宋体"/>
          <w:sz w:val="21"/>
          <w:szCs w:val="21"/>
        </w:rPr>
      </w:pPr>
    </w:p>
    <w:p w:rsidR="00157206" w:rsidRPr="007F5690" w:rsidRDefault="00157206" w:rsidP="00157206">
      <w:pPr>
        <w:spacing w:line="360" w:lineRule="auto"/>
        <w:jc w:val="right"/>
        <w:rPr>
          <w:rFonts w:ascii="宋体" w:eastAsia="宋体" w:hAnsi="宋体"/>
          <w:color w:val="000000"/>
          <w:sz w:val="21"/>
          <w:szCs w:val="21"/>
        </w:rPr>
      </w:pPr>
      <w:r w:rsidRPr="007F5690">
        <w:rPr>
          <w:rFonts w:ascii="宋体" w:eastAsia="宋体" w:hAnsi="宋体"/>
          <w:color w:val="000000"/>
          <w:sz w:val="21"/>
          <w:szCs w:val="21"/>
        </w:rPr>
        <w:t>国泰基金管理有限公司</w:t>
      </w:r>
    </w:p>
    <w:p w:rsidR="00157206" w:rsidRPr="007F5690" w:rsidRDefault="00157206" w:rsidP="00157206">
      <w:pPr>
        <w:spacing w:line="360" w:lineRule="auto"/>
        <w:jc w:val="right"/>
        <w:rPr>
          <w:rFonts w:ascii="宋体" w:eastAsia="宋体" w:hAnsi="宋体"/>
          <w:color w:val="000000"/>
          <w:sz w:val="21"/>
          <w:szCs w:val="21"/>
        </w:rPr>
      </w:pPr>
      <w:r w:rsidRPr="007F5690">
        <w:rPr>
          <w:rFonts w:ascii="宋体" w:eastAsia="宋体" w:hAnsi="宋体"/>
          <w:color w:val="000000"/>
          <w:sz w:val="21"/>
          <w:szCs w:val="21"/>
        </w:rPr>
        <w:t>二〇二六年四月二十四日</w:t>
      </w:r>
    </w:p>
    <w:sectPr w:rsidR="00157206" w:rsidRPr="007F5690" w:rsidSect="00111BD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754" w:rsidRDefault="00B66754" w:rsidP="00893436">
      <w:r>
        <w:separator/>
      </w:r>
    </w:p>
  </w:endnote>
  <w:endnote w:type="continuationSeparator" w:id="0">
    <w:p w:rsidR="00B66754" w:rsidRDefault="00B66754" w:rsidP="008934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仿宋简体">
    <w:altName w:val="宋体"/>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754" w:rsidRDefault="00B66754" w:rsidP="00893436">
      <w:r>
        <w:separator/>
      </w:r>
    </w:p>
  </w:footnote>
  <w:footnote w:type="continuationSeparator" w:id="0">
    <w:p w:rsidR="00B66754" w:rsidRDefault="00B66754" w:rsidP="0089343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3436"/>
    <w:rsid w:val="00041353"/>
    <w:rsid w:val="00053698"/>
    <w:rsid w:val="00057AC1"/>
    <w:rsid w:val="00085F5C"/>
    <w:rsid w:val="0009778C"/>
    <w:rsid w:val="000A19B2"/>
    <w:rsid w:val="000C39F6"/>
    <w:rsid w:val="000E2D66"/>
    <w:rsid w:val="000E6344"/>
    <w:rsid w:val="00111BD0"/>
    <w:rsid w:val="00135CA1"/>
    <w:rsid w:val="00157206"/>
    <w:rsid w:val="0016074B"/>
    <w:rsid w:val="0017077E"/>
    <w:rsid w:val="001950FA"/>
    <w:rsid w:val="00226206"/>
    <w:rsid w:val="00242E4D"/>
    <w:rsid w:val="00266A99"/>
    <w:rsid w:val="00284B1B"/>
    <w:rsid w:val="002A63B7"/>
    <w:rsid w:val="002B6A76"/>
    <w:rsid w:val="003160F8"/>
    <w:rsid w:val="0032061C"/>
    <w:rsid w:val="00323007"/>
    <w:rsid w:val="003340A3"/>
    <w:rsid w:val="00362297"/>
    <w:rsid w:val="0039192C"/>
    <w:rsid w:val="003E51F2"/>
    <w:rsid w:val="003E715B"/>
    <w:rsid w:val="00410642"/>
    <w:rsid w:val="00413675"/>
    <w:rsid w:val="0046617D"/>
    <w:rsid w:val="0046784D"/>
    <w:rsid w:val="00486934"/>
    <w:rsid w:val="004966BA"/>
    <w:rsid w:val="0050279B"/>
    <w:rsid w:val="00506E3A"/>
    <w:rsid w:val="005715B6"/>
    <w:rsid w:val="005C74A7"/>
    <w:rsid w:val="00602C3F"/>
    <w:rsid w:val="006602FD"/>
    <w:rsid w:val="006649D0"/>
    <w:rsid w:val="00687863"/>
    <w:rsid w:val="006A2E06"/>
    <w:rsid w:val="00721B55"/>
    <w:rsid w:val="00784965"/>
    <w:rsid w:val="007C7B20"/>
    <w:rsid w:val="007D292D"/>
    <w:rsid w:val="0083403A"/>
    <w:rsid w:val="008656F5"/>
    <w:rsid w:val="00880E4A"/>
    <w:rsid w:val="00893436"/>
    <w:rsid w:val="008B4234"/>
    <w:rsid w:val="008D1F66"/>
    <w:rsid w:val="009302F7"/>
    <w:rsid w:val="009732A4"/>
    <w:rsid w:val="0099338F"/>
    <w:rsid w:val="009B4BCB"/>
    <w:rsid w:val="009C662E"/>
    <w:rsid w:val="00A628C4"/>
    <w:rsid w:val="00A81C93"/>
    <w:rsid w:val="00A83087"/>
    <w:rsid w:val="00A92D2B"/>
    <w:rsid w:val="00AA5824"/>
    <w:rsid w:val="00AB6D44"/>
    <w:rsid w:val="00B11F02"/>
    <w:rsid w:val="00B14D73"/>
    <w:rsid w:val="00B44BBE"/>
    <w:rsid w:val="00B66754"/>
    <w:rsid w:val="00B77B08"/>
    <w:rsid w:val="00B84889"/>
    <w:rsid w:val="00BA2102"/>
    <w:rsid w:val="00BA7F58"/>
    <w:rsid w:val="00BD7533"/>
    <w:rsid w:val="00BF5698"/>
    <w:rsid w:val="00C33DDD"/>
    <w:rsid w:val="00C3473F"/>
    <w:rsid w:val="00C82C9D"/>
    <w:rsid w:val="00C93BA2"/>
    <w:rsid w:val="00CB3D18"/>
    <w:rsid w:val="00CC333F"/>
    <w:rsid w:val="00CC53FB"/>
    <w:rsid w:val="00CF600F"/>
    <w:rsid w:val="00D20292"/>
    <w:rsid w:val="00DA77C4"/>
    <w:rsid w:val="00DB6924"/>
    <w:rsid w:val="00DB73E1"/>
    <w:rsid w:val="00E24390"/>
    <w:rsid w:val="00E379B4"/>
    <w:rsid w:val="00E8116A"/>
    <w:rsid w:val="00E87601"/>
    <w:rsid w:val="00F0033B"/>
    <w:rsid w:val="00F055D7"/>
    <w:rsid w:val="00F4212E"/>
    <w:rsid w:val="00F45E48"/>
    <w:rsid w:val="00FC4488"/>
    <w:rsid w:val="00FE7BF2"/>
    <w:rsid w:val="00FF0BA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436"/>
    <w:pPr>
      <w:widowControl w:val="0"/>
      <w:jc w:val="both"/>
    </w:pPr>
    <w:rPr>
      <w:rFonts w:ascii="Times New Roman" w:eastAsia="方正仿宋简体" w:hAnsi="Times New Roman"/>
      <w:kern w:val="2"/>
      <w:sz w:val="32"/>
    </w:rPr>
  </w:style>
  <w:style w:type="paragraph" w:styleId="1">
    <w:name w:val="heading 1"/>
    <w:basedOn w:val="a"/>
    <w:next w:val="a"/>
    <w:link w:val="10"/>
    <w:qFormat/>
    <w:rsid w:val="00893436"/>
    <w:pPr>
      <w:keepNext/>
      <w:keepLines/>
      <w:spacing w:before="340" w:after="330" w:line="578" w:lineRule="auto"/>
      <w:outlineLvl w:val="0"/>
    </w:pPr>
    <w:rPr>
      <w:rFonts w:eastAsia="宋体"/>
      <w:b/>
      <w:bCs/>
      <w:kern w:val="44"/>
      <w:sz w:val="44"/>
      <w:szCs w:val="44"/>
    </w:rPr>
  </w:style>
  <w:style w:type="paragraph" w:styleId="2">
    <w:name w:val="heading 2"/>
    <w:basedOn w:val="a"/>
    <w:next w:val="a"/>
    <w:link w:val="20"/>
    <w:qFormat/>
    <w:rsid w:val="00893436"/>
    <w:pPr>
      <w:keepNext/>
      <w:keepLines/>
      <w:spacing w:before="260" w:after="260" w:line="416" w:lineRule="auto"/>
      <w:outlineLvl w:val="1"/>
    </w:pPr>
    <w:rPr>
      <w:rFonts w:ascii="Arial" w:eastAsia="黑体" w:hAnsi="Arial"/>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893436"/>
    <w:rPr>
      <w:rFonts w:ascii="Times New Roman" w:eastAsia="宋体" w:hAnsi="Times New Roman" w:cs="Times New Roman"/>
      <w:b/>
      <w:bCs/>
      <w:kern w:val="44"/>
      <w:sz w:val="44"/>
      <w:szCs w:val="44"/>
    </w:rPr>
  </w:style>
  <w:style w:type="character" w:customStyle="1" w:styleId="20">
    <w:name w:val="标题 2 字符"/>
    <w:link w:val="2"/>
    <w:rsid w:val="00893436"/>
    <w:rPr>
      <w:rFonts w:ascii="Arial" w:eastAsia="黑体" w:hAnsi="Arial" w:cs="Times New Roman"/>
      <w:b/>
      <w:bCs/>
      <w:sz w:val="32"/>
      <w:szCs w:val="32"/>
    </w:rPr>
  </w:style>
  <w:style w:type="character" w:styleId="a3">
    <w:name w:val="footnote reference"/>
    <w:rsid w:val="00893436"/>
    <w:rPr>
      <w:vertAlign w:val="superscript"/>
    </w:rPr>
  </w:style>
  <w:style w:type="paragraph" w:styleId="a4">
    <w:name w:val="footnote text"/>
    <w:basedOn w:val="a"/>
    <w:link w:val="a5"/>
    <w:rsid w:val="00893436"/>
    <w:pPr>
      <w:snapToGrid w:val="0"/>
      <w:jc w:val="left"/>
    </w:pPr>
    <w:rPr>
      <w:rFonts w:eastAsia="宋体"/>
      <w:sz w:val="18"/>
    </w:rPr>
  </w:style>
  <w:style w:type="character" w:customStyle="1" w:styleId="a5">
    <w:name w:val="脚注文本 字符"/>
    <w:link w:val="a4"/>
    <w:rsid w:val="00893436"/>
    <w:rPr>
      <w:rFonts w:ascii="Times New Roman" w:eastAsia="宋体" w:hAnsi="Times New Roman" w:cs="Times New Roman"/>
      <w:sz w:val="18"/>
      <w:szCs w:val="20"/>
    </w:rPr>
  </w:style>
  <w:style w:type="paragraph" w:styleId="a6">
    <w:name w:val="Document Map"/>
    <w:basedOn w:val="a"/>
    <w:link w:val="a7"/>
    <w:uiPriority w:val="99"/>
    <w:semiHidden/>
    <w:unhideWhenUsed/>
    <w:rsid w:val="00893436"/>
    <w:rPr>
      <w:rFonts w:ascii="宋体" w:eastAsia="宋体"/>
      <w:sz w:val="18"/>
      <w:szCs w:val="18"/>
    </w:rPr>
  </w:style>
  <w:style w:type="character" w:customStyle="1" w:styleId="a7">
    <w:name w:val="文档结构图 字符"/>
    <w:link w:val="a6"/>
    <w:uiPriority w:val="99"/>
    <w:semiHidden/>
    <w:rsid w:val="00893436"/>
    <w:rPr>
      <w:rFonts w:ascii="宋体" w:eastAsia="宋体" w:hAnsi="Times New Roman" w:cs="Times New Roman"/>
      <w:sz w:val="18"/>
      <w:szCs w:val="18"/>
    </w:rPr>
  </w:style>
  <w:style w:type="paragraph" w:styleId="a8">
    <w:name w:val="header"/>
    <w:basedOn w:val="a"/>
    <w:link w:val="a9"/>
    <w:uiPriority w:val="99"/>
    <w:unhideWhenUsed/>
    <w:rsid w:val="003160F8"/>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a8"/>
    <w:uiPriority w:val="99"/>
    <w:rsid w:val="003160F8"/>
    <w:rPr>
      <w:rFonts w:ascii="Times New Roman" w:eastAsia="方正仿宋简体" w:hAnsi="Times New Roman" w:cs="Times New Roman"/>
      <w:sz w:val="18"/>
      <w:szCs w:val="18"/>
    </w:rPr>
  </w:style>
  <w:style w:type="paragraph" w:styleId="aa">
    <w:name w:val="footer"/>
    <w:basedOn w:val="a"/>
    <w:link w:val="ab"/>
    <w:uiPriority w:val="99"/>
    <w:unhideWhenUsed/>
    <w:rsid w:val="003160F8"/>
    <w:pPr>
      <w:tabs>
        <w:tab w:val="center" w:pos="4153"/>
        <w:tab w:val="right" w:pos="8306"/>
      </w:tabs>
      <w:snapToGrid w:val="0"/>
      <w:jc w:val="left"/>
    </w:pPr>
    <w:rPr>
      <w:sz w:val="18"/>
      <w:szCs w:val="18"/>
    </w:rPr>
  </w:style>
  <w:style w:type="character" w:customStyle="1" w:styleId="ab">
    <w:name w:val="页脚 字符"/>
    <w:link w:val="aa"/>
    <w:uiPriority w:val="99"/>
    <w:rsid w:val="003160F8"/>
    <w:rPr>
      <w:rFonts w:ascii="Times New Roman" w:eastAsia="方正仿宋简体" w:hAnsi="Times New Roman" w:cs="Times New Roman"/>
      <w:sz w:val="18"/>
      <w:szCs w:val="18"/>
    </w:rPr>
  </w:style>
  <w:style w:type="paragraph" w:styleId="ac">
    <w:name w:val="Balloon Text"/>
    <w:basedOn w:val="a"/>
    <w:link w:val="ad"/>
    <w:uiPriority w:val="99"/>
    <w:semiHidden/>
    <w:unhideWhenUsed/>
    <w:rsid w:val="00B44BBE"/>
    <w:rPr>
      <w:sz w:val="18"/>
      <w:szCs w:val="18"/>
    </w:rPr>
  </w:style>
  <w:style w:type="character" w:customStyle="1" w:styleId="ad">
    <w:name w:val="批注框文本 字符"/>
    <w:link w:val="ac"/>
    <w:uiPriority w:val="99"/>
    <w:semiHidden/>
    <w:rsid w:val="00B44BBE"/>
    <w:rPr>
      <w:rFonts w:ascii="Times New Roman" w:eastAsia="方正仿宋简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253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186</Words>
  <Characters>1063</Characters>
  <Application>Microsoft Office Word</Application>
  <DocSecurity>4</DocSecurity>
  <Lines>8</Lines>
  <Paragraphs>2</Paragraphs>
  <ScaleCrop>false</ScaleCrop>
  <Company>微软中国</Company>
  <LinksUpToDate>false</LinksUpToDate>
  <CharactersWithSpaces>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ZHONGM</cp:lastModifiedBy>
  <cp:revision>2</cp:revision>
  <dcterms:created xsi:type="dcterms:W3CDTF">2026-04-23T16:01:00Z</dcterms:created>
  <dcterms:modified xsi:type="dcterms:W3CDTF">2026-04-23T16:01:00Z</dcterms:modified>
</cp:coreProperties>
</file>