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225" w:rsidRDefault="00CB635D">
      <w:pPr>
        <w:pStyle w:val="font14"/>
        <w:jc w:val="center"/>
        <w:rPr>
          <w:rFonts w:ascii="Times New Roman" w:hAnsi="Times New Roman" w:cs="Times New Roman"/>
          <w:sz w:val="36"/>
          <w:szCs w:val="36"/>
        </w:rPr>
      </w:pPr>
      <w:r>
        <w:rPr>
          <w:rStyle w:val="a8"/>
          <w:rFonts w:ascii="Times New Roman" w:hAnsi="Times New Roman" w:cs="Times New Roman"/>
          <w:sz w:val="36"/>
          <w:szCs w:val="36"/>
        </w:rPr>
        <w:t>易方达基金管理有限公司关于旗下部分基金获配晶丰明源（</w:t>
      </w:r>
      <w:r>
        <w:rPr>
          <w:rStyle w:val="a8"/>
          <w:rFonts w:ascii="Times New Roman" w:hAnsi="Times New Roman" w:cs="Times New Roman"/>
          <w:sz w:val="36"/>
          <w:szCs w:val="36"/>
        </w:rPr>
        <w:t>688368</w:t>
      </w:r>
      <w:r>
        <w:rPr>
          <w:rStyle w:val="a8"/>
          <w:rFonts w:ascii="Times New Roman" w:hAnsi="Times New Roman" w:cs="Times New Roman"/>
          <w:sz w:val="36"/>
          <w:szCs w:val="36"/>
        </w:rPr>
        <w:t>）非公开发行</w:t>
      </w:r>
      <w:r>
        <w:rPr>
          <w:rStyle w:val="a8"/>
          <w:rFonts w:ascii="Times New Roman" w:hAnsi="Times New Roman" w:cs="Times New Roman"/>
          <w:sz w:val="36"/>
          <w:szCs w:val="36"/>
        </w:rPr>
        <w:t>A</w:t>
      </w:r>
      <w:r>
        <w:rPr>
          <w:rStyle w:val="a8"/>
          <w:rFonts w:ascii="Times New Roman" w:hAnsi="Times New Roman" w:cs="Times New Roman"/>
          <w:sz w:val="36"/>
          <w:szCs w:val="36"/>
        </w:rPr>
        <w:t>股的公告</w:t>
      </w:r>
    </w:p>
    <w:p w:rsidR="00E90225" w:rsidRDefault="00CB635D">
      <w:pPr>
        <w:widowControl/>
        <w:spacing w:line="360" w:lineRule="auto"/>
        <w:ind w:firstLineChars="200" w:firstLine="480"/>
        <w:rPr>
          <w:kern w:val="0"/>
          <w:sz w:val="24"/>
        </w:rPr>
      </w:pPr>
      <w:r>
        <w:rPr>
          <w:kern w:val="0"/>
          <w:sz w:val="24"/>
        </w:rPr>
        <w:t>易方达基金管理有限公司</w:t>
      </w:r>
      <w:r>
        <w:rPr>
          <w:rFonts w:hint="eastAsia"/>
          <w:kern w:val="0"/>
          <w:sz w:val="24"/>
        </w:rPr>
        <w:t>（</w:t>
      </w:r>
      <w:r>
        <w:rPr>
          <w:kern w:val="0"/>
          <w:sz w:val="24"/>
        </w:rPr>
        <w:t>以下简称</w:t>
      </w:r>
      <w:r>
        <w:rPr>
          <w:rFonts w:hint="eastAsia"/>
          <w:kern w:val="0"/>
          <w:sz w:val="24"/>
        </w:rPr>
        <w:t>“</w:t>
      </w:r>
      <w:r>
        <w:rPr>
          <w:kern w:val="0"/>
          <w:sz w:val="24"/>
        </w:rPr>
        <w:t>本公司</w:t>
      </w:r>
      <w:r>
        <w:rPr>
          <w:rFonts w:hint="eastAsia"/>
          <w:kern w:val="0"/>
          <w:sz w:val="24"/>
        </w:rPr>
        <w:t>”）</w:t>
      </w:r>
      <w:r>
        <w:rPr>
          <w:kern w:val="0"/>
          <w:sz w:val="24"/>
        </w:rPr>
        <w:t>所管理的部分基金参加了上海晶丰明源半导体股份有限公司非公开发行股票的认购。</w:t>
      </w:r>
    </w:p>
    <w:p w:rsidR="00E90225" w:rsidRDefault="00CB635D">
      <w:pPr>
        <w:widowControl/>
        <w:spacing w:after="240" w:line="360" w:lineRule="auto"/>
        <w:ind w:firstLineChars="200" w:firstLine="480"/>
        <w:rPr>
          <w:kern w:val="0"/>
          <w:sz w:val="24"/>
        </w:rPr>
      </w:pPr>
      <w:r>
        <w:rPr>
          <w:kern w:val="0"/>
          <w:sz w:val="24"/>
        </w:rPr>
        <w:t>根据《公开募集证券投资基金信息披露管理办法》《关于基金投资非公开发行股票等流通受限证券有关问题的通知》等有关规定</w:t>
      </w:r>
      <w:r>
        <w:rPr>
          <w:rFonts w:hint="eastAsia"/>
          <w:kern w:val="0"/>
          <w:sz w:val="24"/>
        </w:rPr>
        <w:t>，</w:t>
      </w:r>
      <w:r>
        <w:rPr>
          <w:kern w:val="0"/>
          <w:sz w:val="24"/>
        </w:rPr>
        <w:t>本公司现将</w:t>
      </w:r>
      <w:r>
        <w:rPr>
          <w:rFonts w:hint="eastAsia"/>
          <w:kern w:val="0"/>
          <w:sz w:val="24"/>
        </w:rPr>
        <w:t>旗下</w:t>
      </w:r>
      <w:r>
        <w:rPr>
          <w:kern w:val="0"/>
          <w:sz w:val="24"/>
        </w:rPr>
        <w:t>基金获配上海晶丰明源半导体股份有限公司非公开发行股票情况披露如下：</w:t>
      </w:r>
    </w:p>
    <w:tbl>
      <w:tblPr>
        <w:tblStyle w:val="a7"/>
        <w:tblW w:w="0" w:type="auto"/>
        <w:jc w:val="center"/>
        <w:tblLook w:val="04A0"/>
      </w:tblPr>
      <w:tblGrid>
        <w:gridCol w:w="2370"/>
        <w:gridCol w:w="1005"/>
        <w:gridCol w:w="1477"/>
        <w:gridCol w:w="831"/>
        <w:gridCol w:w="1424"/>
        <w:gridCol w:w="875"/>
        <w:gridCol w:w="540"/>
      </w:tblGrid>
      <w:tr w:rsidR="00E90225">
        <w:trPr>
          <w:jc w:val="center"/>
        </w:trPr>
        <w:tc>
          <w:tcPr>
            <w:tcW w:w="992" w:type="dxa"/>
            <w:vAlign w:val="center"/>
          </w:tcPr>
          <w:p w:rsidR="00E90225" w:rsidRDefault="00CB635D">
            <w:pPr>
              <w:widowControl/>
              <w:jc w:val="center"/>
              <w:rPr>
                <w:color w:val="000000"/>
                <w:kern w:val="0"/>
                <w:szCs w:val="21"/>
              </w:rPr>
            </w:pPr>
            <w:r>
              <w:rPr>
                <w:color w:val="000000"/>
                <w:kern w:val="0"/>
                <w:szCs w:val="21"/>
              </w:rPr>
              <w:t>基金名称</w:t>
            </w:r>
          </w:p>
        </w:tc>
        <w:tc>
          <w:tcPr>
            <w:tcW w:w="1241" w:type="dxa"/>
            <w:vAlign w:val="center"/>
          </w:tcPr>
          <w:p w:rsidR="00E90225" w:rsidRDefault="00CB635D">
            <w:pPr>
              <w:widowControl/>
              <w:jc w:val="center"/>
              <w:rPr>
                <w:color w:val="000000"/>
                <w:kern w:val="0"/>
                <w:szCs w:val="21"/>
              </w:rPr>
            </w:pPr>
            <w:r>
              <w:rPr>
                <w:color w:val="000000"/>
                <w:kern w:val="0"/>
                <w:szCs w:val="21"/>
              </w:rPr>
              <w:t>获配数量（股）</w:t>
            </w:r>
          </w:p>
        </w:tc>
        <w:tc>
          <w:tcPr>
            <w:tcW w:w="1594" w:type="dxa"/>
            <w:vAlign w:val="center"/>
          </w:tcPr>
          <w:p w:rsidR="00E90225" w:rsidRDefault="00CB635D">
            <w:pPr>
              <w:widowControl/>
              <w:jc w:val="center"/>
              <w:rPr>
                <w:color w:val="000000"/>
                <w:kern w:val="0"/>
                <w:szCs w:val="21"/>
              </w:rPr>
            </w:pPr>
            <w:r>
              <w:rPr>
                <w:color w:val="000000"/>
                <w:kern w:val="0"/>
                <w:szCs w:val="21"/>
              </w:rPr>
              <w:t>总成本（元）</w:t>
            </w:r>
          </w:p>
        </w:tc>
        <w:tc>
          <w:tcPr>
            <w:tcW w:w="993" w:type="dxa"/>
            <w:vAlign w:val="center"/>
          </w:tcPr>
          <w:p w:rsidR="00E90225" w:rsidRDefault="00CB635D">
            <w:pPr>
              <w:widowControl/>
              <w:jc w:val="center"/>
              <w:rPr>
                <w:color w:val="000000"/>
                <w:kern w:val="0"/>
                <w:szCs w:val="21"/>
              </w:rPr>
            </w:pPr>
            <w:r>
              <w:rPr>
                <w:color w:val="000000"/>
                <w:kern w:val="0"/>
                <w:szCs w:val="21"/>
              </w:rPr>
              <w:t>总成本占基金资产净值比例</w:t>
            </w:r>
          </w:p>
        </w:tc>
        <w:tc>
          <w:tcPr>
            <w:tcW w:w="1417" w:type="dxa"/>
            <w:vAlign w:val="center"/>
          </w:tcPr>
          <w:p w:rsidR="00E90225" w:rsidRDefault="00CB635D">
            <w:pPr>
              <w:widowControl/>
              <w:jc w:val="center"/>
              <w:rPr>
                <w:color w:val="000000"/>
                <w:kern w:val="0"/>
                <w:szCs w:val="21"/>
              </w:rPr>
            </w:pPr>
            <w:r>
              <w:rPr>
                <w:color w:val="000000"/>
                <w:kern w:val="0"/>
                <w:szCs w:val="21"/>
              </w:rPr>
              <w:t>账面价值（元）</w:t>
            </w:r>
          </w:p>
        </w:tc>
        <w:tc>
          <w:tcPr>
            <w:tcW w:w="1134" w:type="dxa"/>
            <w:vAlign w:val="center"/>
          </w:tcPr>
          <w:p w:rsidR="00E90225" w:rsidRDefault="00CB635D">
            <w:pPr>
              <w:widowControl/>
              <w:jc w:val="center"/>
              <w:rPr>
                <w:color w:val="000000"/>
                <w:kern w:val="0"/>
                <w:szCs w:val="21"/>
              </w:rPr>
            </w:pPr>
            <w:r>
              <w:rPr>
                <w:color w:val="000000"/>
                <w:kern w:val="0"/>
                <w:szCs w:val="21"/>
              </w:rPr>
              <w:t>账面价值占基金资产净值比例</w:t>
            </w:r>
          </w:p>
        </w:tc>
        <w:tc>
          <w:tcPr>
            <w:tcW w:w="788" w:type="dxa"/>
            <w:vAlign w:val="center"/>
          </w:tcPr>
          <w:p w:rsidR="00E90225" w:rsidRDefault="00CB635D">
            <w:pPr>
              <w:widowControl/>
              <w:jc w:val="center"/>
              <w:rPr>
                <w:color w:val="000000"/>
                <w:kern w:val="0"/>
                <w:szCs w:val="21"/>
              </w:rPr>
            </w:pPr>
            <w:r>
              <w:rPr>
                <w:color w:val="000000"/>
                <w:kern w:val="0"/>
                <w:szCs w:val="21"/>
              </w:rPr>
              <w:t>锁定期</w:t>
            </w:r>
          </w:p>
        </w:tc>
      </w:tr>
      <w:tr w:rsidR="00E90225">
        <w:trPr>
          <w:jc w:val="center"/>
        </w:trPr>
        <w:tc>
          <w:tcPr>
            <w:tcW w:w="0" w:type="auto"/>
            <w:vAlign w:val="center"/>
          </w:tcPr>
          <w:p w:rsidR="00E90225" w:rsidRDefault="00CB635D">
            <w:pPr>
              <w:jc w:val="center"/>
            </w:pPr>
            <w:r>
              <w:rPr>
                <w:szCs w:val="21"/>
              </w:rPr>
              <w:t>易方达信息产业混合型证券投资基金</w:t>
            </w:r>
          </w:p>
        </w:tc>
        <w:tc>
          <w:tcPr>
            <w:tcW w:w="0" w:type="auto"/>
            <w:vAlign w:val="center"/>
          </w:tcPr>
          <w:p w:rsidR="00E90225" w:rsidRDefault="00CB635D">
            <w:pPr>
              <w:jc w:val="center"/>
            </w:pPr>
            <w:r>
              <w:rPr>
                <w:szCs w:val="21"/>
              </w:rPr>
              <w:t>140,515</w:t>
            </w:r>
          </w:p>
        </w:tc>
        <w:tc>
          <w:tcPr>
            <w:tcW w:w="0" w:type="auto"/>
            <w:vAlign w:val="center"/>
          </w:tcPr>
          <w:p w:rsidR="00E90225" w:rsidRDefault="00CB635D">
            <w:pPr>
              <w:jc w:val="center"/>
            </w:pPr>
            <w:r>
              <w:rPr>
                <w:szCs w:val="21"/>
              </w:rPr>
              <w:t>14,999,976.25</w:t>
            </w:r>
          </w:p>
        </w:tc>
        <w:tc>
          <w:tcPr>
            <w:tcW w:w="0" w:type="auto"/>
            <w:vAlign w:val="center"/>
          </w:tcPr>
          <w:p w:rsidR="00E90225" w:rsidRDefault="00CB635D">
            <w:pPr>
              <w:jc w:val="center"/>
            </w:pPr>
            <w:r>
              <w:rPr>
                <w:szCs w:val="21"/>
              </w:rPr>
              <w:t>0.15%</w:t>
            </w:r>
          </w:p>
        </w:tc>
        <w:tc>
          <w:tcPr>
            <w:tcW w:w="0" w:type="auto"/>
            <w:vAlign w:val="center"/>
          </w:tcPr>
          <w:p w:rsidR="00E90225" w:rsidRDefault="00CB635D">
            <w:pPr>
              <w:jc w:val="center"/>
            </w:pPr>
            <w:r>
              <w:rPr>
                <w:szCs w:val="21"/>
              </w:rPr>
              <w:t>19,729,711.15</w:t>
            </w:r>
          </w:p>
        </w:tc>
        <w:tc>
          <w:tcPr>
            <w:tcW w:w="0" w:type="auto"/>
            <w:vAlign w:val="center"/>
          </w:tcPr>
          <w:p w:rsidR="00E90225" w:rsidRDefault="00CB635D">
            <w:pPr>
              <w:jc w:val="center"/>
            </w:pPr>
            <w:r>
              <w:rPr>
                <w:szCs w:val="21"/>
              </w:rPr>
              <w:t>0.20%</w:t>
            </w:r>
          </w:p>
        </w:tc>
        <w:tc>
          <w:tcPr>
            <w:tcW w:w="0" w:type="auto"/>
            <w:vAlign w:val="center"/>
          </w:tcPr>
          <w:p w:rsidR="00E90225" w:rsidRDefault="00CB635D">
            <w:pPr>
              <w:jc w:val="center"/>
            </w:pPr>
            <w:r>
              <w:rPr>
                <w:szCs w:val="21"/>
              </w:rPr>
              <w:t>6</w:t>
            </w:r>
            <w:r>
              <w:rPr>
                <w:szCs w:val="21"/>
              </w:rPr>
              <w:t>个月</w:t>
            </w:r>
          </w:p>
        </w:tc>
      </w:tr>
      <w:tr w:rsidR="00E90225">
        <w:trPr>
          <w:jc w:val="center"/>
        </w:trPr>
        <w:tc>
          <w:tcPr>
            <w:tcW w:w="0" w:type="auto"/>
            <w:vAlign w:val="center"/>
          </w:tcPr>
          <w:p w:rsidR="00E90225" w:rsidRDefault="00CB635D">
            <w:pPr>
              <w:jc w:val="center"/>
            </w:pPr>
            <w:r>
              <w:rPr>
                <w:szCs w:val="21"/>
              </w:rPr>
              <w:t>易方达港股通红利灵活配置混合型证券投资基金</w:t>
            </w:r>
          </w:p>
        </w:tc>
        <w:tc>
          <w:tcPr>
            <w:tcW w:w="0" w:type="auto"/>
            <w:vAlign w:val="center"/>
          </w:tcPr>
          <w:p w:rsidR="00E90225" w:rsidRDefault="00CB635D">
            <w:pPr>
              <w:jc w:val="center"/>
            </w:pPr>
            <w:r>
              <w:rPr>
                <w:szCs w:val="21"/>
              </w:rPr>
              <w:t>187,353</w:t>
            </w:r>
          </w:p>
        </w:tc>
        <w:tc>
          <w:tcPr>
            <w:tcW w:w="0" w:type="auto"/>
            <w:vAlign w:val="center"/>
          </w:tcPr>
          <w:p w:rsidR="00E90225" w:rsidRDefault="00CB635D">
            <w:pPr>
              <w:jc w:val="center"/>
            </w:pPr>
            <w:r>
              <w:rPr>
                <w:szCs w:val="21"/>
              </w:rPr>
              <w:t>19,999,932.75</w:t>
            </w:r>
          </w:p>
        </w:tc>
        <w:tc>
          <w:tcPr>
            <w:tcW w:w="0" w:type="auto"/>
            <w:vAlign w:val="center"/>
          </w:tcPr>
          <w:p w:rsidR="00E90225" w:rsidRDefault="00CB635D">
            <w:pPr>
              <w:jc w:val="center"/>
            </w:pPr>
            <w:r>
              <w:rPr>
                <w:szCs w:val="21"/>
              </w:rPr>
              <w:t>0.46%</w:t>
            </w:r>
          </w:p>
        </w:tc>
        <w:tc>
          <w:tcPr>
            <w:tcW w:w="0" w:type="auto"/>
            <w:vAlign w:val="center"/>
          </w:tcPr>
          <w:p w:rsidR="00E90225" w:rsidRDefault="00CB635D">
            <w:pPr>
              <w:jc w:val="center"/>
            </w:pPr>
            <w:r>
              <w:rPr>
                <w:szCs w:val="21"/>
              </w:rPr>
              <w:t>26,306,234.73</w:t>
            </w:r>
          </w:p>
        </w:tc>
        <w:tc>
          <w:tcPr>
            <w:tcW w:w="0" w:type="auto"/>
            <w:vAlign w:val="center"/>
          </w:tcPr>
          <w:p w:rsidR="00E90225" w:rsidRDefault="00CB635D">
            <w:pPr>
              <w:jc w:val="center"/>
            </w:pPr>
            <w:r>
              <w:rPr>
                <w:szCs w:val="21"/>
              </w:rPr>
              <w:t>0.61%</w:t>
            </w:r>
          </w:p>
        </w:tc>
        <w:tc>
          <w:tcPr>
            <w:tcW w:w="0" w:type="auto"/>
            <w:vAlign w:val="center"/>
          </w:tcPr>
          <w:p w:rsidR="00E90225" w:rsidRDefault="00CB635D">
            <w:pPr>
              <w:jc w:val="center"/>
            </w:pPr>
            <w:r>
              <w:rPr>
                <w:szCs w:val="21"/>
              </w:rPr>
              <w:t>6</w:t>
            </w:r>
            <w:r>
              <w:rPr>
                <w:szCs w:val="21"/>
              </w:rPr>
              <w:t>个月</w:t>
            </w:r>
          </w:p>
        </w:tc>
      </w:tr>
      <w:tr w:rsidR="00E90225">
        <w:trPr>
          <w:jc w:val="center"/>
        </w:trPr>
        <w:tc>
          <w:tcPr>
            <w:tcW w:w="0" w:type="auto"/>
            <w:vAlign w:val="center"/>
          </w:tcPr>
          <w:p w:rsidR="00E90225" w:rsidRDefault="00CB635D">
            <w:pPr>
              <w:jc w:val="center"/>
            </w:pPr>
            <w:r>
              <w:rPr>
                <w:szCs w:val="21"/>
              </w:rPr>
              <w:t>易方达中盘成长混合型证券投资基金</w:t>
            </w:r>
          </w:p>
        </w:tc>
        <w:tc>
          <w:tcPr>
            <w:tcW w:w="0" w:type="auto"/>
            <w:vAlign w:val="center"/>
          </w:tcPr>
          <w:p w:rsidR="00E90225" w:rsidRDefault="00CB635D">
            <w:pPr>
              <w:jc w:val="center"/>
            </w:pPr>
            <w:r>
              <w:rPr>
                <w:szCs w:val="21"/>
              </w:rPr>
              <w:t>281,030</w:t>
            </w:r>
          </w:p>
        </w:tc>
        <w:tc>
          <w:tcPr>
            <w:tcW w:w="0" w:type="auto"/>
            <w:vAlign w:val="center"/>
          </w:tcPr>
          <w:p w:rsidR="00E90225" w:rsidRDefault="00CB635D">
            <w:pPr>
              <w:jc w:val="center"/>
            </w:pPr>
            <w:r>
              <w:rPr>
                <w:szCs w:val="21"/>
              </w:rPr>
              <w:t>29,999,952.50</w:t>
            </w:r>
          </w:p>
        </w:tc>
        <w:tc>
          <w:tcPr>
            <w:tcW w:w="0" w:type="auto"/>
            <w:vAlign w:val="center"/>
          </w:tcPr>
          <w:p w:rsidR="00E90225" w:rsidRDefault="00CB635D">
            <w:pPr>
              <w:jc w:val="center"/>
            </w:pPr>
            <w:r>
              <w:rPr>
                <w:szCs w:val="21"/>
              </w:rPr>
              <w:t>0.55%</w:t>
            </w:r>
          </w:p>
        </w:tc>
        <w:tc>
          <w:tcPr>
            <w:tcW w:w="0" w:type="auto"/>
            <w:vAlign w:val="center"/>
          </w:tcPr>
          <w:p w:rsidR="00E90225" w:rsidRDefault="00CB635D">
            <w:pPr>
              <w:jc w:val="center"/>
            </w:pPr>
            <w:r>
              <w:rPr>
                <w:szCs w:val="21"/>
              </w:rPr>
              <w:t>39,459,422.30</w:t>
            </w:r>
          </w:p>
        </w:tc>
        <w:tc>
          <w:tcPr>
            <w:tcW w:w="0" w:type="auto"/>
            <w:vAlign w:val="center"/>
          </w:tcPr>
          <w:p w:rsidR="00E90225" w:rsidRDefault="00CB635D">
            <w:pPr>
              <w:jc w:val="center"/>
            </w:pPr>
            <w:r>
              <w:rPr>
                <w:szCs w:val="21"/>
              </w:rPr>
              <w:t>0.73%</w:t>
            </w:r>
          </w:p>
        </w:tc>
        <w:tc>
          <w:tcPr>
            <w:tcW w:w="0" w:type="auto"/>
            <w:vAlign w:val="center"/>
          </w:tcPr>
          <w:p w:rsidR="00E90225" w:rsidRDefault="00CB635D">
            <w:pPr>
              <w:jc w:val="center"/>
            </w:pPr>
            <w:r>
              <w:rPr>
                <w:szCs w:val="21"/>
              </w:rPr>
              <w:t>6</w:t>
            </w:r>
            <w:r>
              <w:rPr>
                <w:szCs w:val="21"/>
              </w:rPr>
              <w:t>个月</w:t>
            </w:r>
          </w:p>
        </w:tc>
      </w:tr>
      <w:tr w:rsidR="00E90225">
        <w:trPr>
          <w:jc w:val="center"/>
        </w:trPr>
        <w:tc>
          <w:tcPr>
            <w:tcW w:w="0" w:type="auto"/>
            <w:vAlign w:val="center"/>
          </w:tcPr>
          <w:p w:rsidR="00E90225" w:rsidRDefault="00CB635D">
            <w:pPr>
              <w:jc w:val="center"/>
            </w:pPr>
            <w:r>
              <w:rPr>
                <w:szCs w:val="21"/>
              </w:rPr>
              <w:t>易方达信息行业精选股票型证券投资基金</w:t>
            </w:r>
          </w:p>
        </w:tc>
        <w:tc>
          <w:tcPr>
            <w:tcW w:w="0" w:type="auto"/>
            <w:vAlign w:val="center"/>
          </w:tcPr>
          <w:p w:rsidR="00E90225" w:rsidRDefault="00CB635D">
            <w:pPr>
              <w:jc w:val="center"/>
            </w:pPr>
            <w:r>
              <w:rPr>
                <w:szCs w:val="21"/>
              </w:rPr>
              <w:t>93,676</w:t>
            </w:r>
          </w:p>
        </w:tc>
        <w:tc>
          <w:tcPr>
            <w:tcW w:w="0" w:type="auto"/>
            <w:vAlign w:val="center"/>
          </w:tcPr>
          <w:p w:rsidR="00E90225" w:rsidRDefault="00CB635D">
            <w:pPr>
              <w:jc w:val="center"/>
            </w:pPr>
            <w:r>
              <w:rPr>
                <w:szCs w:val="21"/>
              </w:rPr>
              <w:t>9,999,913.00</w:t>
            </w:r>
          </w:p>
        </w:tc>
        <w:tc>
          <w:tcPr>
            <w:tcW w:w="0" w:type="auto"/>
            <w:vAlign w:val="center"/>
          </w:tcPr>
          <w:p w:rsidR="00E90225" w:rsidRDefault="00CB635D">
            <w:pPr>
              <w:jc w:val="center"/>
            </w:pPr>
            <w:r>
              <w:rPr>
                <w:szCs w:val="21"/>
              </w:rPr>
              <w:t>0.17%</w:t>
            </w:r>
          </w:p>
        </w:tc>
        <w:tc>
          <w:tcPr>
            <w:tcW w:w="0" w:type="auto"/>
            <w:vAlign w:val="center"/>
          </w:tcPr>
          <w:p w:rsidR="00E90225" w:rsidRDefault="00CB635D">
            <w:pPr>
              <w:jc w:val="center"/>
            </w:pPr>
            <w:r>
              <w:rPr>
                <w:szCs w:val="21"/>
              </w:rPr>
              <w:t>13,153,047.16</w:t>
            </w:r>
          </w:p>
        </w:tc>
        <w:tc>
          <w:tcPr>
            <w:tcW w:w="0" w:type="auto"/>
            <w:vAlign w:val="center"/>
          </w:tcPr>
          <w:p w:rsidR="00E90225" w:rsidRDefault="00CB635D">
            <w:pPr>
              <w:jc w:val="center"/>
            </w:pPr>
            <w:r>
              <w:rPr>
                <w:szCs w:val="21"/>
              </w:rPr>
              <w:t>0.22%</w:t>
            </w:r>
          </w:p>
        </w:tc>
        <w:tc>
          <w:tcPr>
            <w:tcW w:w="0" w:type="auto"/>
            <w:vAlign w:val="center"/>
          </w:tcPr>
          <w:p w:rsidR="00E90225" w:rsidRDefault="00CB635D">
            <w:pPr>
              <w:jc w:val="center"/>
            </w:pPr>
            <w:r>
              <w:rPr>
                <w:szCs w:val="21"/>
              </w:rPr>
              <w:t>6</w:t>
            </w:r>
            <w:r>
              <w:rPr>
                <w:szCs w:val="21"/>
              </w:rPr>
              <w:t>个月</w:t>
            </w:r>
          </w:p>
        </w:tc>
      </w:tr>
      <w:tr w:rsidR="00E90225">
        <w:trPr>
          <w:jc w:val="center"/>
        </w:trPr>
        <w:tc>
          <w:tcPr>
            <w:tcW w:w="0" w:type="auto"/>
            <w:vAlign w:val="center"/>
          </w:tcPr>
          <w:p w:rsidR="00E90225" w:rsidRDefault="00CB635D">
            <w:pPr>
              <w:jc w:val="center"/>
            </w:pPr>
            <w:r>
              <w:rPr>
                <w:szCs w:val="21"/>
              </w:rPr>
              <w:t>易方达战略新兴产业股票型证券投资基金</w:t>
            </w:r>
          </w:p>
        </w:tc>
        <w:tc>
          <w:tcPr>
            <w:tcW w:w="0" w:type="auto"/>
            <w:vAlign w:val="center"/>
          </w:tcPr>
          <w:p w:rsidR="00E90225" w:rsidRDefault="00CB635D">
            <w:pPr>
              <w:jc w:val="center"/>
            </w:pPr>
            <w:r>
              <w:rPr>
                <w:szCs w:val="21"/>
              </w:rPr>
              <w:t>374,711</w:t>
            </w:r>
          </w:p>
        </w:tc>
        <w:tc>
          <w:tcPr>
            <w:tcW w:w="0" w:type="auto"/>
            <w:vAlign w:val="center"/>
          </w:tcPr>
          <w:p w:rsidR="00E90225" w:rsidRDefault="00CB635D">
            <w:pPr>
              <w:jc w:val="center"/>
            </w:pPr>
            <w:r>
              <w:rPr>
                <w:szCs w:val="21"/>
              </w:rPr>
              <w:t>40,000,399.25</w:t>
            </w:r>
          </w:p>
        </w:tc>
        <w:tc>
          <w:tcPr>
            <w:tcW w:w="0" w:type="auto"/>
            <w:vAlign w:val="center"/>
          </w:tcPr>
          <w:p w:rsidR="00E90225" w:rsidRDefault="00CB635D">
            <w:pPr>
              <w:jc w:val="center"/>
            </w:pPr>
            <w:r>
              <w:rPr>
                <w:szCs w:val="21"/>
              </w:rPr>
              <w:t>0.52%</w:t>
            </w:r>
          </w:p>
        </w:tc>
        <w:tc>
          <w:tcPr>
            <w:tcW w:w="0" w:type="auto"/>
            <w:vAlign w:val="center"/>
          </w:tcPr>
          <w:p w:rsidR="00E90225" w:rsidRDefault="00CB635D">
            <w:pPr>
              <w:jc w:val="center"/>
            </w:pPr>
            <w:r>
              <w:rPr>
                <w:szCs w:val="21"/>
              </w:rPr>
              <w:t>52,613,171.51</w:t>
            </w:r>
          </w:p>
        </w:tc>
        <w:tc>
          <w:tcPr>
            <w:tcW w:w="0" w:type="auto"/>
            <w:vAlign w:val="center"/>
          </w:tcPr>
          <w:p w:rsidR="00E90225" w:rsidRDefault="00CB635D">
            <w:pPr>
              <w:jc w:val="center"/>
            </w:pPr>
            <w:r>
              <w:rPr>
                <w:szCs w:val="21"/>
              </w:rPr>
              <w:t>0.69%</w:t>
            </w:r>
          </w:p>
        </w:tc>
        <w:tc>
          <w:tcPr>
            <w:tcW w:w="0" w:type="auto"/>
            <w:vAlign w:val="center"/>
          </w:tcPr>
          <w:p w:rsidR="00E90225" w:rsidRDefault="00CB635D">
            <w:pPr>
              <w:jc w:val="center"/>
            </w:pPr>
            <w:r>
              <w:rPr>
                <w:szCs w:val="21"/>
              </w:rPr>
              <w:t>6</w:t>
            </w:r>
            <w:r>
              <w:rPr>
                <w:szCs w:val="21"/>
              </w:rPr>
              <w:t>个月</w:t>
            </w:r>
          </w:p>
        </w:tc>
      </w:tr>
      <w:tr w:rsidR="00E90225">
        <w:trPr>
          <w:jc w:val="center"/>
        </w:trPr>
        <w:tc>
          <w:tcPr>
            <w:tcW w:w="0" w:type="auto"/>
            <w:vAlign w:val="center"/>
          </w:tcPr>
          <w:p w:rsidR="00E90225" w:rsidRDefault="00CB635D">
            <w:pPr>
              <w:jc w:val="center"/>
            </w:pPr>
            <w:r>
              <w:rPr>
                <w:szCs w:val="21"/>
              </w:rPr>
              <w:t>易方达全球成长精选混合型证券投资基金（</w:t>
            </w:r>
            <w:r>
              <w:rPr>
                <w:szCs w:val="21"/>
              </w:rPr>
              <w:t>QDII</w:t>
            </w:r>
            <w:r>
              <w:rPr>
                <w:szCs w:val="21"/>
              </w:rPr>
              <w:t>）</w:t>
            </w:r>
          </w:p>
        </w:tc>
        <w:tc>
          <w:tcPr>
            <w:tcW w:w="0" w:type="auto"/>
            <w:vAlign w:val="center"/>
          </w:tcPr>
          <w:p w:rsidR="00E90225" w:rsidRDefault="00CB635D">
            <w:pPr>
              <w:jc w:val="center"/>
            </w:pPr>
            <w:r>
              <w:rPr>
                <w:szCs w:val="21"/>
              </w:rPr>
              <w:t>187,353</w:t>
            </w:r>
          </w:p>
        </w:tc>
        <w:tc>
          <w:tcPr>
            <w:tcW w:w="0" w:type="auto"/>
            <w:vAlign w:val="center"/>
          </w:tcPr>
          <w:p w:rsidR="00E90225" w:rsidRDefault="00CB635D">
            <w:pPr>
              <w:jc w:val="center"/>
            </w:pPr>
            <w:r>
              <w:rPr>
                <w:szCs w:val="21"/>
              </w:rPr>
              <w:t>19,999,932.75</w:t>
            </w:r>
          </w:p>
        </w:tc>
        <w:tc>
          <w:tcPr>
            <w:tcW w:w="0" w:type="auto"/>
            <w:vAlign w:val="center"/>
          </w:tcPr>
          <w:p w:rsidR="00E90225" w:rsidRDefault="00CB635D">
            <w:pPr>
              <w:jc w:val="center"/>
            </w:pPr>
            <w:r>
              <w:rPr>
                <w:szCs w:val="21"/>
              </w:rPr>
              <w:t>0.1</w:t>
            </w:r>
            <w:r>
              <w:rPr>
                <w:rFonts w:hint="eastAsia"/>
                <w:szCs w:val="21"/>
              </w:rPr>
              <w:t>7</w:t>
            </w:r>
            <w:bookmarkStart w:id="0" w:name="_GoBack"/>
            <w:bookmarkEnd w:id="0"/>
            <w:r>
              <w:rPr>
                <w:szCs w:val="21"/>
              </w:rPr>
              <w:t>%</w:t>
            </w:r>
          </w:p>
        </w:tc>
        <w:tc>
          <w:tcPr>
            <w:tcW w:w="0" w:type="auto"/>
            <w:vAlign w:val="center"/>
          </w:tcPr>
          <w:p w:rsidR="00E90225" w:rsidRDefault="00CB635D">
            <w:pPr>
              <w:jc w:val="center"/>
            </w:pPr>
            <w:r>
              <w:rPr>
                <w:szCs w:val="21"/>
              </w:rPr>
              <w:t>26,306,234.73</w:t>
            </w:r>
          </w:p>
        </w:tc>
        <w:tc>
          <w:tcPr>
            <w:tcW w:w="0" w:type="auto"/>
            <w:vAlign w:val="center"/>
          </w:tcPr>
          <w:p w:rsidR="00E90225" w:rsidRDefault="00CB635D">
            <w:pPr>
              <w:jc w:val="center"/>
            </w:pPr>
            <w:r>
              <w:rPr>
                <w:szCs w:val="21"/>
              </w:rPr>
              <w:t>0.22%</w:t>
            </w:r>
          </w:p>
        </w:tc>
        <w:tc>
          <w:tcPr>
            <w:tcW w:w="0" w:type="auto"/>
            <w:vAlign w:val="center"/>
          </w:tcPr>
          <w:p w:rsidR="00E90225" w:rsidRDefault="00CB635D">
            <w:pPr>
              <w:jc w:val="center"/>
            </w:pPr>
            <w:r>
              <w:rPr>
                <w:szCs w:val="21"/>
              </w:rPr>
              <w:t>6</w:t>
            </w:r>
            <w:r>
              <w:rPr>
                <w:szCs w:val="21"/>
              </w:rPr>
              <w:t>个月</w:t>
            </w:r>
          </w:p>
        </w:tc>
      </w:tr>
      <w:tr w:rsidR="00E90225">
        <w:trPr>
          <w:jc w:val="center"/>
        </w:trPr>
        <w:tc>
          <w:tcPr>
            <w:tcW w:w="0" w:type="auto"/>
            <w:vAlign w:val="center"/>
          </w:tcPr>
          <w:p w:rsidR="00E90225" w:rsidRDefault="00CB635D">
            <w:pPr>
              <w:jc w:val="center"/>
            </w:pPr>
            <w:r>
              <w:rPr>
                <w:szCs w:val="21"/>
              </w:rPr>
              <w:t>易方达价值回报混合型证券投资基金</w:t>
            </w:r>
          </w:p>
        </w:tc>
        <w:tc>
          <w:tcPr>
            <w:tcW w:w="0" w:type="auto"/>
            <w:vAlign w:val="center"/>
          </w:tcPr>
          <w:p w:rsidR="00E90225" w:rsidRDefault="00CB635D">
            <w:pPr>
              <w:jc w:val="center"/>
            </w:pPr>
            <w:r>
              <w:rPr>
                <w:szCs w:val="21"/>
              </w:rPr>
              <w:t>93,676</w:t>
            </w:r>
          </w:p>
        </w:tc>
        <w:tc>
          <w:tcPr>
            <w:tcW w:w="0" w:type="auto"/>
            <w:vAlign w:val="center"/>
          </w:tcPr>
          <w:p w:rsidR="00E90225" w:rsidRDefault="00CB635D">
            <w:pPr>
              <w:jc w:val="center"/>
            </w:pPr>
            <w:r>
              <w:rPr>
                <w:szCs w:val="21"/>
              </w:rPr>
              <w:t>9,999,913.00</w:t>
            </w:r>
          </w:p>
        </w:tc>
        <w:tc>
          <w:tcPr>
            <w:tcW w:w="0" w:type="auto"/>
            <w:vAlign w:val="center"/>
          </w:tcPr>
          <w:p w:rsidR="00E90225" w:rsidRDefault="00CB635D">
            <w:pPr>
              <w:jc w:val="center"/>
            </w:pPr>
            <w:r>
              <w:rPr>
                <w:szCs w:val="21"/>
              </w:rPr>
              <w:t>0.85%</w:t>
            </w:r>
          </w:p>
        </w:tc>
        <w:tc>
          <w:tcPr>
            <w:tcW w:w="0" w:type="auto"/>
            <w:vAlign w:val="center"/>
          </w:tcPr>
          <w:p w:rsidR="00E90225" w:rsidRDefault="00CB635D">
            <w:pPr>
              <w:jc w:val="center"/>
            </w:pPr>
            <w:r>
              <w:rPr>
                <w:szCs w:val="21"/>
              </w:rPr>
              <w:t>13,153,047.16</w:t>
            </w:r>
          </w:p>
        </w:tc>
        <w:tc>
          <w:tcPr>
            <w:tcW w:w="0" w:type="auto"/>
            <w:vAlign w:val="center"/>
          </w:tcPr>
          <w:p w:rsidR="00E90225" w:rsidRDefault="00CB635D">
            <w:pPr>
              <w:jc w:val="center"/>
            </w:pPr>
            <w:r>
              <w:rPr>
                <w:szCs w:val="21"/>
              </w:rPr>
              <w:t>1.11%</w:t>
            </w:r>
          </w:p>
        </w:tc>
        <w:tc>
          <w:tcPr>
            <w:tcW w:w="0" w:type="auto"/>
            <w:vAlign w:val="center"/>
          </w:tcPr>
          <w:p w:rsidR="00E90225" w:rsidRDefault="00CB635D">
            <w:pPr>
              <w:jc w:val="center"/>
            </w:pPr>
            <w:r>
              <w:rPr>
                <w:szCs w:val="21"/>
              </w:rPr>
              <w:t>6</w:t>
            </w:r>
            <w:r>
              <w:rPr>
                <w:szCs w:val="21"/>
              </w:rPr>
              <w:t>个月</w:t>
            </w:r>
          </w:p>
        </w:tc>
      </w:tr>
      <w:tr w:rsidR="00E90225">
        <w:trPr>
          <w:jc w:val="center"/>
        </w:trPr>
        <w:tc>
          <w:tcPr>
            <w:tcW w:w="0" w:type="auto"/>
            <w:vAlign w:val="center"/>
          </w:tcPr>
          <w:p w:rsidR="00E90225" w:rsidRDefault="00CB635D">
            <w:pPr>
              <w:jc w:val="center"/>
            </w:pPr>
            <w:r>
              <w:rPr>
                <w:szCs w:val="21"/>
              </w:rPr>
              <w:t>易方达上证科创板</w:t>
            </w:r>
            <w:r>
              <w:rPr>
                <w:szCs w:val="21"/>
              </w:rPr>
              <w:t>200</w:t>
            </w:r>
            <w:r>
              <w:rPr>
                <w:szCs w:val="21"/>
              </w:rPr>
              <w:t>交易型开放式指数证券投资基金</w:t>
            </w:r>
          </w:p>
        </w:tc>
        <w:tc>
          <w:tcPr>
            <w:tcW w:w="0" w:type="auto"/>
            <w:vAlign w:val="center"/>
          </w:tcPr>
          <w:p w:rsidR="00E90225" w:rsidRDefault="00CB635D">
            <w:pPr>
              <w:jc w:val="center"/>
            </w:pPr>
            <w:r>
              <w:rPr>
                <w:szCs w:val="21"/>
              </w:rPr>
              <w:t>5,255</w:t>
            </w:r>
          </w:p>
        </w:tc>
        <w:tc>
          <w:tcPr>
            <w:tcW w:w="0" w:type="auto"/>
            <w:vAlign w:val="center"/>
          </w:tcPr>
          <w:p w:rsidR="00E90225" w:rsidRDefault="00CB635D">
            <w:pPr>
              <w:jc w:val="center"/>
            </w:pPr>
            <w:r>
              <w:rPr>
                <w:szCs w:val="21"/>
              </w:rPr>
              <w:t>560,971.25</w:t>
            </w:r>
          </w:p>
        </w:tc>
        <w:tc>
          <w:tcPr>
            <w:tcW w:w="0" w:type="auto"/>
            <w:vAlign w:val="center"/>
          </w:tcPr>
          <w:p w:rsidR="00E90225" w:rsidRDefault="00CB635D">
            <w:pPr>
              <w:jc w:val="center"/>
            </w:pPr>
            <w:r>
              <w:rPr>
                <w:szCs w:val="21"/>
              </w:rPr>
              <w:t>0.08%</w:t>
            </w:r>
          </w:p>
        </w:tc>
        <w:tc>
          <w:tcPr>
            <w:tcW w:w="0" w:type="auto"/>
            <w:vAlign w:val="center"/>
          </w:tcPr>
          <w:p w:rsidR="00E90225" w:rsidRDefault="00CB635D">
            <w:pPr>
              <w:jc w:val="center"/>
            </w:pPr>
            <w:r>
              <w:rPr>
                <w:szCs w:val="21"/>
              </w:rPr>
              <w:t>737,854.55</w:t>
            </w:r>
          </w:p>
        </w:tc>
        <w:tc>
          <w:tcPr>
            <w:tcW w:w="0" w:type="auto"/>
            <w:vAlign w:val="center"/>
          </w:tcPr>
          <w:p w:rsidR="00E90225" w:rsidRDefault="00CB635D">
            <w:pPr>
              <w:jc w:val="center"/>
            </w:pPr>
            <w:r>
              <w:rPr>
                <w:szCs w:val="21"/>
              </w:rPr>
              <w:t>0.11%</w:t>
            </w:r>
          </w:p>
        </w:tc>
        <w:tc>
          <w:tcPr>
            <w:tcW w:w="0" w:type="auto"/>
            <w:vAlign w:val="center"/>
          </w:tcPr>
          <w:p w:rsidR="00E90225" w:rsidRDefault="00CB635D">
            <w:pPr>
              <w:jc w:val="center"/>
            </w:pPr>
            <w:r>
              <w:rPr>
                <w:szCs w:val="21"/>
              </w:rPr>
              <w:t>6</w:t>
            </w:r>
            <w:r>
              <w:rPr>
                <w:szCs w:val="21"/>
              </w:rPr>
              <w:t>个月</w:t>
            </w:r>
          </w:p>
        </w:tc>
      </w:tr>
      <w:tr w:rsidR="00E90225">
        <w:trPr>
          <w:jc w:val="center"/>
        </w:trPr>
        <w:tc>
          <w:tcPr>
            <w:tcW w:w="0" w:type="auto"/>
            <w:vAlign w:val="center"/>
          </w:tcPr>
          <w:p w:rsidR="00E90225" w:rsidRDefault="00CB635D">
            <w:pPr>
              <w:jc w:val="center"/>
            </w:pPr>
            <w:r>
              <w:rPr>
                <w:szCs w:val="21"/>
              </w:rPr>
              <w:t>易方达上证科创板综合</w:t>
            </w:r>
            <w:r>
              <w:rPr>
                <w:szCs w:val="21"/>
              </w:rPr>
              <w:lastRenderedPageBreak/>
              <w:t>交易型开放式指数证券投资基金</w:t>
            </w:r>
          </w:p>
        </w:tc>
        <w:tc>
          <w:tcPr>
            <w:tcW w:w="0" w:type="auto"/>
            <w:vAlign w:val="center"/>
          </w:tcPr>
          <w:p w:rsidR="00E90225" w:rsidRDefault="00CB635D">
            <w:pPr>
              <w:jc w:val="center"/>
            </w:pPr>
            <w:r>
              <w:rPr>
                <w:szCs w:val="21"/>
              </w:rPr>
              <w:lastRenderedPageBreak/>
              <w:t>4,112</w:t>
            </w:r>
          </w:p>
        </w:tc>
        <w:tc>
          <w:tcPr>
            <w:tcW w:w="0" w:type="auto"/>
            <w:vAlign w:val="center"/>
          </w:tcPr>
          <w:p w:rsidR="00E90225" w:rsidRDefault="00CB635D">
            <w:pPr>
              <w:jc w:val="center"/>
            </w:pPr>
            <w:r>
              <w:rPr>
                <w:szCs w:val="21"/>
              </w:rPr>
              <w:t>438,956.00</w:t>
            </w:r>
          </w:p>
        </w:tc>
        <w:tc>
          <w:tcPr>
            <w:tcW w:w="0" w:type="auto"/>
            <w:vAlign w:val="center"/>
          </w:tcPr>
          <w:p w:rsidR="00E90225" w:rsidRDefault="00CB635D">
            <w:pPr>
              <w:jc w:val="center"/>
            </w:pPr>
            <w:r>
              <w:rPr>
                <w:szCs w:val="21"/>
              </w:rPr>
              <w:t>0.03%</w:t>
            </w:r>
          </w:p>
        </w:tc>
        <w:tc>
          <w:tcPr>
            <w:tcW w:w="0" w:type="auto"/>
            <w:vAlign w:val="center"/>
          </w:tcPr>
          <w:p w:rsidR="00E90225" w:rsidRDefault="00CB635D">
            <w:pPr>
              <w:jc w:val="center"/>
            </w:pPr>
            <w:r>
              <w:rPr>
                <w:szCs w:val="21"/>
              </w:rPr>
              <w:t>577,365.92</w:t>
            </w:r>
          </w:p>
        </w:tc>
        <w:tc>
          <w:tcPr>
            <w:tcW w:w="0" w:type="auto"/>
            <w:vAlign w:val="center"/>
          </w:tcPr>
          <w:p w:rsidR="00E90225" w:rsidRDefault="00CB635D">
            <w:pPr>
              <w:jc w:val="center"/>
            </w:pPr>
            <w:r>
              <w:rPr>
                <w:szCs w:val="21"/>
              </w:rPr>
              <w:t>0.04%</w:t>
            </w:r>
          </w:p>
        </w:tc>
        <w:tc>
          <w:tcPr>
            <w:tcW w:w="0" w:type="auto"/>
            <w:vAlign w:val="center"/>
          </w:tcPr>
          <w:p w:rsidR="00E90225" w:rsidRDefault="00CB635D">
            <w:pPr>
              <w:jc w:val="center"/>
            </w:pPr>
            <w:r>
              <w:rPr>
                <w:szCs w:val="21"/>
              </w:rPr>
              <w:t>6</w:t>
            </w:r>
            <w:r>
              <w:rPr>
                <w:szCs w:val="21"/>
              </w:rPr>
              <w:lastRenderedPageBreak/>
              <w:t>个月</w:t>
            </w:r>
          </w:p>
        </w:tc>
      </w:tr>
    </w:tbl>
    <w:p w:rsidR="00E90225" w:rsidRDefault="00E90225">
      <w:pPr>
        <w:spacing w:line="360" w:lineRule="auto"/>
        <w:rPr>
          <w:kern w:val="0"/>
          <w:sz w:val="24"/>
        </w:rPr>
      </w:pPr>
    </w:p>
    <w:p w:rsidR="00E90225" w:rsidRDefault="00CB635D">
      <w:pPr>
        <w:spacing w:line="360" w:lineRule="auto"/>
        <w:rPr>
          <w:kern w:val="0"/>
          <w:sz w:val="24"/>
        </w:rPr>
      </w:pPr>
      <w:r>
        <w:rPr>
          <w:kern w:val="0"/>
          <w:sz w:val="24"/>
        </w:rPr>
        <w:t>注：基金资产净值、账面价值为</w:t>
      </w:r>
      <w:r>
        <w:rPr>
          <w:kern w:val="0"/>
          <w:sz w:val="24"/>
        </w:rPr>
        <w:t>2026</w:t>
      </w:r>
      <w:r>
        <w:rPr>
          <w:kern w:val="0"/>
          <w:sz w:val="24"/>
        </w:rPr>
        <w:t>年</w:t>
      </w:r>
      <w:r>
        <w:rPr>
          <w:kern w:val="0"/>
          <w:sz w:val="24"/>
        </w:rPr>
        <w:t>4</w:t>
      </w:r>
      <w:r>
        <w:rPr>
          <w:kern w:val="0"/>
          <w:sz w:val="24"/>
        </w:rPr>
        <w:t>月</w:t>
      </w:r>
      <w:r>
        <w:rPr>
          <w:kern w:val="0"/>
          <w:sz w:val="24"/>
        </w:rPr>
        <w:t>21</w:t>
      </w:r>
      <w:r>
        <w:rPr>
          <w:kern w:val="0"/>
          <w:sz w:val="24"/>
        </w:rPr>
        <w:t>日数据。</w:t>
      </w:r>
    </w:p>
    <w:p w:rsidR="00E90225" w:rsidRDefault="00CB635D">
      <w:pPr>
        <w:spacing w:line="360" w:lineRule="auto"/>
        <w:ind w:firstLineChars="200" w:firstLine="480"/>
        <w:rPr>
          <w:kern w:val="0"/>
          <w:sz w:val="24"/>
        </w:rPr>
      </w:pPr>
      <w:r>
        <w:rPr>
          <w:kern w:val="0"/>
          <w:sz w:val="24"/>
        </w:rPr>
        <w:t>特此公告。</w:t>
      </w:r>
    </w:p>
    <w:p w:rsidR="00E90225" w:rsidRDefault="00CB635D">
      <w:pPr>
        <w:spacing w:line="360" w:lineRule="auto"/>
        <w:jc w:val="right"/>
        <w:rPr>
          <w:kern w:val="0"/>
          <w:sz w:val="24"/>
        </w:rPr>
      </w:pPr>
      <w:r>
        <w:rPr>
          <w:kern w:val="0"/>
          <w:sz w:val="24"/>
        </w:rPr>
        <w:t>易方达基金管理有限公司</w:t>
      </w:r>
    </w:p>
    <w:p w:rsidR="00E90225" w:rsidRDefault="00CB635D">
      <w:pPr>
        <w:spacing w:line="360" w:lineRule="auto"/>
        <w:jc w:val="right"/>
        <w:rPr>
          <w:kern w:val="0"/>
          <w:sz w:val="24"/>
        </w:rPr>
      </w:pPr>
      <w:r>
        <w:rPr>
          <w:kern w:val="0"/>
          <w:sz w:val="24"/>
        </w:rPr>
        <w:t>2026</w:t>
      </w:r>
      <w:r>
        <w:rPr>
          <w:kern w:val="0"/>
          <w:sz w:val="24"/>
        </w:rPr>
        <w:t>年</w:t>
      </w:r>
      <w:r>
        <w:rPr>
          <w:kern w:val="0"/>
          <w:sz w:val="24"/>
        </w:rPr>
        <w:t>4</w:t>
      </w:r>
      <w:r>
        <w:rPr>
          <w:kern w:val="0"/>
          <w:sz w:val="24"/>
        </w:rPr>
        <w:t>月</w:t>
      </w:r>
      <w:r>
        <w:rPr>
          <w:kern w:val="0"/>
          <w:sz w:val="24"/>
        </w:rPr>
        <w:t>23</w:t>
      </w:r>
      <w:r>
        <w:rPr>
          <w:kern w:val="0"/>
          <w:sz w:val="24"/>
        </w:rPr>
        <w:t>日</w:t>
      </w:r>
    </w:p>
    <w:p w:rsidR="00E90225" w:rsidRDefault="00E90225">
      <w:pPr>
        <w:spacing w:line="360" w:lineRule="auto"/>
        <w:jc w:val="right"/>
        <w:rPr>
          <w:rFonts w:ascii="宋体" w:hAnsi="宋体" w:cs="宋体"/>
          <w:kern w:val="0"/>
          <w:sz w:val="24"/>
        </w:rPr>
      </w:pPr>
    </w:p>
    <w:p w:rsidR="00E90225" w:rsidRDefault="00E90225">
      <w:pPr>
        <w:spacing w:line="360" w:lineRule="auto"/>
        <w:jc w:val="right"/>
        <w:rPr>
          <w:rFonts w:ascii="宋体" w:hAnsi="宋体" w:cs="宋体"/>
          <w:kern w:val="0"/>
          <w:sz w:val="24"/>
        </w:rPr>
      </w:pPr>
    </w:p>
    <w:p w:rsidR="00E90225" w:rsidRDefault="00E90225">
      <w:pPr>
        <w:spacing w:line="360" w:lineRule="auto"/>
        <w:jc w:val="right"/>
      </w:pPr>
    </w:p>
    <w:sectPr w:rsidR="00E90225" w:rsidSect="00E902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10E2"/>
    <w:rsid w:val="A9EB1F42"/>
    <w:rsid w:val="000068AC"/>
    <w:rsid w:val="00056A9D"/>
    <w:rsid w:val="00067C88"/>
    <w:rsid w:val="0007578E"/>
    <w:rsid w:val="00084730"/>
    <w:rsid w:val="00091454"/>
    <w:rsid w:val="00091C26"/>
    <w:rsid w:val="000D409F"/>
    <w:rsid w:val="000F4885"/>
    <w:rsid w:val="001104F8"/>
    <w:rsid w:val="00182DBA"/>
    <w:rsid w:val="00185879"/>
    <w:rsid w:val="00196752"/>
    <w:rsid w:val="001B1DBB"/>
    <w:rsid w:val="001C374B"/>
    <w:rsid w:val="001C412F"/>
    <w:rsid w:val="001E1CD2"/>
    <w:rsid w:val="00225369"/>
    <w:rsid w:val="00277148"/>
    <w:rsid w:val="00294F51"/>
    <w:rsid w:val="00296B13"/>
    <w:rsid w:val="00301B9A"/>
    <w:rsid w:val="00303C8C"/>
    <w:rsid w:val="0033061C"/>
    <w:rsid w:val="00340B3A"/>
    <w:rsid w:val="003535FC"/>
    <w:rsid w:val="00377AFD"/>
    <w:rsid w:val="00387016"/>
    <w:rsid w:val="003B10DF"/>
    <w:rsid w:val="003B1232"/>
    <w:rsid w:val="003C1E98"/>
    <w:rsid w:val="003E178A"/>
    <w:rsid w:val="003F4B29"/>
    <w:rsid w:val="00426619"/>
    <w:rsid w:val="00437EFE"/>
    <w:rsid w:val="004536F8"/>
    <w:rsid w:val="00457BBE"/>
    <w:rsid w:val="0046432B"/>
    <w:rsid w:val="00465A81"/>
    <w:rsid w:val="00472218"/>
    <w:rsid w:val="0047707C"/>
    <w:rsid w:val="004864EF"/>
    <w:rsid w:val="00491539"/>
    <w:rsid w:val="004A37D9"/>
    <w:rsid w:val="004A6FD4"/>
    <w:rsid w:val="004A748B"/>
    <w:rsid w:val="004E00DA"/>
    <w:rsid w:val="005104D0"/>
    <w:rsid w:val="00514C2A"/>
    <w:rsid w:val="005173AF"/>
    <w:rsid w:val="0054079D"/>
    <w:rsid w:val="005410D0"/>
    <w:rsid w:val="00545916"/>
    <w:rsid w:val="0054726D"/>
    <w:rsid w:val="00557020"/>
    <w:rsid w:val="0056424C"/>
    <w:rsid w:val="00565313"/>
    <w:rsid w:val="00575028"/>
    <w:rsid w:val="00594EC0"/>
    <w:rsid w:val="00597646"/>
    <w:rsid w:val="005B7759"/>
    <w:rsid w:val="005D6EFF"/>
    <w:rsid w:val="005F5B86"/>
    <w:rsid w:val="006162D1"/>
    <w:rsid w:val="00617E6A"/>
    <w:rsid w:val="0066427C"/>
    <w:rsid w:val="0067264D"/>
    <w:rsid w:val="006742D8"/>
    <w:rsid w:val="006904DC"/>
    <w:rsid w:val="006905CB"/>
    <w:rsid w:val="00694AB9"/>
    <w:rsid w:val="006A6F40"/>
    <w:rsid w:val="006B20BE"/>
    <w:rsid w:val="006B73C3"/>
    <w:rsid w:val="006E31C5"/>
    <w:rsid w:val="006E3C8F"/>
    <w:rsid w:val="00701BA4"/>
    <w:rsid w:val="00713551"/>
    <w:rsid w:val="00740340"/>
    <w:rsid w:val="00767737"/>
    <w:rsid w:val="007A0408"/>
    <w:rsid w:val="007C2F1F"/>
    <w:rsid w:val="008068CA"/>
    <w:rsid w:val="00824F39"/>
    <w:rsid w:val="008700B0"/>
    <w:rsid w:val="00875A99"/>
    <w:rsid w:val="00881EB9"/>
    <w:rsid w:val="0088426E"/>
    <w:rsid w:val="008905B4"/>
    <w:rsid w:val="008C245D"/>
    <w:rsid w:val="008E3175"/>
    <w:rsid w:val="00943EEF"/>
    <w:rsid w:val="00945A25"/>
    <w:rsid w:val="00953744"/>
    <w:rsid w:val="009744BE"/>
    <w:rsid w:val="00990035"/>
    <w:rsid w:val="009A0A35"/>
    <w:rsid w:val="009A4875"/>
    <w:rsid w:val="009B4906"/>
    <w:rsid w:val="009C0D0E"/>
    <w:rsid w:val="009F70AA"/>
    <w:rsid w:val="009F7B3D"/>
    <w:rsid w:val="00A023DA"/>
    <w:rsid w:val="00A76FCB"/>
    <w:rsid w:val="00A9101C"/>
    <w:rsid w:val="00AD2F78"/>
    <w:rsid w:val="00AE5C3D"/>
    <w:rsid w:val="00B06905"/>
    <w:rsid w:val="00B27AC1"/>
    <w:rsid w:val="00B37206"/>
    <w:rsid w:val="00B57F57"/>
    <w:rsid w:val="00B64A1E"/>
    <w:rsid w:val="00B67FB7"/>
    <w:rsid w:val="00BA15AC"/>
    <w:rsid w:val="00BA3220"/>
    <w:rsid w:val="00BA3E0A"/>
    <w:rsid w:val="00BB54B0"/>
    <w:rsid w:val="00BC5A9F"/>
    <w:rsid w:val="00BC5B73"/>
    <w:rsid w:val="00BD22BB"/>
    <w:rsid w:val="00BD58A6"/>
    <w:rsid w:val="00BD7CE6"/>
    <w:rsid w:val="00BE0613"/>
    <w:rsid w:val="00BE6C39"/>
    <w:rsid w:val="00BE7D30"/>
    <w:rsid w:val="00BF7639"/>
    <w:rsid w:val="00C010A4"/>
    <w:rsid w:val="00C16B5A"/>
    <w:rsid w:val="00C16E41"/>
    <w:rsid w:val="00C16E87"/>
    <w:rsid w:val="00C342E5"/>
    <w:rsid w:val="00C51485"/>
    <w:rsid w:val="00C53F2C"/>
    <w:rsid w:val="00C73256"/>
    <w:rsid w:val="00C74CAB"/>
    <w:rsid w:val="00C76D21"/>
    <w:rsid w:val="00CA7C64"/>
    <w:rsid w:val="00CB635D"/>
    <w:rsid w:val="00D66832"/>
    <w:rsid w:val="00D753C1"/>
    <w:rsid w:val="00D82CEE"/>
    <w:rsid w:val="00D86EEB"/>
    <w:rsid w:val="00D87EB7"/>
    <w:rsid w:val="00D9314C"/>
    <w:rsid w:val="00DA0710"/>
    <w:rsid w:val="00DB4A42"/>
    <w:rsid w:val="00DD04AC"/>
    <w:rsid w:val="00DE18A7"/>
    <w:rsid w:val="00E04841"/>
    <w:rsid w:val="00E0716B"/>
    <w:rsid w:val="00E11A5D"/>
    <w:rsid w:val="00E2716D"/>
    <w:rsid w:val="00E37F29"/>
    <w:rsid w:val="00E41585"/>
    <w:rsid w:val="00E46D9A"/>
    <w:rsid w:val="00E62CE3"/>
    <w:rsid w:val="00E72B6A"/>
    <w:rsid w:val="00E80951"/>
    <w:rsid w:val="00E90225"/>
    <w:rsid w:val="00E94FC4"/>
    <w:rsid w:val="00EA10E2"/>
    <w:rsid w:val="00EB2D11"/>
    <w:rsid w:val="00EB5883"/>
    <w:rsid w:val="00EC223E"/>
    <w:rsid w:val="00EE4CF2"/>
    <w:rsid w:val="00EF34D7"/>
    <w:rsid w:val="00F11F77"/>
    <w:rsid w:val="00F20762"/>
    <w:rsid w:val="00F22B55"/>
    <w:rsid w:val="00F54A05"/>
    <w:rsid w:val="00F72C67"/>
    <w:rsid w:val="00FA2042"/>
    <w:rsid w:val="00FC2449"/>
    <w:rsid w:val="00FC7DF3"/>
    <w:rsid w:val="00FF2B45"/>
    <w:rsid w:val="00FF37E9"/>
    <w:rsid w:val="00FF402D"/>
    <w:rsid w:val="3BADA7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Typewriter"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2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E90225"/>
    <w:pPr>
      <w:ind w:leftChars="2500" w:left="100"/>
    </w:pPr>
  </w:style>
  <w:style w:type="paragraph" w:styleId="a4">
    <w:name w:val="Balloon Text"/>
    <w:basedOn w:val="a"/>
    <w:semiHidden/>
    <w:qFormat/>
    <w:rsid w:val="00E90225"/>
    <w:rPr>
      <w:sz w:val="18"/>
      <w:szCs w:val="18"/>
    </w:rPr>
  </w:style>
  <w:style w:type="paragraph" w:styleId="a5">
    <w:name w:val="footer"/>
    <w:basedOn w:val="a"/>
    <w:link w:val="Char0"/>
    <w:qFormat/>
    <w:rsid w:val="00E90225"/>
    <w:pPr>
      <w:tabs>
        <w:tab w:val="center" w:pos="4153"/>
        <w:tab w:val="right" w:pos="8306"/>
      </w:tabs>
      <w:snapToGrid w:val="0"/>
      <w:jc w:val="left"/>
    </w:pPr>
    <w:rPr>
      <w:sz w:val="18"/>
      <w:szCs w:val="18"/>
    </w:rPr>
  </w:style>
  <w:style w:type="paragraph" w:styleId="a6">
    <w:name w:val="header"/>
    <w:basedOn w:val="a"/>
    <w:link w:val="Char1"/>
    <w:qFormat/>
    <w:rsid w:val="00E90225"/>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E902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E90225"/>
    <w:rPr>
      <w:b/>
      <w:bCs/>
    </w:rPr>
  </w:style>
  <w:style w:type="character" w:styleId="HTML">
    <w:name w:val="HTML Typewriter"/>
    <w:qFormat/>
    <w:rsid w:val="00E90225"/>
    <w:rPr>
      <w:rFonts w:ascii="宋体" w:eastAsia="宋体" w:hAnsi="宋体" w:cs="宋体"/>
      <w:sz w:val="24"/>
      <w:szCs w:val="24"/>
    </w:rPr>
  </w:style>
  <w:style w:type="paragraph" w:customStyle="1" w:styleId="font14">
    <w:name w:val="font14"/>
    <w:basedOn w:val="a"/>
    <w:qFormat/>
    <w:rsid w:val="00E90225"/>
    <w:pPr>
      <w:widowControl/>
      <w:spacing w:before="100" w:beforeAutospacing="1" w:after="100" w:afterAutospacing="1" w:line="360" w:lineRule="auto"/>
      <w:jc w:val="left"/>
    </w:pPr>
    <w:rPr>
      <w:rFonts w:ascii="宋体" w:hAnsi="宋体" w:cs="宋体"/>
      <w:kern w:val="0"/>
      <w:szCs w:val="21"/>
    </w:rPr>
  </w:style>
  <w:style w:type="character" w:customStyle="1" w:styleId="Char1">
    <w:name w:val="页眉 Char"/>
    <w:link w:val="a6"/>
    <w:qFormat/>
    <w:rsid w:val="00E90225"/>
    <w:rPr>
      <w:kern w:val="2"/>
      <w:sz w:val="18"/>
      <w:szCs w:val="18"/>
    </w:rPr>
  </w:style>
  <w:style w:type="character" w:customStyle="1" w:styleId="Char0">
    <w:name w:val="页脚 Char"/>
    <w:link w:val="a5"/>
    <w:qFormat/>
    <w:rsid w:val="00E90225"/>
    <w:rPr>
      <w:kern w:val="2"/>
      <w:sz w:val="18"/>
      <w:szCs w:val="18"/>
    </w:rPr>
  </w:style>
  <w:style w:type="character" w:customStyle="1" w:styleId="Char">
    <w:name w:val="日期 Char"/>
    <w:link w:val="a3"/>
    <w:qFormat/>
    <w:rsid w:val="00E9022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E00F8011-67E5-46C1-B4BD-7155020C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4</DocSecurity>
  <Lines>6</Lines>
  <Paragraphs>1</Paragraphs>
  <ScaleCrop>false</ScaleCrop>
  <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2026-04-22T16:04:00Z</dcterms:created>
  <dcterms:modified xsi:type="dcterms:W3CDTF">2026-04-22T16:04:00Z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338D4780C715B25AAD2FE869913F9E12</vt:lpwstr>
  </property>
  <property fmtid="{D5CDD505-2E9C-101B-9397-08002B2CF9AE}" pid="3" name="KSOProductBuildVer">
    <vt:lpwstr>2052-11.8.2.12219</vt:lpwstr>
  </property>
</Properties>
</file>