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7A36CA">
      <w:pPr>
        <w:spacing w:line="360" w:lineRule="auto"/>
        <w:jc w:val="center"/>
        <w:rPr>
          <w:rFonts w:hint="eastAsia"/>
          <w:b/>
          <w:bCs/>
          <w:sz w:val="36"/>
          <w:szCs w:val="40"/>
        </w:rPr>
      </w:pPr>
      <w:r>
        <w:rPr>
          <w:rFonts w:hint="eastAsia"/>
          <w:b/>
          <w:bCs/>
          <w:sz w:val="36"/>
          <w:szCs w:val="40"/>
        </w:rPr>
        <w:t>中银国际证券股份有限公司关于</w:t>
      </w:r>
      <w:r>
        <w:rPr>
          <w:rFonts w:hint="eastAsia"/>
          <w:b/>
          <w:bCs/>
          <w:sz w:val="36"/>
          <w:szCs w:val="40"/>
        </w:rPr>
        <w:t>旗下</w:t>
      </w:r>
    </w:p>
    <w:p w:rsidR="00000000" w:rsidRDefault="007A36CA">
      <w:pPr>
        <w:spacing w:line="360" w:lineRule="auto"/>
        <w:jc w:val="center"/>
        <w:rPr>
          <w:rFonts w:hint="eastAsia"/>
          <w:b/>
          <w:bCs/>
          <w:sz w:val="36"/>
          <w:szCs w:val="40"/>
        </w:rPr>
      </w:pPr>
      <w:r>
        <w:rPr>
          <w:rFonts w:hint="eastAsia"/>
          <w:b/>
          <w:bCs/>
          <w:sz w:val="36"/>
          <w:szCs w:val="40"/>
        </w:rPr>
        <w:t>部分基金</w:t>
      </w:r>
      <w:r>
        <w:rPr>
          <w:rFonts w:hint="eastAsia"/>
          <w:b/>
          <w:bCs/>
          <w:sz w:val="36"/>
          <w:szCs w:val="40"/>
        </w:rPr>
        <w:t>新增</w:t>
      </w:r>
      <w:r>
        <w:rPr>
          <w:rFonts w:hint="eastAsia"/>
          <w:b/>
          <w:bCs/>
          <w:sz w:val="36"/>
          <w:szCs w:val="40"/>
        </w:rPr>
        <w:t>上海万得基金销售</w:t>
      </w:r>
      <w:r>
        <w:rPr>
          <w:rFonts w:hint="eastAsia"/>
          <w:b/>
          <w:bCs/>
          <w:sz w:val="36"/>
          <w:szCs w:val="40"/>
        </w:rPr>
        <w:t>有限公司为</w:t>
      </w:r>
      <w:r>
        <w:rPr>
          <w:rFonts w:hint="eastAsia"/>
          <w:b/>
          <w:bCs/>
          <w:sz w:val="36"/>
          <w:szCs w:val="40"/>
        </w:rPr>
        <w:t>销</w:t>
      </w:r>
      <w:r>
        <w:rPr>
          <w:rFonts w:hint="eastAsia"/>
          <w:b/>
          <w:bCs/>
          <w:sz w:val="36"/>
          <w:szCs w:val="40"/>
        </w:rPr>
        <w:t>售</w:t>
      </w:r>
      <w:r>
        <w:rPr>
          <w:rFonts w:hint="eastAsia"/>
          <w:b/>
          <w:bCs/>
          <w:sz w:val="36"/>
          <w:szCs w:val="40"/>
        </w:rPr>
        <w:t>机构并进行费率优惠的公告</w:t>
      </w:r>
    </w:p>
    <w:p w:rsidR="00000000" w:rsidRDefault="007A36CA">
      <w:pPr>
        <w:spacing w:line="360" w:lineRule="auto"/>
        <w:ind w:firstLineChars="200" w:firstLine="480"/>
        <w:rPr>
          <w:rFonts w:hint="eastAsia"/>
          <w:sz w:val="24"/>
          <w:szCs w:val="28"/>
        </w:rPr>
      </w:pPr>
      <w:r>
        <w:rPr>
          <w:rFonts w:hint="eastAsia"/>
          <w:sz w:val="24"/>
          <w:szCs w:val="28"/>
        </w:rPr>
        <w:t>根据中银国际证券股份有限公司（以下简称“本公司”）与以下销售机构签署的销售协议，自</w:t>
      </w:r>
      <w:r>
        <w:rPr>
          <w:sz w:val="24"/>
          <w:szCs w:val="28"/>
        </w:rPr>
        <w:t>202</w:t>
      </w:r>
      <w:r>
        <w:rPr>
          <w:rFonts w:hint="eastAsia"/>
          <w:sz w:val="24"/>
          <w:szCs w:val="28"/>
        </w:rPr>
        <w:t>6</w:t>
      </w:r>
      <w:r>
        <w:rPr>
          <w:rFonts w:hint="eastAsia"/>
          <w:sz w:val="24"/>
          <w:szCs w:val="28"/>
        </w:rPr>
        <w:t>年</w:t>
      </w:r>
      <w:r>
        <w:rPr>
          <w:rFonts w:hint="eastAsia"/>
          <w:sz w:val="24"/>
          <w:szCs w:val="28"/>
        </w:rPr>
        <w:t>4</w:t>
      </w:r>
      <w:r>
        <w:rPr>
          <w:rFonts w:hint="eastAsia"/>
          <w:sz w:val="24"/>
          <w:szCs w:val="28"/>
        </w:rPr>
        <w:t>月</w:t>
      </w:r>
      <w:r>
        <w:rPr>
          <w:rFonts w:hint="eastAsia"/>
          <w:sz w:val="24"/>
          <w:szCs w:val="28"/>
        </w:rPr>
        <w:t>23</w:t>
      </w:r>
      <w:r>
        <w:rPr>
          <w:rFonts w:hint="eastAsia"/>
          <w:sz w:val="24"/>
          <w:szCs w:val="28"/>
        </w:rPr>
        <w:t>日起，</w:t>
      </w:r>
      <w:r>
        <w:rPr>
          <w:rFonts w:hint="eastAsia"/>
          <w:sz w:val="24"/>
          <w:szCs w:val="28"/>
        </w:rPr>
        <w:t>投资者可在</w:t>
      </w:r>
      <w:r>
        <w:rPr>
          <w:rFonts w:hint="eastAsia"/>
          <w:sz w:val="24"/>
          <w:szCs w:val="28"/>
        </w:rPr>
        <w:t>以下</w:t>
      </w:r>
      <w:r>
        <w:rPr>
          <w:rFonts w:hint="eastAsia"/>
          <w:sz w:val="24"/>
          <w:szCs w:val="28"/>
        </w:rPr>
        <w:t>销售机构办理本公司旗下</w:t>
      </w:r>
      <w:r>
        <w:rPr>
          <w:rFonts w:hint="eastAsia"/>
          <w:sz w:val="24"/>
          <w:szCs w:val="28"/>
        </w:rPr>
        <w:t>部分</w:t>
      </w:r>
      <w:r>
        <w:rPr>
          <w:rFonts w:hint="eastAsia"/>
          <w:sz w:val="24"/>
          <w:szCs w:val="28"/>
        </w:rPr>
        <w:t>基金</w:t>
      </w:r>
      <w:r>
        <w:rPr>
          <w:rFonts w:hint="eastAsia"/>
          <w:sz w:val="24"/>
          <w:szCs w:val="28"/>
        </w:rPr>
        <w:t>份额的</w:t>
      </w:r>
      <w:r>
        <w:rPr>
          <w:rFonts w:hint="eastAsia"/>
          <w:sz w:val="24"/>
          <w:szCs w:val="28"/>
        </w:rPr>
        <w:t>申购、赎回、转换、定期定额申购业务</w:t>
      </w:r>
      <w:r>
        <w:rPr>
          <w:rFonts w:hint="eastAsia"/>
          <w:sz w:val="24"/>
          <w:szCs w:val="28"/>
        </w:rPr>
        <w:t>（以下简称“定投”）</w:t>
      </w:r>
      <w:r>
        <w:rPr>
          <w:rFonts w:hint="eastAsia"/>
          <w:sz w:val="24"/>
          <w:szCs w:val="28"/>
        </w:rPr>
        <w:t>，现将有关事项公告如下：</w:t>
      </w:r>
    </w:p>
    <w:p w:rsidR="00000000" w:rsidRDefault="007A36CA">
      <w:pPr>
        <w:spacing w:line="360" w:lineRule="auto"/>
        <w:ind w:firstLineChars="200" w:firstLine="480"/>
        <w:rPr>
          <w:rFonts w:hint="eastAsia"/>
          <w:sz w:val="24"/>
          <w:szCs w:val="28"/>
        </w:rPr>
      </w:pPr>
      <w:r>
        <w:rPr>
          <w:rFonts w:hint="eastAsia"/>
          <w:sz w:val="24"/>
          <w:szCs w:val="28"/>
        </w:rPr>
        <w:t>一、适用基金及业务范围</w:t>
      </w:r>
    </w:p>
    <w:tbl>
      <w:tblPr>
        <w:tblW w:w="8158" w:type="dxa"/>
        <w:tblInd w:w="4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530"/>
        <w:gridCol w:w="5400"/>
        <w:gridCol w:w="1228"/>
      </w:tblGrid>
      <w:tr w:rsidR="00000000">
        <w:trPr>
          <w:trHeight w:val="472"/>
        </w:trPr>
        <w:tc>
          <w:tcPr>
            <w:tcW w:w="1530" w:type="dxa"/>
            <w:tcBorders>
              <w:tl2br w:val="nil"/>
              <w:tr2bl w:val="nil"/>
            </w:tcBorders>
            <w:noWrap/>
            <w:vAlign w:val="center"/>
          </w:tcPr>
          <w:p w:rsidR="00000000" w:rsidRDefault="007A36CA">
            <w:pPr>
              <w:spacing w:line="360" w:lineRule="auto"/>
              <w:jc w:val="center"/>
              <w:rPr>
                <w:rFonts w:ascii="宋体" w:hAnsi="宋体" w:cs="宋体" w:hint="eastAsia"/>
                <w:b/>
                <w:bCs/>
                <w:color w:val="000000"/>
                <w:sz w:val="24"/>
                <w:szCs w:val="24"/>
              </w:rPr>
            </w:pPr>
            <w:r>
              <w:rPr>
                <w:rFonts w:ascii="宋体" w:hAnsi="宋体" w:cs="宋体" w:hint="eastAsia"/>
                <w:b/>
                <w:bCs/>
                <w:color w:val="000000"/>
                <w:sz w:val="24"/>
                <w:szCs w:val="24"/>
              </w:rPr>
              <w:t>基金代码</w:t>
            </w:r>
          </w:p>
        </w:tc>
        <w:tc>
          <w:tcPr>
            <w:tcW w:w="5400" w:type="dxa"/>
            <w:tcBorders>
              <w:tl2br w:val="nil"/>
              <w:tr2bl w:val="nil"/>
            </w:tcBorders>
            <w:noWrap/>
            <w:vAlign w:val="center"/>
          </w:tcPr>
          <w:p w:rsidR="00000000" w:rsidRDefault="007A36CA">
            <w:pPr>
              <w:spacing w:line="360" w:lineRule="auto"/>
              <w:jc w:val="center"/>
              <w:rPr>
                <w:rFonts w:ascii="宋体" w:hAnsi="宋体" w:cs="宋体" w:hint="eastAsia"/>
                <w:b/>
                <w:bCs/>
                <w:color w:val="000000"/>
                <w:sz w:val="24"/>
                <w:szCs w:val="24"/>
              </w:rPr>
            </w:pPr>
            <w:r>
              <w:rPr>
                <w:rFonts w:ascii="宋体" w:hAnsi="宋体" w:cs="宋体" w:hint="eastAsia"/>
                <w:b/>
                <w:bCs/>
                <w:color w:val="000000"/>
                <w:sz w:val="24"/>
                <w:szCs w:val="24"/>
              </w:rPr>
              <w:t>基金名称</w:t>
            </w:r>
          </w:p>
        </w:tc>
        <w:tc>
          <w:tcPr>
            <w:tcW w:w="1228" w:type="dxa"/>
            <w:tcBorders>
              <w:tl2br w:val="nil"/>
              <w:tr2bl w:val="nil"/>
            </w:tcBorders>
            <w:noWrap/>
            <w:vAlign w:val="center"/>
          </w:tcPr>
          <w:p w:rsidR="00000000" w:rsidRDefault="007A36CA">
            <w:pPr>
              <w:spacing w:line="360" w:lineRule="auto"/>
              <w:jc w:val="center"/>
              <w:rPr>
                <w:rFonts w:ascii="宋体" w:hAnsi="宋体" w:cs="宋体" w:hint="eastAsia"/>
                <w:b/>
                <w:bCs/>
                <w:color w:val="000000"/>
                <w:sz w:val="24"/>
                <w:szCs w:val="24"/>
              </w:rPr>
            </w:pPr>
            <w:r>
              <w:rPr>
                <w:rFonts w:ascii="宋体" w:hAnsi="宋体" w:cs="宋体" w:hint="eastAsia"/>
                <w:b/>
                <w:bCs/>
                <w:color w:val="000000"/>
                <w:sz w:val="24"/>
                <w:szCs w:val="24"/>
              </w:rPr>
              <w:t>销售机构</w:t>
            </w:r>
          </w:p>
        </w:tc>
      </w:tr>
      <w:tr w:rsidR="00000000">
        <w:trPr>
          <w:trHeight w:val="2393"/>
        </w:trPr>
        <w:tc>
          <w:tcPr>
            <w:tcW w:w="1530" w:type="dxa"/>
            <w:tcBorders>
              <w:tl2br w:val="nil"/>
              <w:tr2bl w:val="nil"/>
            </w:tcBorders>
            <w:noWrap/>
            <w:vAlign w:val="center"/>
          </w:tcPr>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 xml:space="preserve">019188 019187 </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 xml:space="preserve">019098 </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016218 016217 016137 016136</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003317 0</w:t>
            </w:r>
            <w:r>
              <w:rPr>
                <w:rFonts w:ascii="宋体" w:hAnsi="宋体" w:cs="宋体" w:hint="eastAsia"/>
                <w:color w:val="000000"/>
                <w:sz w:val="24"/>
                <w:szCs w:val="24"/>
              </w:rPr>
              <w:t xml:space="preserve">20852 004807 004808   </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 xml:space="preserve">009640  </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 xml:space="preserve">009641 </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005571 005572 013755</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 xml:space="preserve">013756 </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 xml:space="preserve">002601 014179 </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 xml:space="preserve">014180 </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 xml:space="preserve">002938 013929  </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013930</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017389</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017390</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011801</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011802</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 xml:space="preserve">004913 004914 </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lastRenderedPageBreak/>
              <w:t>011269</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 xml:space="preserve">011270 </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010892</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010893</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008258</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008259</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026242</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026243</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026772</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026773</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023153</w:t>
            </w:r>
          </w:p>
          <w:p w:rsidR="00000000" w:rsidRDefault="007A36CA">
            <w:pPr>
              <w:widowControl/>
              <w:jc w:val="left"/>
              <w:textAlignment w:val="center"/>
              <w:rPr>
                <w:rFonts w:ascii="宋体" w:hAnsi="宋体" w:cs="宋体"/>
                <w:color w:val="000000"/>
                <w:sz w:val="24"/>
                <w:szCs w:val="24"/>
              </w:rPr>
            </w:pPr>
            <w:r>
              <w:rPr>
                <w:rFonts w:ascii="宋体" w:hAnsi="宋体" w:cs="宋体" w:hint="eastAsia"/>
                <w:color w:val="000000"/>
                <w:sz w:val="24"/>
                <w:szCs w:val="24"/>
              </w:rPr>
              <w:t>023154</w:t>
            </w:r>
          </w:p>
        </w:tc>
        <w:tc>
          <w:tcPr>
            <w:tcW w:w="5400" w:type="dxa"/>
            <w:tcBorders>
              <w:tl2br w:val="nil"/>
              <w:tr2bl w:val="nil"/>
            </w:tcBorders>
            <w:noWrap/>
            <w:vAlign w:val="center"/>
          </w:tcPr>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lastRenderedPageBreak/>
              <w:t>中银证券和瑞一年持有混合</w:t>
            </w:r>
            <w:r>
              <w:rPr>
                <w:rFonts w:ascii="宋体" w:hAnsi="宋体" w:cs="宋体" w:hint="eastAsia"/>
                <w:color w:val="000000"/>
                <w:sz w:val="24"/>
                <w:szCs w:val="24"/>
              </w:rPr>
              <w:t>C</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中银证券和瑞一年持有混合</w:t>
            </w:r>
            <w:r>
              <w:rPr>
                <w:rFonts w:ascii="宋体" w:hAnsi="宋体" w:cs="宋体" w:hint="eastAsia"/>
                <w:color w:val="000000"/>
                <w:sz w:val="24"/>
                <w:szCs w:val="24"/>
              </w:rPr>
              <w:t>A</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中银证券中证同业存单</w:t>
            </w:r>
            <w:r>
              <w:rPr>
                <w:rFonts w:ascii="宋体" w:hAnsi="宋体" w:cs="宋体" w:hint="eastAsia"/>
                <w:color w:val="000000"/>
                <w:sz w:val="24"/>
                <w:szCs w:val="24"/>
              </w:rPr>
              <w:t>AAA</w:t>
            </w:r>
            <w:r>
              <w:rPr>
                <w:rFonts w:ascii="宋体" w:hAnsi="宋体" w:cs="宋体" w:hint="eastAsia"/>
                <w:color w:val="000000"/>
                <w:sz w:val="24"/>
                <w:szCs w:val="24"/>
              </w:rPr>
              <w:t>指数</w:t>
            </w:r>
            <w:r>
              <w:rPr>
                <w:rFonts w:ascii="宋体" w:hAnsi="宋体" w:cs="宋体" w:hint="eastAsia"/>
                <w:color w:val="000000"/>
                <w:sz w:val="24"/>
                <w:szCs w:val="24"/>
              </w:rPr>
              <w:t>7</w:t>
            </w:r>
            <w:r>
              <w:rPr>
                <w:rFonts w:ascii="宋体" w:hAnsi="宋体" w:cs="宋体" w:hint="eastAsia"/>
                <w:color w:val="000000"/>
                <w:sz w:val="24"/>
                <w:szCs w:val="24"/>
              </w:rPr>
              <w:t>天持有期</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中银证券慧泽平衡</w:t>
            </w:r>
            <w:r>
              <w:rPr>
                <w:rFonts w:ascii="宋体" w:hAnsi="宋体" w:cs="宋体" w:hint="eastAsia"/>
                <w:color w:val="000000"/>
                <w:sz w:val="24"/>
                <w:szCs w:val="24"/>
              </w:rPr>
              <w:t>3</w:t>
            </w:r>
            <w:r>
              <w:rPr>
                <w:rFonts w:ascii="宋体" w:hAnsi="宋体" w:cs="宋体" w:hint="eastAsia"/>
                <w:color w:val="000000"/>
                <w:sz w:val="24"/>
                <w:szCs w:val="24"/>
              </w:rPr>
              <w:t>个月持有期混合发起</w:t>
            </w:r>
            <w:r>
              <w:rPr>
                <w:rFonts w:ascii="宋体" w:hAnsi="宋体" w:cs="宋体" w:hint="eastAsia"/>
                <w:color w:val="000000"/>
                <w:sz w:val="24"/>
                <w:szCs w:val="24"/>
              </w:rPr>
              <w:t>(FOF)C</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中银证券慧泽平衡</w:t>
            </w:r>
            <w:r>
              <w:rPr>
                <w:rFonts w:ascii="宋体" w:hAnsi="宋体" w:cs="宋体" w:hint="eastAsia"/>
                <w:color w:val="000000"/>
                <w:sz w:val="24"/>
                <w:szCs w:val="24"/>
              </w:rPr>
              <w:t>3</w:t>
            </w:r>
            <w:r>
              <w:rPr>
                <w:rFonts w:ascii="宋体" w:hAnsi="宋体" w:cs="宋体" w:hint="eastAsia"/>
                <w:color w:val="000000"/>
                <w:sz w:val="24"/>
                <w:szCs w:val="24"/>
              </w:rPr>
              <w:t>个月持有期混合发起</w:t>
            </w:r>
            <w:r>
              <w:rPr>
                <w:rFonts w:ascii="宋体" w:hAnsi="宋体" w:cs="宋体" w:hint="eastAsia"/>
                <w:color w:val="000000"/>
                <w:sz w:val="24"/>
                <w:szCs w:val="24"/>
              </w:rPr>
              <w:t>(FOF)A</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中银证券慧泽稳健</w:t>
            </w:r>
            <w:r>
              <w:rPr>
                <w:rFonts w:ascii="宋体" w:hAnsi="宋体" w:cs="宋体" w:hint="eastAsia"/>
                <w:color w:val="000000"/>
                <w:sz w:val="24"/>
                <w:szCs w:val="24"/>
              </w:rPr>
              <w:t>3</w:t>
            </w:r>
            <w:r>
              <w:rPr>
                <w:rFonts w:ascii="宋体" w:hAnsi="宋体" w:cs="宋体" w:hint="eastAsia"/>
                <w:color w:val="000000"/>
                <w:sz w:val="24"/>
                <w:szCs w:val="24"/>
              </w:rPr>
              <w:t>个月持有期混合发起</w:t>
            </w:r>
            <w:r>
              <w:rPr>
                <w:rFonts w:ascii="宋体" w:hAnsi="宋体" w:cs="宋体" w:hint="eastAsia"/>
                <w:color w:val="000000"/>
                <w:sz w:val="24"/>
                <w:szCs w:val="24"/>
              </w:rPr>
              <w:t>(FOF)C</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中银证券慧泽稳健</w:t>
            </w:r>
            <w:r>
              <w:rPr>
                <w:rFonts w:ascii="宋体" w:hAnsi="宋体" w:cs="宋体" w:hint="eastAsia"/>
                <w:color w:val="000000"/>
                <w:sz w:val="24"/>
                <w:szCs w:val="24"/>
              </w:rPr>
              <w:t>3</w:t>
            </w:r>
            <w:r>
              <w:rPr>
                <w:rFonts w:ascii="宋体" w:hAnsi="宋体" w:cs="宋体" w:hint="eastAsia"/>
                <w:color w:val="000000"/>
                <w:sz w:val="24"/>
                <w:szCs w:val="24"/>
              </w:rPr>
              <w:t>个月持有期混合发起</w:t>
            </w:r>
            <w:r>
              <w:rPr>
                <w:rFonts w:ascii="宋体" w:hAnsi="宋体" w:cs="宋体" w:hint="eastAsia"/>
                <w:color w:val="000000"/>
                <w:sz w:val="24"/>
                <w:szCs w:val="24"/>
              </w:rPr>
              <w:t>(FOF)A</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中银证券现金管家货币</w:t>
            </w:r>
            <w:r>
              <w:rPr>
                <w:rFonts w:ascii="宋体" w:hAnsi="宋体" w:cs="宋体" w:hint="eastAsia"/>
                <w:color w:val="000000"/>
                <w:sz w:val="24"/>
                <w:szCs w:val="24"/>
              </w:rPr>
              <w:t>B</w:t>
            </w:r>
          </w:p>
          <w:p w:rsidR="00000000" w:rsidRDefault="007A36CA">
            <w:pPr>
              <w:widowControl/>
              <w:jc w:val="left"/>
              <w:textAlignment w:val="center"/>
              <w:rPr>
                <w:rFonts w:ascii="宋体" w:hAnsi="宋体" w:cs="宋体"/>
                <w:color w:val="000000"/>
                <w:sz w:val="24"/>
                <w:szCs w:val="24"/>
              </w:rPr>
            </w:pPr>
            <w:r>
              <w:rPr>
                <w:rFonts w:ascii="宋体" w:hAnsi="宋体" w:cs="宋体" w:hint="eastAsia"/>
                <w:color w:val="000000"/>
                <w:sz w:val="24"/>
                <w:szCs w:val="24"/>
              </w:rPr>
              <w:t>中银证券现金管家货币</w:t>
            </w:r>
            <w:r>
              <w:rPr>
                <w:rFonts w:ascii="宋体" w:hAnsi="宋体" w:cs="宋体" w:hint="eastAsia"/>
                <w:color w:val="000000"/>
                <w:sz w:val="24"/>
                <w:szCs w:val="24"/>
              </w:rPr>
              <w:t>C</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中银证券安弘债券型</w:t>
            </w:r>
            <w:r>
              <w:rPr>
                <w:rFonts w:ascii="宋体" w:hAnsi="宋体" w:cs="宋体" w:hint="eastAsia"/>
                <w:color w:val="000000"/>
                <w:sz w:val="24"/>
                <w:szCs w:val="24"/>
              </w:rPr>
              <w:t>A</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中银证券安弘债券型</w:t>
            </w:r>
            <w:r>
              <w:rPr>
                <w:rFonts w:ascii="宋体" w:hAnsi="宋体" w:cs="宋体" w:hint="eastAsia"/>
                <w:color w:val="000000"/>
                <w:sz w:val="24"/>
                <w:szCs w:val="24"/>
              </w:rPr>
              <w:t>C</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中银证券优选行业龙头混合</w:t>
            </w:r>
            <w:r>
              <w:rPr>
                <w:rFonts w:ascii="宋体" w:hAnsi="宋体" w:cs="宋体" w:hint="eastAsia"/>
                <w:color w:val="000000"/>
                <w:sz w:val="24"/>
                <w:szCs w:val="24"/>
              </w:rPr>
              <w:t xml:space="preserve">A </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中银证券优选行业龙头混合</w:t>
            </w:r>
            <w:r>
              <w:rPr>
                <w:rFonts w:ascii="宋体" w:hAnsi="宋体" w:cs="宋体" w:hint="eastAsia"/>
                <w:color w:val="000000"/>
                <w:sz w:val="24"/>
                <w:szCs w:val="24"/>
              </w:rPr>
              <w:t xml:space="preserve">C </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中银证券新能源混合</w:t>
            </w:r>
            <w:r>
              <w:rPr>
                <w:rFonts w:ascii="宋体" w:hAnsi="宋体" w:cs="宋体" w:hint="eastAsia"/>
                <w:color w:val="000000"/>
                <w:sz w:val="24"/>
                <w:szCs w:val="24"/>
              </w:rPr>
              <w:t xml:space="preserve">A </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中银证券新能源混合</w:t>
            </w:r>
            <w:r>
              <w:rPr>
                <w:rFonts w:ascii="宋体" w:hAnsi="宋体" w:cs="宋体" w:hint="eastAsia"/>
                <w:color w:val="000000"/>
                <w:sz w:val="24"/>
                <w:szCs w:val="24"/>
              </w:rPr>
              <w:t>C</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中银证券内需增长混合</w:t>
            </w:r>
            <w:r>
              <w:rPr>
                <w:rFonts w:ascii="宋体" w:hAnsi="宋体" w:cs="宋体" w:hint="eastAsia"/>
                <w:color w:val="000000"/>
                <w:sz w:val="24"/>
                <w:szCs w:val="24"/>
              </w:rPr>
              <w:t>A</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中银证券内需增长混</w:t>
            </w:r>
            <w:r>
              <w:rPr>
                <w:rFonts w:ascii="宋体" w:hAnsi="宋体" w:cs="宋体" w:hint="eastAsia"/>
                <w:color w:val="000000"/>
                <w:sz w:val="24"/>
                <w:szCs w:val="24"/>
              </w:rPr>
              <w:t>合</w:t>
            </w:r>
            <w:r>
              <w:rPr>
                <w:rFonts w:ascii="宋体" w:hAnsi="宋体" w:cs="宋体" w:hint="eastAsia"/>
                <w:color w:val="000000"/>
                <w:sz w:val="24"/>
                <w:szCs w:val="24"/>
              </w:rPr>
              <w:t xml:space="preserve">C </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中银证券价值精选混合</w:t>
            </w:r>
            <w:r>
              <w:rPr>
                <w:rFonts w:ascii="宋体" w:hAnsi="宋体" w:cs="宋体" w:hint="eastAsia"/>
                <w:color w:val="000000"/>
                <w:sz w:val="24"/>
                <w:szCs w:val="24"/>
              </w:rPr>
              <w:t xml:space="preserve"> </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中银证券远见价值混合</w:t>
            </w:r>
            <w:r>
              <w:rPr>
                <w:rFonts w:ascii="宋体" w:hAnsi="宋体" w:cs="宋体" w:hint="eastAsia"/>
                <w:color w:val="000000"/>
                <w:sz w:val="24"/>
                <w:szCs w:val="24"/>
              </w:rPr>
              <w:t xml:space="preserve">A </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中银证券远见价值混合</w:t>
            </w:r>
            <w:r>
              <w:rPr>
                <w:rFonts w:ascii="宋体" w:hAnsi="宋体" w:cs="宋体" w:hint="eastAsia"/>
                <w:color w:val="000000"/>
                <w:sz w:val="24"/>
                <w:szCs w:val="24"/>
              </w:rPr>
              <w:t xml:space="preserve">C </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中银证券健康产业混合</w:t>
            </w:r>
            <w:r>
              <w:rPr>
                <w:rFonts w:ascii="宋体" w:hAnsi="宋体" w:cs="宋体" w:hint="eastAsia"/>
                <w:color w:val="000000"/>
                <w:sz w:val="24"/>
                <w:szCs w:val="24"/>
              </w:rPr>
              <w:t xml:space="preserve"> </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中银证券恒瑞</w:t>
            </w:r>
            <w:r>
              <w:rPr>
                <w:rFonts w:ascii="宋体" w:hAnsi="宋体" w:cs="宋体" w:hint="eastAsia"/>
                <w:color w:val="000000"/>
                <w:sz w:val="24"/>
                <w:szCs w:val="24"/>
              </w:rPr>
              <w:t>9</w:t>
            </w:r>
            <w:r>
              <w:rPr>
                <w:rFonts w:ascii="宋体" w:hAnsi="宋体" w:cs="宋体" w:hint="eastAsia"/>
                <w:color w:val="000000"/>
                <w:sz w:val="24"/>
                <w:szCs w:val="24"/>
              </w:rPr>
              <w:t>个月持有混合</w:t>
            </w:r>
            <w:r>
              <w:rPr>
                <w:rFonts w:ascii="宋体" w:hAnsi="宋体" w:cs="宋体" w:hint="eastAsia"/>
                <w:color w:val="000000"/>
                <w:sz w:val="24"/>
                <w:szCs w:val="24"/>
              </w:rPr>
              <w:t xml:space="preserve">A </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中银证券恒瑞</w:t>
            </w:r>
            <w:r>
              <w:rPr>
                <w:rFonts w:ascii="宋体" w:hAnsi="宋体" w:cs="宋体" w:hint="eastAsia"/>
                <w:color w:val="000000"/>
                <w:sz w:val="24"/>
                <w:szCs w:val="24"/>
              </w:rPr>
              <w:t>9</w:t>
            </w:r>
            <w:r>
              <w:rPr>
                <w:rFonts w:ascii="宋体" w:hAnsi="宋体" w:cs="宋体" w:hint="eastAsia"/>
                <w:color w:val="000000"/>
                <w:sz w:val="24"/>
                <w:szCs w:val="24"/>
              </w:rPr>
              <w:t>个月持有混合</w:t>
            </w:r>
            <w:r>
              <w:rPr>
                <w:rFonts w:ascii="宋体" w:hAnsi="宋体" w:cs="宋体" w:hint="eastAsia"/>
                <w:color w:val="000000"/>
                <w:sz w:val="24"/>
                <w:szCs w:val="24"/>
              </w:rPr>
              <w:t xml:space="preserve">C </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中银证券凌瑞</w:t>
            </w:r>
            <w:r>
              <w:rPr>
                <w:rFonts w:ascii="宋体" w:hAnsi="宋体" w:cs="宋体" w:hint="eastAsia"/>
                <w:color w:val="000000"/>
                <w:sz w:val="24"/>
                <w:szCs w:val="24"/>
              </w:rPr>
              <w:t>6</w:t>
            </w:r>
            <w:r>
              <w:rPr>
                <w:rFonts w:ascii="宋体" w:hAnsi="宋体" w:cs="宋体" w:hint="eastAsia"/>
                <w:color w:val="000000"/>
                <w:sz w:val="24"/>
                <w:szCs w:val="24"/>
              </w:rPr>
              <w:t>个月持有期混合</w:t>
            </w:r>
            <w:r>
              <w:rPr>
                <w:rFonts w:ascii="宋体" w:hAnsi="宋体" w:cs="宋体" w:hint="eastAsia"/>
                <w:color w:val="000000"/>
                <w:sz w:val="24"/>
                <w:szCs w:val="24"/>
              </w:rPr>
              <w:t>A</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中银证券凌瑞</w:t>
            </w:r>
            <w:r>
              <w:rPr>
                <w:rFonts w:ascii="宋体" w:hAnsi="宋体" w:cs="宋体" w:hint="eastAsia"/>
                <w:color w:val="000000"/>
                <w:sz w:val="24"/>
                <w:szCs w:val="24"/>
              </w:rPr>
              <w:t>6</w:t>
            </w:r>
            <w:r>
              <w:rPr>
                <w:rFonts w:ascii="宋体" w:hAnsi="宋体" w:cs="宋体" w:hint="eastAsia"/>
                <w:color w:val="000000"/>
                <w:sz w:val="24"/>
                <w:szCs w:val="24"/>
              </w:rPr>
              <w:t>个月持有期混合</w:t>
            </w:r>
            <w:r>
              <w:rPr>
                <w:rFonts w:ascii="宋体" w:hAnsi="宋体" w:cs="宋体" w:hint="eastAsia"/>
                <w:color w:val="000000"/>
                <w:sz w:val="24"/>
                <w:szCs w:val="24"/>
              </w:rPr>
              <w:t xml:space="preserve">C </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中银证券盈瑞混合</w:t>
            </w:r>
            <w:r>
              <w:rPr>
                <w:rFonts w:ascii="宋体" w:hAnsi="宋体" w:cs="宋体" w:hint="eastAsia"/>
                <w:color w:val="000000"/>
                <w:sz w:val="24"/>
                <w:szCs w:val="24"/>
              </w:rPr>
              <w:t>A</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中银证券盈瑞混合</w:t>
            </w:r>
            <w:r>
              <w:rPr>
                <w:rFonts w:ascii="宋体" w:hAnsi="宋体" w:cs="宋体" w:hint="eastAsia"/>
                <w:color w:val="000000"/>
                <w:sz w:val="24"/>
                <w:szCs w:val="24"/>
              </w:rPr>
              <w:t xml:space="preserve">C </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中银证券聚瑞混合</w:t>
            </w:r>
            <w:r>
              <w:rPr>
                <w:rFonts w:ascii="宋体" w:hAnsi="宋体" w:cs="宋体" w:hint="eastAsia"/>
                <w:color w:val="000000"/>
                <w:sz w:val="24"/>
                <w:szCs w:val="24"/>
              </w:rPr>
              <w:t xml:space="preserve">A </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中银证券聚瑞混合</w:t>
            </w:r>
            <w:r>
              <w:rPr>
                <w:rFonts w:ascii="宋体" w:hAnsi="宋体" w:cs="宋体" w:hint="eastAsia"/>
                <w:color w:val="000000"/>
                <w:sz w:val="24"/>
                <w:szCs w:val="24"/>
              </w:rPr>
              <w:t xml:space="preserve">C </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lastRenderedPageBreak/>
              <w:t>中银证券优势制造股票</w:t>
            </w:r>
            <w:r>
              <w:rPr>
                <w:rFonts w:ascii="宋体" w:hAnsi="宋体" w:cs="宋体" w:hint="eastAsia"/>
                <w:color w:val="000000"/>
                <w:sz w:val="24"/>
                <w:szCs w:val="24"/>
              </w:rPr>
              <w:t xml:space="preserve">A </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中银证券优势制造股票</w:t>
            </w:r>
            <w:r>
              <w:rPr>
                <w:rFonts w:ascii="宋体" w:hAnsi="宋体" w:cs="宋体" w:hint="eastAsia"/>
                <w:color w:val="000000"/>
                <w:sz w:val="24"/>
                <w:szCs w:val="24"/>
              </w:rPr>
              <w:t xml:space="preserve">C </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中银证券精选行业股票</w:t>
            </w:r>
            <w:r>
              <w:rPr>
                <w:rFonts w:ascii="宋体" w:hAnsi="宋体" w:cs="宋体" w:hint="eastAsia"/>
                <w:color w:val="000000"/>
                <w:sz w:val="24"/>
                <w:szCs w:val="24"/>
              </w:rPr>
              <w:t xml:space="preserve">A </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中银证券精选行业股票</w:t>
            </w:r>
            <w:r>
              <w:rPr>
                <w:rFonts w:ascii="宋体" w:hAnsi="宋体" w:cs="宋体" w:hint="eastAsia"/>
                <w:color w:val="000000"/>
                <w:sz w:val="24"/>
                <w:szCs w:val="24"/>
              </w:rPr>
              <w:t>C</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中银证券中证</w:t>
            </w:r>
            <w:r>
              <w:rPr>
                <w:rFonts w:ascii="宋体" w:hAnsi="宋体" w:cs="宋体" w:hint="eastAsia"/>
                <w:color w:val="000000"/>
                <w:sz w:val="24"/>
                <w:szCs w:val="24"/>
              </w:rPr>
              <w:t>500ETF</w:t>
            </w:r>
            <w:r>
              <w:rPr>
                <w:rFonts w:ascii="宋体" w:hAnsi="宋体" w:cs="宋体" w:hint="eastAsia"/>
                <w:color w:val="000000"/>
                <w:sz w:val="24"/>
                <w:szCs w:val="24"/>
              </w:rPr>
              <w:t>联接</w:t>
            </w:r>
            <w:r>
              <w:rPr>
                <w:rFonts w:ascii="宋体" w:hAnsi="宋体" w:cs="宋体" w:hint="eastAsia"/>
                <w:color w:val="000000"/>
                <w:sz w:val="24"/>
                <w:szCs w:val="24"/>
              </w:rPr>
              <w:t>A</w:t>
            </w:r>
          </w:p>
          <w:p w:rsidR="00000000" w:rsidRDefault="007A36CA">
            <w:pPr>
              <w:widowControl/>
              <w:jc w:val="left"/>
              <w:textAlignment w:val="center"/>
              <w:rPr>
                <w:rFonts w:ascii="宋体" w:hAnsi="宋体" w:cs="宋体"/>
                <w:color w:val="000000"/>
                <w:sz w:val="24"/>
                <w:szCs w:val="24"/>
              </w:rPr>
            </w:pPr>
            <w:r>
              <w:rPr>
                <w:rFonts w:ascii="宋体" w:hAnsi="宋体" w:cs="宋体" w:hint="eastAsia"/>
                <w:color w:val="000000"/>
                <w:sz w:val="24"/>
                <w:szCs w:val="24"/>
              </w:rPr>
              <w:t>中银证券中证</w:t>
            </w:r>
            <w:r>
              <w:rPr>
                <w:rFonts w:ascii="宋体" w:hAnsi="宋体" w:cs="宋体" w:hint="eastAsia"/>
                <w:color w:val="000000"/>
                <w:sz w:val="24"/>
                <w:szCs w:val="24"/>
              </w:rPr>
              <w:t>500ETF</w:t>
            </w:r>
            <w:r>
              <w:rPr>
                <w:rFonts w:ascii="宋体" w:hAnsi="宋体" w:cs="宋体" w:hint="eastAsia"/>
                <w:color w:val="000000"/>
                <w:sz w:val="24"/>
                <w:szCs w:val="24"/>
              </w:rPr>
              <w:t>联接</w:t>
            </w:r>
            <w:r>
              <w:rPr>
                <w:rFonts w:ascii="宋体" w:hAnsi="宋体" w:cs="宋体" w:hint="eastAsia"/>
                <w:color w:val="000000"/>
                <w:sz w:val="24"/>
                <w:szCs w:val="24"/>
              </w:rPr>
              <w:t>C</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中银证券安怡债券</w:t>
            </w:r>
            <w:r>
              <w:rPr>
                <w:rFonts w:ascii="宋体" w:hAnsi="宋体" w:cs="宋体" w:hint="eastAsia"/>
                <w:color w:val="000000"/>
                <w:sz w:val="24"/>
                <w:szCs w:val="24"/>
              </w:rPr>
              <w:t>A</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w:t>
            </w:r>
            <w:r>
              <w:rPr>
                <w:rFonts w:ascii="宋体" w:hAnsi="宋体" w:cs="宋体" w:hint="eastAsia"/>
                <w:color w:val="000000"/>
                <w:sz w:val="24"/>
                <w:szCs w:val="24"/>
              </w:rPr>
              <w:t>银证券安怡债券</w:t>
            </w:r>
            <w:r>
              <w:rPr>
                <w:rFonts w:ascii="宋体" w:hAnsi="宋体" w:cs="宋体" w:hint="eastAsia"/>
                <w:color w:val="000000"/>
                <w:sz w:val="24"/>
                <w:szCs w:val="24"/>
              </w:rPr>
              <w:t>C</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中银证券创业板</w:t>
            </w:r>
            <w:r>
              <w:rPr>
                <w:rFonts w:ascii="宋体" w:hAnsi="宋体" w:cs="宋体" w:hint="eastAsia"/>
                <w:color w:val="000000"/>
                <w:sz w:val="24"/>
                <w:szCs w:val="24"/>
              </w:rPr>
              <w:t>ETF</w:t>
            </w:r>
            <w:r>
              <w:rPr>
                <w:rFonts w:ascii="宋体" w:hAnsi="宋体" w:cs="宋体" w:hint="eastAsia"/>
                <w:color w:val="000000"/>
                <w:sz w:val="24"/>
                <w:szCs w:val="24"/>
              </w:rPr>
              <w:t>联接</w:t>
            </w:r>
            <w:r>
              <w:rPr>
                <w:rFonts w:ascii="宋体" w:hAnsi="宋体" w:cs="宋体" w:hint="eastAsia"/>
                <w:color w:val="000000"/>
                <w:sz w:val="24"/>
                <w:szCs w:val="24"/>
              </w:rPr>
              <w:t>A</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中银证券创业板</w:t>
            </w:r>
            <w:r>
              <w:rPr>
                <w:rFonts w:ascii="宋体" w:hAnsi="宋体" w:cs="宋体" w:hint="eastAsia"/>
                <w:color w:val="000000"/>
                <w:sz w:val="24"/>
                <w:szCs w:val="24"/>
              </w:rPr>
              <w:t>ETF</w:t>
            </w:r>
            <w:r>
              <w:rPr>
                <w:rFonts w:ascii="宋体" w:hAnsi="宋体" w:cs="宋体" w:hint="eastAsia"/>
                <w:color w:val="000000"/>
                <w:sz w:val="24"/>
                <w:szCs w:val="24"/>
              </w:rPr>
              <w:t>联接</w:t>
            </w:r>
            <w:r>
              <w:rPr>
                <w:rFonts w:ascii="宋体" w:hAnsi="宋体" w:cs="宋体" w:hint="eastAsia"/>
                <w:color w:val="000000"/>
                <w:sz w:val="24"/>
                <w:szCs w:val="24"/>
              </w:rPr>
              <w:t>C</w:t>
            </w:r>
          </w:p>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t>中银证券中证</w:t>
            </w:r>
            <w:r>
              <w:rPr>
                <w:rFonts w:ascii="宋体" w:hAnsi="宋体" w:cs="宋体" w:hint="eastAsia"/>
                <w:color w:val="000000"/>
                <w:sz w:val="24"/>
                <w:szCs w:val="24"/>
              </w:rPr>
              <w:t>A500</w:t>
            </w:r>
            <w:r>
              <w:rPr>
                <w:rFonts w:ascii="宋体" w:hAnsi="宋体" w:cs="宋体" w:hint="eastAsia"/>
                <w:color w:val="000000"/>
                <w:sz w:val="24"/>
                <w:szCs w:val="24"/>
              </w:rPr>
              <w:t>指数</w:t>
            </w:r>
            <w:r>
              <w:rPr>
                <w:rFonts w:ascii="宋体" w:hAnsi="宋体" w:cs="宋体" w:hint="eastAsia"/>
                <w:color w:val="000000"/>
                <w:sz w:val="24"/>
                <w:szCs w:val="24"/>
              </w:rPr>
              <w:t>A</w:t>
            </w:r>
          </w:p>
          <w:p w:rsidR="00000000" w:rsidRDefault="007A36CA">
            <w:pPr>
              <w:widowControl/>
              <w:jc w:val="left"/>
              <w:textAlignment w:val="center"/>
              <w:rPr>
                <w:rFonts w:ascii="宋体" w:hAnsi="宋体" w:cs="宋体"/>
                <w:color w:val="000000"/>
                <w:sz w:val="24"/>
                <w:szCs w:val="24"/>
              </w:rPr>
            </w:pPr>
            <w:r>
              <w:rPr>
                <w:rFonts w:ascii="宋体" w:hAnsi="宋体" w:cs="宋体" w:hint="eastAsia"/>
                <w:color w:val="000000"/>
                <w:sz w:val="24"/>
                <w:szCs w:val="24"/>
              </w:rPr>
              <w:t>中银证券中证</w:t>
            </w:r>
            <w:r>
              <w:rPr>
                <w:rFonts w:ascii="宋体" w:hAnsi="宋体" w:cs="宋体" w:hint="eastAsia"/>
                <w:color w:val="000000"/>
                <w:sz w:val="24"/>
                <w:szCs w:val="24"/>
              </w:rPr>
              <w:t>A500</w:t>
            </w:r>
            <w:r>
              <w:rPr>
                <w:rFonts w:ascii="宋体" w:hAnsi="宋体" w:cs="宋体" w:hint="eastAsia"/>
                <w:color w:val="000000"/>
                <w:sz w:val="24"/>
                <w:szCs w:val="24"/>
              </w:rPr>
              <w:t>指数</w:t>
            </w:r>
            <w:r>
              <w:rPr>
                <w:rFonts w:ascii="宋体" w:hAnsi="宋体" w:cs="宋体" w:hint="eastAsia"/>
                <w:color w:val="000000"/>
                <w:sz w:val="24"/>
                <w:szCs w:val="24"/>
              </w:rPr>
              <w:t>C</w:t>
            </w:r>
          </w:p>
        </w:tc>
        <w:tc>
          <w:tcPr>
            <w:tcW w:w="1228" w:type="dxa"/>
            <w:tcBorders>
              <w:tl2br w:val="nil"/>
              <w:tr2bl w:val="nil"/>
            </w:tcBorders>
            <w:noWrap/>
            <w:vAlign w:val="center"/>
          </w:tcPr>
          <w:p w:rsidR="00000000" w:rsidRDefault="007A36CA">
            <w:pPr>
              <w:widowControl/>
              <w:jc w:val="left"/>
              <w:textAlignment w:val="center"/>
              <w:rPr>
                <w:rFonts w:ascii="宋体" w:hAnsi="宋体" w:cs="宋体" w:hint="eastAsia"/>
                <w:color w:val="000000"/>
                <w:sz w:val="24"/>
                <w:szCs w:val="24"/>
              </w:rPr>
            </w:pPr>
            <w:r>
              <w:rPr>
                <w:rFonts w:ascii="宋体" w:hAnsi="宋体" w:cs="宋体" w:hint="eastAsia"/>
                <w:color w:val="000000"/>
                <w:sz w:val="24"/>
                <w:szCs w:val="24"/>
              </w:rPr>
              <w:lastRenderedPageBreak/>
              <w:t>上海万得基金销售</w:t>
            </w:r>
            <w:r>
              <w:rPr>
                <w:rFonts w:ascii="宋体" w:hAnsi="宋体" w:cs="宋体" w:hint="eastAsia"/>
                <w:color w:val="000000"/>
                <w:sz w:val="24"/>
                <w:szCs w:val="24"/>
              </w:rPr>
              <w:t>有限公司</w:t>
            </w:r>
          </w:p>
        </w:tc>
      </w:tr>
    </w:tbl>
    <w:p w:rsidR="00000000" w:rsidRDefault="007A36CA">
      <w:pPr>
        <w:spacing w:line="360" w:lineRule="auto"/>
        <w:ind w:firstLineChars="200" w:firstLine="480"/>
        <w:rPr>
          <w:rFonts w:hint="eastAsia"/>
          <w:sz w:val="24"/>
          <w:szCs w:val="28"/>
        </w:rPr>
      </w:pPr>
      <w:r>
        <w:rPr>
          <w:rFonts w:hint="eastAsia"/>
          <w:sz w:val="24"/>
          <w:szCs w:val="28"/>
        </w:rPr>
        <w:lastRenderedPageBreak/>
        <w:t>自</w:t>
      </w:r>
      <w:r>
        <w:rPr>
          <w:sz w:val="24"/>
          <w:szCs w:val="28"/>
        </w:rPr>
        <w:t>202</w:t>
      </w:r>
      <w:r>
        <w:rPr>
          <w:rFonts w:hint="eastAsia"/>
          <w:sz w:val="24"/>
          <w:szCs w:val="28"/>
        </w:rPr>
        <w:t>6</w:t>
      </w:r>
      <w:r>
        <w:rPr>
          <w:rFonts w:hint="eastAsia"/>
          <w:sz w:val="24"/>
          <w:szCs w:val="28"/>
        </w:rPr>
        <w:t>年</w:t>
      </w:r>
      <w:r>
        <w:rPr>
          <w:rFonts w:hint="eastAsia"/>
          <w:sz w:val="24"/>
          <w:szCs w:val="28"/>
        </w:rPr>
        <w:t>4</w:t>
      </w:r>
      <w:r>
        <w:rPr>
          <w:rFonts w:hint="eastAsia"/>
          <w:sz w:val="24"/>
          <w:szCs w:val="28"/>
        </w:rPr>
        <w:t>月</w:t>
      </w:r>
      <w:r>
        <w:rPr>
          <w:rFonts w:hint="eastAsia"/>
          <w:sz w:val="24"/>
          <w:szCs w:val="28"/>
        </w:rPr>
        <w:t>23</w:t>
      </w:r>
      <w:r>
        <w:rPr>
          <w:rFonts w:hint="eastAsia"/>
          <w:sz w:val="24"/>
          <w:szCs w:val="28"/>
        </w:rPr>
        <w:t>日</w:t>
      </w:r>
      <w:r>
        <w:rPr>
          <w:rFonts w:hint="eastAsia"/>
          <w:sz w:val="24"/>
          <w:szCs w:val="28"/>
        </w:rPr>
        <w:t>起</w:t>
      </w:r>
      <w:r>
        <w:rPr>
          <w:rFonts w:hint="eastAsia"/>
          <w:sz w:val="24"/>
          <w:szCs w:val="28"/>
        </w:rPr>
        <w:t>，投资者可通过</w:t>
      </w:r>
      <w:r>
        <w:rPr>
          <w:rFonts w:hint="eastAsia"/>
          <w:sz w:val="24"/>
          <w:szCs w:val="28"/>
        </w:rPr>
        <w:t>上述销售机构</w:t>
      </w:r>
      <w:r>
        <w:rPr>
          <w:rFonts w:hint="eastAsia"/>
          <w:sz w:val="24"/>
          <w:szCs w:val="28"/>
        </w:rPr>
        <w:t>办理</w:t>
      </w:r>
      <w:r>
        <w:rPr>
          <w:rFonts w:hint="eastAsia"/>
          <w:sz w:val="24"/>
          <w:szCs w:val="28"/>
        </w:rPr>
        <w:t>上述基金份额</w:t>
      </w:r>
      <w:r>
        <w:rPr>
          <w:rFonts w:hint="eastAsia"/>
          <w:sz w:val="24"/>
          <w:szCs w:val="28"/>
        </w:rPr>
        <w:t>的申购、赎回、转换、</w:t>
      </w:r>
      <w:r>
        <w:rPr>
          <w:rFonts w:hint="eastAsia"/>
          <w:sz w:val="24"/>
          <w:szCs w:val="28"/>
        </w:rPr>
        <w:t>定投</w:t>
      </w:r>
      <w:r>
        <w:rPr>
          <w:rFonts w:hint="eastAsia"/>
          <w:sz w:val="24"/>
          <w:szCs w:val="28"/>
        </w:rPr>
        <w:t>等业务。</w:t>
      </w:r>
    </w:p>
    <w:p w:rsidR="00000000" w:rsidRDefault="007A36CA">
      <w:pPr>
        <w:spacing w:line="360" w:lineRule="auto"/>
        <w:ind w:firstLineChars="200" w:firstLine="480"/>
        <w:rPr>
          <w:rFonts w:hint="eastAsia"/>
          <w:sz w:val="24"/>
          <w:szCs w:val="28"/>
        </w:rPr>
      </w:pPr>
      <w:r>
        <w:rPr>
          <w:rFonts w:hint="eastAsia"/>
          <w:sz w:val="24"/>
          <w:szCs w:val="28"/>
        </w:rPr>
        <w:t>二、重要提示</w:t>
      </w:r>
    </w:p>
    <w:p w:rsidR="00000000" w:rsidRDefault="007A36CA">
      <w:pPr>
        <w:spacing w:line="360" w:lineRule="auto"/>
        <w:ind w:firstLineChars="200" w:firstLine="480"/>
        <w:rPr>
          <w:rFonts w:hint="eastAsia"/>
          <w:sz w:val="24"/>
          <w:szCs w:val="28"/>
        </w:rPr>
      </w:pPr>
      <w:r>
        <w:rPr>
          <w:rFonts w:hint="eastAsia"/>
          <w:sz w:val="24"/>
          <w:szCs w:val="28"/>
        </w:rPr>
        <w:t>上述</w:t>
      </w:r>
      <w:r>
        <w:rPr>
          <w:rFonts w:hint="eastAsia"/>
          <w:sz w:val="24"/>
          <w:szCs w:val="28"/>
        </w:rPr>
        <w:t>适用基金的</w:t>
      </w:r>
      <w:r>
        <w:rPr>
          <w:rFonts w:hint="eastAsia"/>
          <w:sz w:val="24"/>
          <w:szCs w:val="28"/>
        </w:rPr>
        <w:t>申购</w:t>
      </w:r>
      <w:r>
        <w:rPr>
          <w:rFonts w:hint="eastAsia"/>
          <w:sz w:val="24"/>
          <w:szCs w:val="28"/>
        </w:rPr>
        <w:t>、</w:t>
      </w:r>
      <w:r>
        <w:rPr>
          <w:rFonts w:hint="eastAsia"/>
          <w:sz w:val="24"/>
          <w:szCs w:val="28"/>
        </w:rPr>
        <w:t>赎回</w:t>
      </w:r>
      <w:r>
        <w:rPr>
          <w:rFonts w:hint="eastAsia"/>
          <w:sz w:val="24"/>
          <w:szCs w:val="28"/>
        </w:rPr>
        <w:t>等</w:t>
      </w:r>
      <w:r>
        <w:rPr>
          <w:rFonts w:hint="eastAsia"/>
          <w:sz w:val="24"/>
          <w:szCs w:val="28"/>
        </w:rPr>
        <w:t>业务仅适用于处于正常开放期</w:t>
      </w:r>
      <w:r>
        <w:rPr>
          <w:rFonts w:hint="eastAsia"/>
          <w:sz w:val="24"/>
          <w:szCs w:val="28"/>
        </w:rPr>
        <w:t>时的</w:t>
      </w:r>
      <w:r>
        <w:rPr>
          <w:rFonts w:hint="eastAsia"/>
          <w:sz w:val="24"/>
          <w:szCs w:val="28"/>
        </w:rPr>
        <w:t>基金</w:t>
      </w:r>
      <w:r>
        <w:rPr>
          <w:rFonts w:hint="eastAsia"/>
          <w:sz w:val="24"/>
          <w:szCs w:val="28"/>
        </w:rPr>
        <w:t>，</w:t>
      </w:r>
      <w:r>
        <w:rPr>
          <w:rFonts w:hint="eastAsia"/>
          <w:sz w:val="24"/>
          <w:szCs w:val="28"/>
        </w:rPr>
        <w:t>基金</w:t>
      </w:r>
      <w:r>
        <w:rPr>
          <w:rFonts w:hint="eastAsia"/>
          <w:sz w:val="24"/>
          <w:szCs w:val="28"/>
        </w:rPr>
        <w:t>特殊期间的有关规定详见对应基金的基金合同和招募说明书等相关法律文件及本公司发布的最新业务公告。</w:t>
      </w:r>
    </w:p>
    <w:p w:rsidR="00000000" w:rsidRDefault="007A36CA">
      <w:pPr>
        <w:spacing w:line="360" w:lineRule="auto"/>
        <w:ind w:firstLineChars="200" w:firstLine="480"/>
        <w:rPr>
          <w:sz w:val="24"/>
          <w:szCs w:val="28"/>
        </w:rPr>
      </w:pPr>
      <w:r>
        <w:rPr>
          <w:rFonts w:hint="eastAsia"/>
          <w:sz w:val="24"/>
          <w:szCs w:val="28"/>
        </w:rPr>
        <w:t>三、费率调整</w:t>
      </w:r>
    </w:p>
    <w:p w:rsidR="00000000" w:rsidRDefault="007A36CA">
      <w:pPr>
        <w:spacing w:line="360" w:lineRule="auto"/>
        <w:ind w:firstLineChars="200" w:firstLine="480"/>
        <w:rPr>
          <w:rFonts w:hint="eastAsia"/>
          <w:sz w:val="24"/>
          <w:szCs w:val="28"/>
        </w:rPr>
      </w:pPr>
      <w:r>
        <w:rPr>
          <w:rFonts w:hint="eastAsia"/>
          <w:sz w:val="24"/>
          <w:szCs w:val="28"/>
        </w:rPr>
        <w:t>1</w:t>
      </w:r>
      <w:r>
        <w:rPr>
          <w:rFonts w:hint="eastAsia"/>
          <w:sz w:val="24"/>
          <w:szCs w:val="28"/>
        </w:rPr>
        <w:t>、费率调整内容</w:t>
      </w:r>
    </w:p>
    <w:p w:rsidR="00000000" w:rsidRDefault="007A36CA">
      <w:pPr>
        <w:spacing w:line="360" w:lineRule="auto"/>
        <w:ind w:firstLineChars="200" w:firstLine="480"/>
        <w:rPr>
          <w:rFonts w:hint="eastAsia"/>
          <w:sz w:val="24"/>
          <w:szCs w:val="28"/>
        </w:rPr>
      </w:pPr>
      <w:r>
        <w:rPr>
          <w:sz w:val="24"/>
          <w:szCs w:val="28"/>
        </w:rPr>
        <w:t>202</w:t>
      </w:r>
      <w:r>
        <w:rPr>
          <w:rFonts w:hint="eastAsia"/>
          <w:sz w:val="24"/>
          <w:szCs w:val="28"/>
        </w:rPr>
        <w:t>6</w:t>
      </w:r>
      <w:r>
        <w:rPr>
          <w:rFonts w:hint="eastAsia"/>
          <w:sz w:val="24"/>
          <w:szCs w:val="28"/>
        </w:rPr>
        <w:t>年</w:t>
      </w:r>
      <w:r>
        <w:rPr>
          <w:rFonts w:hint="eastAsia"/>
          <w:sz w:val="24"/>
          <w:szCs w:val="28"/>
        </w:rPr>
        <w:t>4</w:t>
      </w:r>
      <w:r>
        <w:rPr>
          <w:rFonts w:hint="eastAsia"/>
          <w:sz w:val="24"/>
          <w:szCs w:val="28"/>
        </w:rPr>
        <w:t>月</w:t>
      </w:r>
      <w:r>
        <w:rPr>
          <w:rFonts w:hint="eastAsia"/>
          <w:sz w:val="24"/>
          <w:szCs w:val="28"/>
        </w:rPr>
        <w:t>23</w:t>
      </w:r>
      <w:r>
        <w:rPr>
          <w:rFonts w:hint="eastAsia"/>
          <w:sz w:val="24"/>
          <w:szCs w:val="28"/>
        </w:rPr>
        <w:t>日</w:t>
      </w:r>
      <w:r>
        <w:rPr>
          <w:rFonts w:hint="eastAsia"/>
          <w:sz w:val="24"/>
          <w:szCs w:val="28"/>
        </w:rPr>
        <w:t>起</w:t>
      </w:r>
      <w:r>
        <w:rPr>
          <w:rFonts w:hint="eastAsia"/>
          <w:sz w:val="24"/>
          <w:szCs w:val="28"/>
        </w:rPr>
        <w:t>，投资者通过</w:t>
      </w:r>
      <w:r>
        <w:rPr>
          <w:rFonts w:hint="eastAsia"/>
          <w:sz w:val="24"/>
          <w:szCs w:val="28"/>
        </w:rPr>
        <w:t>上述销售机构</w:t>
      </w:r>
      <w:r>
        <w:rPr>
          <w:rFonts w:hint="eastAsia"/>
          <w:sz w:val="24"/>
          <w:szCs w:val="28"/>
        </w:rPr>
        <w:t>申购上述基金</w:t>
      </w:r>
      <w:r>
        <w:rPr>
          <w:rFonts w:hint="eastAsia"/>
          <w:sz w:val="24"/>
          <w:szCs w:val="28"/>
        </w:rPr>
        <w:t>，参与</w:t>
      </w:r>
      <w:r>
        <w:rPr>
          <w:rFonts w:hint="eastAsia"/>
          <w:sz w:val="24"/>
          <w:szCs w:val="28"/>
        </w:rPr>
        <w:t>销售机构</w:t>
      </w:r>
      <w:r>
        <w:rPr>
          <w:rFonts w:hint="eastAsia"/>
          <w:sz w:val="24"/>
          <w:szCs w:val="28"/>
        </w:rPr>
        <w:t>费率优惠活动，具体折扣费率以</w:t>
      </w:r>
      <w:r>
        <w:rPr>
          <w:rFonts w:hint="eastAsia"/>
          <w:sz w:val="24"/>
          <w:szCs w:val="28"/>
        </w:rPr>
        <w:t>销售机构</w:t>
      </w:r>
      <w:r>
        <w:rPr>
          <w:rFonts w:hint="eastAsia"/>
          <w:sz w:val="24"/>
          <w:szCs w:val="28"/>
        </w:rPr>
        <w:t>活动为准。基金标准费率请详见</w:t>
      </w:r>
      <w:r>
        <w:rPr>
          <w:rFonts w:hint="eastAsia"/>
          <w:sz w:val="24"/>
          <w:szCs w:val="28"/>
        </w:rPr>
        <w:t>最新的</w:t>
      </w:r>
      <w:r>
        <w:rPr>
          <w:rFonts w:hint="eastAsia"/>
          <w:sz w:val="24"/>
          <w:szCs w:val="28"/>
        </w:rPr>
        <w:t>基金合同、招募说明书</w:t>
      </w:r>
      <w:r>
        <w:rPr>
          <w:rFonts w:hint="eastAsia"/>
          <w:sz w:val="24"/>
          <w:szCs w:val="28"/>
        </w:rPr>
        <w:t>、</w:t>
      </w:r>
      <w:r>
        <w:rPr>
          <w:rFonts w:hint="eastAsia"/>
          <w:sz w:val="24"/>
          <w:szCs w:val="28"/>
        </w:rPr>
        <w:t>基金产品资料概要</w:t>
      </w:r>
      <w:r>
        <w:rPr>
          <w:rFonts w:hint="eastAsia"/>
          <w:sz w:val="24"/>
          <w:szCs w:val="28"/>
        </w:rPr>
        <w:t>等法律文件，以及本公司发布的最新业务公告。</w:t>
      </w:r>
    </w:p>
    <w:p w:rsidR="00000000" w:rsidRDefault="007A36CA">
      <w:pPr>
        <w:spacing w:line="360" w:lineRule="auto"/>
        <w:ind w:firstLineChars="200" w:firstLine="480"/>
        <w:rPr>
          <w:sz w:val="24"/>
          <w:szCs w:val="28"/>
        </w:rPr>
      </w:pPr>
      <w:r>
        <w:rPr>
          <w:sz w:val="24"/>
          <w:szCs w:val="28"/>
        </w:rPr>
        <w:t>2</w:t>
      </w:r>
      <w:r>
        <w:rPr>
          <w:rFonts w:hint="eastAsia"/>
          <w:sz w:val="24"/>
          <w:szCs w:val="28"/>
        </w:rPr>
        <w:t>、费率调整期限</w:t>
      </w:r>
      <w:r>
        <w:rPr>
          <w:sz w:val="24"/>
          <w:szCs w:val="28"/>
        </w:rPr>
        <w:t xml:space="preserve"> </w:t>
      </w:r>
    </w:p>
    <w:p w:rsidR="00000000" w:rsidRDefault="007A36CA">
      <w:pPr>
        <w:spacing w:line="360" w:lineRule="auto"/>
        <w:ind w:firstLineChars="200" w:firstLine="480"/>
        <w:rPr>
          <w:rFonts w:hint="eastAsia"/>
          <w:sz w:val="24"/>
          <w:szCs w:val="28"/>
        </w:rPr>
      </w:pPr>
      <w:r>
        <w:rPr>
          <w:rFonts w:hint="eastAsia"/>
          <w:sz w:val="24"/>
          <w:szCs w:val="28"/>
        </w:rPr>
        <w:t>以</w:t>
      </w:r>
      <w:r>
        <w:rPr>
          <w:rFonts w:hint="eastAsia"/>
          <w:sz w:val="24"/>
          <w:szCs w:val="28"/>
        </w:rPr>
        <w:t>销售机构</w:t>
      </w:r>
      <w:r>
        <w:rPr>
          <w:rFonts w:hint="eastAsia"/>
          <w:sz w:val="24"/>
          <w:szCs w:val="28"/>
        </w:rPr>
        <w:t>公示为准。</w:t>
      </w:r>
    </w:p>
    <w:p w:rsidR="00000000" w:rsidRDefault="007A36CA">
      <w:pPr>
        <w:spacing w:line="360" w:lineRule="auto"/>
        <w:ind w:firstLineChars="200" w:firstLine="480"/>
        <w:rPr>
          <w:rFonts w:hint="eastAsia"/>
          <w:sz w:val="24"/>
          <w:szCs w:val="28"/>
        </w:rPr>
      </w:pPr>
      <w:r>
        <w:rPr>
          <w:rFonts w:hint="eastAsia"/>
          <w:sz w:val="24"/>
          <w:szCs w:val="28"/>
        </w:rPr>
        <w:t>3</w:t>
      </w:r>
      <w:r>
        <w:rPr>
          <w:rFonts w:hint="eastAsia"/>
          <w:sz w:val="24"/>
          <w:szCs w:val="28"/>
        </w:rPr>
        <w:t>、费率调整提示</w:t>
      </w:r>
    </w:p>
    <w:p w:rsidR="00000000" w:rsidRDefault="007A36CA">
      <w:pPr>
        <w:spacing w:line="360" w:lineRule="auto"/>
        <w:ind w:firstLineChars="200" w:firstLine="480"/>
        <w:rPr>
          <w:rFonts w:hint="eastAsia"/>
          <w:sz w:val="24"/>
          <w:szCs w:val="28"/>
        </w:rPr>
      </w:pPr>
      <w:r>
        <w:rPr>
          <w:rFonts w:hint="eastAsia"/>
          <w:sz w:val="24"/>
          <w:szCs w:val="28"/>
        </w:rPr>
        <w:t>(1)</w:t>
      </w:r>
      <w:r>
        <w:rPr>
          <w:rFonts w:hint="eastAsia"/>
          <w:sz w:val="24"/>
          <w:szCs w:val="28"/>
        </w:rPr>
        <w:t>本次费率调整仅适用于</w:t>
      </w:r>
      <w:r>
        <w:rPr>
          <w:rFonts w:hint="eastAsia"/>
          <w:sz w:val="24"/>
          <w:szCs w:val="28"/>
        </w:rPr>
        <w:t>上述</w:t>
      </w:r>
      <w:r>
        <w:rPr>
          <w:rFonts w:hint="eastAsia"/>
          <w:sz w:val="24"/>
          <w:szCs w:val="28"/>
        </w:rPr>
        <w:t>适用</w:t>
      </w:r>
      <w:r>
        <w:rPr>
          <w:rFonts w:hint="eastAsia"/>
          <w:sz w:val="24"/>
          <w:szCs w:val="28"/>
        </w:rPr>
        <w:t>基金</w:t>
      </w:r>
      <w:r>
        <w:rPr>
          <w:rFonts w:hint="eastAsia"/>
          <w:sz w:val="24"/>
          <w:szCs w:val="28"/>
        </w:rPr>
        <w:t>处于正常申购期的前端收费模式的申购费，不包括基金赎回等其他业务的手续费。</w:t>
      </w:r>
    </w:p>
    <w:p w:rsidR="00000000" w:rsidRDefault="007A36CA">
      <w:pPr>
        <w:spacing w:line="360" w:lineRule="auto"/>
        <w:ind w:firstLineChars="200" w:firstLine="480"/>
        <w:rPr>
          <w:rFonts w:hint="eastAsia"/>
          <w:sz w:val="24"/>
          <w:szCs w:val="28"/>
        </w:rPr>
      </w:pPr>
      <w:r>
        <w:rPr>
          <w:rFonts w:hint="eastAsia"/>
          <w:sz w:val="24"/>
          <w:szCs w:val="28"/>
        </w:rPr>
        <w:t>(2)</w:t>
      </w:r>
      <w:r>
        <w:rPr>
          <w:rFonts w:hint="eastAsia"/>
          <w:sz w:val="24"/>
          <w:szCs w:val="28"/>
        </w:rPr>
        <w:t>本次费率调整解释权归</w:t>
      </w:r>
      <w:r>
        <w:rPr>
          <w:rFonts w:hint="eastAsia"/>
          <w:sz w:val="24"/>
          <w:szCs w:val="28"/>
        </w:rPr>
        <w:t>上述销售机构</w:t>
      </w:r>
      <w:r>
        <w:rPr>
          <w:rFonts w:hint="eastAsia"/>
          <w:sz w:val="24"/>
          <w:szCs w:val="28"/>
        </w:rPr>
        <w:t>所有，有关费率调整的具体规定如有变化，敬请投资者留意</w:t>
      </w:r>
      <w:r>
        <w:rPr>
          <w:rFonts w:hint="eastAsia"/>
          <w:sz w:val="24"/>
          <w:szCs w:val="28"/>
        </w:rPr>
        <w:t>销售机构</w:t>
      </w:r>
      <w:r>
        <w:rPr>
          <w:rFonts w:hint="eastAsia"/>
          <w:sz w:val="24"/>
          <w:szCs w:val="28"/>
        </w:rPr>
        <w:t>的有关告知。</w:t>
      </w:r>
    </w:p>
    <w:p w:rsidR="00000000" w:rsidRDefault="007A36CA">
      <w:pPr>
        <w:spacing w:line="360" w:lineRule="auto"/>
        <w:ind w:firstLineChars="200" w:firstLine="480"/>
        <w:rPr>
          <w:sz w:val="24"/>
          <w:szCs w:val="28"/>
        </w:rPr>
      </w:pPr>
      <w:r>
        <w:rPr>
          <w:rFonts w:hint="eastAsia"/>
          <w:sz w:val="24"/>
          <w:szCs w:val="28"/>
        </w:rPr>
        <w:t>四、投资者可通过以下途径咨询有关详情：</w:t>
      </w:r>
    </w:p>
    <w:p w:rsidR="00000000" w:rsidRDefault="007A36CA">
      <w:pPr>
        <w:spacing w:line="360" w:lineRule="auto"/>
        <w:ind w:firstLineChars="200" w:firstLine="480"/>
        <w:rPr>
          <w:rFonts w:hint="eastAsia"/>
          <w:sz w:val="24"/>
          <w:szCs w:val="28"/>
        </w:rPr>
      </w:pPr>
      <w:r>
        <w:rPr>
          <w:rFonts w:hint="eastAsia"/>
          <w:sz w:val="24"/>
          <w:szCs w:val="28"/>
        </w:rPr>
        <w:t>1</w:t>
      </w:r>
      <w:r>
        <w:rPr>
          <w:rFonts w:hint="eastAsia"/>
          <w:sz w:val="24"/>
          <w:szCs w:val="28"/>
        </w:rPr>
        <w:t>、销售机</w:t>
      </w:r>
      <w:r>
        <w:rPr>
          <w:rFonts w:hint="eastAsia"/>
          <w:sz w:val="24"/>
          <w:szCs w:val="28"/>
        </w:rPr>
        <w:t>构及联系方式</w:t>
      </w:r>
    </w:p>
    <w:tbl>
      <w:tblPr>
        <w:tblpPr w:leftFromText="180" w:rightFromText="180" w:vertAnchor="text" w:horzAnchor="page" w:tblpX="1592" w:tblpY="-360"/>
        <w:tblOverlap w:val="never"/>
        <w:tblW w:w="9213" w:type="dxa"/>
        <w:tblInd w:w="0" w:type="dxa"/>
        <w:tblLayout w:type="fixed"/>
        <w:tblLook w:val="0000"/>
      </w:tblPr>
      <w:tblGrid>
        <w:gridCol w:w="4042"/>
        <w:gridCol w:w="2769"/>
        <w:gridCol w:w="2402"/>
      </w:tblGrid>
      <w:tr w:rsidR="00000000">
        <w:trPr>
          <w:trHeight w:val="315"/>
        </w:trPr>
        <w:tc>
          <w:tcPr>
            <w:tcW w:w="4042" w:type="dxa"/>
            <w:tcBorders>
              <w:top w:val="single" w:sz="4" w:space="0" w:color="000000"/>
              <w:left w:val="single" w:sz="4" w:space="0" w:color="000000"/>
              <w:bottom w:val="single" w:sz="4" w:space="0" w:color="000000"/>
              <w:right w:val="single" w:sz="4" w:space="0" w:color="000000"/>
            </w:tcBorders>
            <w:noWrap/>
            <w:vAlign w:val="center"/>
          </w:tcPr>
          <w:p w:rsidR="00000000" w:rsidRDefault="007A36CA">
            <w:pPr>
              <w:widowControl/>
              <w:jc w:val="center"/>
              <w:textAlignment w:val="center"/>
              <w:rPr>
                <w:rFonts w:ascii="宋体" w:hAnsi="宋体" w:cs="宋体" w:hint="eastAsia"/>
                <w:b/>
                <w:bCs/>
                <w:color w:val="000000"/>
                <w:sz w:val="24"/>
                <w:szCs w:val="24"/>
              </w:rPr>
            </w:pPr>
            <w:r>
              <w:rPr>
                <w:rFonts w:ascii="宋体" w:hAnsi="宋体" w:cs="宋体" w:hint="eastAsia"/>
                <w:b/>
                <w:bCs/>
                <w:color w:val="000000"/>
                <w:kern w:val="0"/>
                <w:sz w:val="24"/>
                <w:szCs w:val="24"/>
                <w:lang/>
              </w:rPr>
              <w:t>销售机构名称</w:t>
            </w:r>
          </w:p>
        </w:tc>
        <w:tc>
          <w:tcPr>
            <w:tcW w:w="2769" w:type="dxa"/>
            <w:tcBorders>
              <w:top w:val="single" w:sz="4" w:space="0" w:color="000000"/>
              <w:left w:val="single" w:sz="4" w:space="0" w:color="000000"/>
              <w:bottom w:val="single" w:sz="4" w:space="0" w:color="000000"/>
              <w:right w:val="single" w:sz="4" w:space="0" w:color="000000"/>
            </w:tcBorders>
            <w:noWrap/>
            <w:vAlign w:val="center"/>
          </w:tcPr>
          <w:p w:rsidR="00000000" w:rsidRDefault="007A36CA">
            <w:pPr>
              <w:widowControl/>
              <w:jc w:val="center"/>
              <w:textAlignment w:val="center"/>
              <w:rPr>
                <w:rFonts w:ascii="宋体" w:hAnsi="宋体" w:cs="宋体" w:hint="eastAsia"/>
                <w:b/>
                <w:bCs/>
                <w:color w:val="000000"/>
                <w:sz w:val="24"/>
                <w:szCs w:val="24"/>
              </w:rPr>
            </w:pPr>
            <w:r>
              <w:rPr>
                <w:rFonts w:ascii="宋体" w:hAnsi="宋体" w:cs="宋体" w:hint="eastAsia"/>
                <w:b/>
                <w:bCs/>
                <w:color w:val="000000"/>
                <w:kern w:val="0"/>
                <w:sz w:val="24"/>
                <w:szCs w:val="24"/>
                <w:lang/>
              </w:rPr>
              <w:t>网址</w:t>
            </w:r>
          </w:p>
        </w:tc>
        <w:tc>
          <w:tcPr>
            <w:tcW w:w="2402" w:type="dxa"/>
            <w:tcBorders>
              <w:top w:val="single" w:sz="4" w:space="0" w:color="000000"/>
              <w:left w:val="single" w:sz="4" w:space="0" w:color="000000"/>
              <w:bottom w:val="single" w:sz="4" w:space="0" w:color="000000"/>
              <w:right w:val="single" w:sz="4" w:space="0" w:color="000000"/>
            </w:tcBorders>
            <w:noWrap/>
            <w:vAlign w:val="center"/>
          </w:tcPr>
          <w:p w:rsidR="00000000" w:rsidRDefault="007A36CA">
            <w:pPr>
              <w:widowControl/>
              <w:jc w:val="center"/>
              <w:textAlignment w:val="center"/>
              <w:rPr>
                <w:rFonts w:ascii="宋体" w:hAnsi="宋体" w:cs="宋体" w:hint="eastAsia"/>
                <w:b/>
                <w:bCs/>
                <w:color w:val="000000"/>
                <w:sz w:val="24"/>
                <w:szCs w:val="24"/>
              </w:rPr>
            </w:pPr>
            <w:r>
              <w:rPr>
                <w:rFonts w:ascii="宋体" w:hAnsi="宋体" w:cs="宋体" w:hint="eastAsia"/>
                <w:b/>
                <w:bCs/>
                <w:color w:val="000000"/>
                <w:kern w:val="0"/>
                <w:sz w:val="24"/>
                <w:szCs w:val="24"/>
                <w:lang/>
              </w:rPr>
              <w:t>客户服务电话</w:t>
            </w:r>
          </w:p>
        </w:tc>
      </w:tr>
      <w:tr w:rsidR="00000000">
        <w:trPr>
          <w:trHeight w:val="315"/>
        </w:trPr>
        <w:tc>
          <w:tcPr>
            <w:tcW w:w="4042" w:type="dxa"/>
            <w:tcBorders>
              <w:top w:val="single" w:sz="4" w:space="0" w:color="000000"/>
              <w:left w:val="single" w:sz="4" w:space="0" w:color="000000"/>
              <w:bottom w:val="single" w:sz="4" w:space="0" w:color="000000"/>
              <w:right w:val="single" w:sz="4" w:space="0" w:color="000000"/>
            </w:tcBorders>
            <w:noWrap/>
            <w:vAlign w:val="bottom"/>
          </w:tcPr>
          <w:p w:rsidR="00000000" w:rsidRDefault="007A36CA">
            <w:pPr>
              <w:widowControl/>
              <w:jc w:val="center"/>
              <w:textAlignment w:val="bottom"/>
              <w:rPr>
                <w:rFonts w:ascii="宋体" w:hAnsi="宋体" w:cs="宋体" w:hint="eastAsia"/>
                <w:color w:val="000000"/>
                <w:sz w:val="24"/>
                <w:szCs w:val="24"/>
              </w:rPr>
            </w:pPr>
            <w:r>
              <w:rPr>
                <w:rFonts w:ascii="宋体" w:hAnsi="宋体" w:cs="宋体" w:hint="eastAsia"/>
                <w:color w:val="000000"/>
                <w:sz w:val="24"/>
                <w:szCs w:val="24"/>
              </w:rPr>
              <w:t>上海万得基金销售</w:t>
            </w:r>
            <w:r>
              <w:rPr>
                <w:rFonts w:ascii="宋体" w:hAnsi="宋体" w:cs="宋体" w:hint="eastAsia"/>
                <w:color w:val="000000"/>
                <w:sz w:val="24"/>
                <w:szCs w:val="24"/>
              </w:rPr>
              <w:t>有限公司</w:t>
            </w:r>
          </w:p>
        </w:tc>
        <w:tc>
          <w:tcPr>
            <w:tcW w:w="2769" w:type="dxa"/>
            <w:tcBorders>
              <w:top w:val="single" w:sz="4" w:space="0" w:color="000000"/>
              <w:left w:val="single" w:sz="4" w:space="0" w:color="000000"/>
              <w:bottom w:val="single" w:sz="4" w:space="0" w:color="000000"/>
              <w:right w:val="single" w:sz="4" w:space="0" w:color="000000"/>
            </w:tcBorders>
            <w:noWrap/>
            <w:vAlign w:val="bottom"/>
          </w:tcPr>
          <w:p w:rsidR="00000000" w:rsidRDefault="007A36CA">
            <w:pPr>
              <w:widowControl/>
              <w:jc w:val="center"/>
              <w:textAlignment w:val="bottom"/>
              <w:rPr>
                <w:rFonts w:ascii="宋体" w:hAnsi="宋体" w:cs="宋体"/>
                <w:color w:val="000000"/>
                <w:sz w:val="24"/>
                <w:szCs w:val="24"/>
              </w:rPr>
            </w:pPr>
            <w:r>
              <w:rPr>
                <w:rFonts w:ascii="宋体" w:hAnsi="宋体" w:cs="宋体" w:hint="eastAsia"/>
                <w:color w:val="000000"/>
                <w:sz w:val="24"/>
                <w:szCs w:val="24"/>
              </w:rPr>
              <w:t>www.520fund.com.cn</w:t>
            </w:r>
          </w:p>
        </w:tc>
        <w:tc>
          <w:tcPr>
            <w:tcW w:w="2402" w:type="dxa"/>
            <w:tcBorders>
              <w:top w:val="single" w:sz="4" w:space="0" w:color="000000"/>
              <w:left w:val="single" w:sz="4" w:space="0" w:color="000000"/>
              <w:bottom w:val="single" w:sz="4" w:space="0" w:color="000000"/>
              <w:right w:val="single" w:sz="4" w:space="0" w:color="000000"/>
            </w:tcBorders>
            <w:noWrap/>
            <w:vAlign w:val="bottom"/>
          </w:tcPr>
          <w:p w:rsidR="00000000" w:rsidRDefault="007A36CA">
            <w:pPr>
              <w:widowControl/>
              <w:jc w:val="center"/>
              <w:textAlignment w:val="bottom"/>
              <w:rPr>
                <w:rFonts w:ascii="宋体" w:hAnsi="宋体" w:cs="宋体"/>
                <w:color w:val="000000"/>
                <w:sz w:val="24"/>
                <w:szCs w:val="24"/>
              </w:rPr>
            </w:pPr>
            <w:r>
              <w:rPr>
                <w:rFonts w:ascii="宋体" w:hAnsi="宋体" w:cs="宋体" w:hint="eastAsia"/>
                <w:color w:val="000000"/>
                <w:sz w:val="24"/>
                <w:szCs w:val="24"/>
              </w:rPr>
              <w:t>021-50712782</w:t>
            </w:r>
          </w:p>
        </w:tc>
      </w:tr>
    </w:tbl>
    <w:p w:rsidR="00000000" w:rsidRDefault="007A36CA">
      <w:pPr>
        <w:spacing w:line="360" w:lineRule="auto"/>
        <w:rPr>
          <w:rFonts w:hint="eastAsia"/>
          <w:sz w:val="24"/>
          <w:szCs w:val="28"/>
        </w:rPr>
      </w:pPr>
    </w:p>
    <w:p w:rsidR="00000000" w:rsidRDefault="007A36CA">
      <w:pPr>
        <w:spacing w:line="360" w:lineRule="auto"/>
        <w:ind w:firstLineChars="200" w:firstLine="480"/>
        <w:rPr>
          <w:rFonts w:ascii="宋体" w:hAnsi="宋体" w:cs="宋体" w:hint="eastAsia"/>
          <w:sz w:val="24"/>
          <w:szCs w:val="28"/>
        </w:rPr>
      </w:pPr>
      <w:r>
        <w:rPr>
          <w:rFonts w:ascii="宋体" w:hAnsi="宋体" w:cs="宋体" w:hint="eastAsia"/>
          <w:sz w:val="24"/>
          <w:szCs w:val="28"/>
        </w:rPr>
        <w:t>2</w:t>
      </w:r>
      <w:r>
        <w:rPr>
          <w:rFonts w:ascii="宋体" w:hAnsi="宋体" w:cs="宋体" w:hint="eastAsia"/>
          <w:sz w:val="24"/>
          <w:szCs w:val="28"/>
        </w:rPr>
        <w:t>、中银国际证券股份有限公司</w:t>
      </w:r>
    </w:p>
    <w:p w:rsidR="00000000" w:rsidRDefault="007A36CA">
      <w:pPr>
        <w:spacing w:line="360" w:lineRule="auto"/>
        <w:ind w:firstLineChars="200" w:firstLine="480"/>
        <w:rPr>
          <w:rFonts w:ascii="宋体" w:hAnsi="宋体" w:cs="宋体" w:hint="eastAsia"/>
          <w:sz w:val="24"/>
          <w:szCs w:val="28"/>
        </w:rPr>
      </w:pPr>
      <w:r>
        <w:rPr>
          <w:rFonts w:ascii="宋体" w:hAnsi="宋体" w:cs="宋体" w:hint="eastAsia"/>
          <w:sz w:val="24"/>
          <w:szCs w:val="28"/>
        </w:rPr>
        <w:t>客服电话：</w:t>
      </w:r>
      <w:r>
        <w:rPr>
          <w:rFonts w:ascii="宋体" w:hAnsi="宋体" w:cs="宋体" w:hint="eastAsia"/>
          <w:sz w:val="24"/>
          <w:szCs w:val="28"/>
        </w:rPr>
        <w:t>956026,400-620-8888</w:t>
      </w:r>
    </w:p>
    <w:p w:rsidR="00000000" w:rsidRDefault="007A36CA">
      <w:pPr>
        <w:spacing w:line="360" w:lineRule="auto"/>
        <w:ind w:firstLineChars="200" w:firstLine="480"/>
        <w:rPr>
          <w:rFonts w:ascii="宋体" w:hAnsi="宋体" w:cs="宋体" w:hint="eastAsia"/>
          <w:sz w:val="24"/>
          <w:szCs w:val="28"/>
        </w:rPr>
      </w:pPr>
      <w:r>
        <w:rPr>
          <w:rFonts w:ascii="宋体" w:hAnsi="宋体" w:cs="宋体" w:hint="eastAsia"/>
          <w:sz w:val="24"/>
          <w:szCs w:val="28"/>
        </w:rPr>
        <w:t>网址：</w:t>
      </w:r>
      <w:r>
        <w:rPr>
          <w:rFonts w:ascii="宋体" w:hAnsi="宋体" w:cs="宋体" w:hint="eastAsia"/>
          <w:sz w:val="24"/>
          <w:szCs w:val="28"/>
        </w:rPr>
        <w:t xml:space="preserve"> www.bocifunds.com</w:t>
      </w:r>
    </w:p>
    <w:p w:rsidR="00000000" w:rsidRDefault="007A36CA">
      <w:pPr>
        <w:spacing w:line="360" w:lineRule="auto"/>
        <w:ind w:firstLineChars="200" w:firstLine="480"/>
        <w:rPr>
          <w:sz w:val="24"/>
          <w:szCs w:val="28"/>
        </w:rPr>
      </w:pPr>
      <w:r>
        <w:rPr>
          <w:rFonts w:hint="eastAsia"/>
          <w:sz w:val="24"/>
          <w:szCs w:val="28"/>
        </w:rPr>
        <w:t>五、风险提示：</w:t>
      </w:r>
    </w:p>
    <w:p w:rsidR="00000000" w:rsidRDefault="007A36CA">
      <w:pPr>
        <w:spacing w:line="360" w:lineRule="auto"/>
        <w:ind w:firstLineChars="200" w:firstLine="480"/>
        <w:rPr>
          <w:rFonts w:hint="eastAsia"/>
          <w:sz w:val="24"/>
          <w:szCs w:val="28"/>
        </w:rPr>
      </w:pPr>
      <w:r>
        <w:rPr>
          <w:rFonts w:hint="eastAsia"/>
          <w:sz w:val="24"/>
          <w:szCs w:val="28"/>
        </w:rPr>
        <w:t>本公司承诺以诚实信用、勤勉尽责的原则管理和运用基金资产，但不保证基金一定盈利，也不保证最低收益。基金的过往业绩及其净值高低并不预示其未来业绩表现</w:t>
      </w:r>
      <w:r>
        <w:rPr>
          <w:rFonts w:ascii="宋体" w:hAnsi="宋体" w:hint="eastAsia"/>
          <w:color w:val="000000"/>
          <w:sz w:val="24"/>
        </w:rPr>
        <w:t>，基金管理人管理的其他基金的业绩并不构成对基金表现的保证</w:t>
      </w:r>
      <w:r>
        <w:rPr>
          <w:rFonts w:hint="eastAsia"/>
          <w:sz w:val="24"/>
          <w:szCs w:val="28"/>
        </w:rPr>
        <w:t>。</w:t>
      </w:r>
    </w:p>
    <w:p w:rsidR="00000000" w:rsidRDefault="007A36CA">
      <w:pPr>
        <w:spacing w:line="360" w:lineRule="auto"/>
        <w:ind w:firstLineChars="200" w:firstLine="480"/>
        <w:rPr>
          <w:rFonts w:hint="eastAsia"/>
          <w:sz w:val="24"/>
          <w:szCs w:val="28"/>
        </w:rPr>
      </w:pPr>
      <w:r>
        <w:rPr>
          <w:rFonts w:hint="eastAsia"/>
          <w:sz w:val="24"/>
          <w:szCs w:val="28"/>
        </w:rPr>
        <w:t>投资者投资于货币市场基金</w:t>
      </w:r>
      <w:r>
        <w:rPr>
          <w:rFonts w:hint="eastAsia"/>
          <w:sz w:val="24"/>
          <w:szCs w:val="28"/>
        </w:rPr>
        <w:t>并不等于将资金作为存款存放在银行或存款类金融机构，基金的过往业绩并不预示其未来表现，基金管理人管理的其他基金的业绩并不构成对货币市场基金表现的保证。</w:t>
      </w:r>
    </w:p>
    <w:p w:rsidR="00000000" w:rsidRDefault="007A36CA">
      <w:pPr>
        <w:spacing w:line="360" w:lineRule="auto"/>
        <w:ind w:firstLineChars="200" w:firstLine="480"/>
        <w:rPr>
          <w:rFonts w:hint="eastAsia"/>
          <w:sz w:val="24"/>
          <w:szCs w:val="28"/>
        </w:rPr>
      </w:pPr>
      <w:r>
        <w:rPr>
          <w:rFonts w:hint="eastAsia"/>
          <w:sz w:val="24"/>
          <w:szCs w:val="28"/>
        </w:rPr>
        <w:t>投资前请投资者认真阅读《基金合同》、《招募说明书》</w:t>
      </w:r>
      <w:r>
        <w:rPr>
          <w:rFonts w:hint="eastAsia"/>
          <w:sz w:val="24"/>
          <w:szCs w:val="28"/>
        </w:rPr>
        <w:t>、《</w:t>
      </w:r>
      <w:r>
        <w:rPr>
          <w:rFonts w:hint="eastAsia"/>
          <w:sz w:val="24"/>
          <w:szCs w:val="28"/>
        </w:rPr>
        <w:t>基金产品资料概要</w:t>
      </w:r>
      <w:r>
        <w:rPr>
          <w:rFonts w:hint="eastAsia"/>
          <w:sz w:val="24"/>
          <w:szCs w:val="28"/>
        </w:rPr>
        <w:t>》</w:t>
      </w:r>
      <w:r>
        <w:rPr>
          <w:rFonts w:hint="eastAsia"/>
          <w:sz w:val="24"/>
          <w:szCs w:val="28"/>
        </w:rPr>
        <w:t>等法律文件</w:t>
      </w:r>
      <w:r>
        <w:rPr>
          <w:rFonts w:hint="eastAsia"/>
          <w:sz w:val="24"/>
          <w:szCs w:val="28"/>
        </w:rPr>
        <w:t>及其更新文件</w:t>
      </w:r>
      <w:r>
        <w:rPr>
          <w:rFonts w:hint="eastAsia"/>
          <w:sz w:val="24"/>
          <w:szCs w:val="28"/>
        </w:rPr>
        <w:t>，了解基金的风险收益特征，并根据自身的投资</w:t>
      </w:r>
      <w:r>
        <w:rPr>
          <w:rFonts w:hint="eastAsia"/>
          <w:sz w:val="24"/>
          <w:szCs w:val="28"/>
        </w:rPr>
        <w:t>目</w:t>
      </w:r>
      <w:r>
        <w:rPr>
          <w:rFonts w:hint="eastAsia"/>
          <w:sz w:val="24"/>
          <w:szCs w:val="28"/>
        </w:rPr>
        <w:t>的、投资期限、投资经验、资产状况等判断基金是否和投资人的风险承受能力相适应。</w:t>
      </w:r>
      <w:r>
        <w:rPr>
          <w:rFonts w:ascii="宋体" w:hAnsi="宋体" w:hint="eastAsia"/>
          <w:color w:val="000000"/>
          <w:sz w:val="24"/>
        </w:rPr>
        <w:t>基金管理人</w:t>
      </w:r>
      <w:r>
        <w:rPr>
          <w:rFonts w:ascii="宋体" w:hAnsi="宋体" w:hint="eastAsia"/>
          <w:color w:val="000000"/>
          <w:sz w:val="24"/>
        </w:rPr>
        <w:t>提醒</w:t>
      </w:r>
      <w:r>
        <w:rPr>
          <w:rFonts w:ascii="宋体" w:hAnsi="宋体" w:hint="eastAsia"/>
          <w:color w:val="000000"/>
          <w:sz w:val="24"/>
        </w:rPr>
        <w:t>投资者</w:t>
      </w:r>
      <w:r>
        <w:rPr>
          <w:rFonts w:ascii="宋体" w:hAnsi="宋体" w:hint="eastAsia"/>
          <w:color w:val="000000"/>
          <w:sz w:val="24"/>
        </w:rPr>
        <w:t>基金投资的“买者自负”原则，在</w:t>
      </w:r>
      <w:r>
        <w:rPr>
          <w:rFonts w:ascii="宋体" w:hAnsi="宋体" w:hint="eastAsia"/>
          <w:color w:val="000000"/>
          <w:sz w:val="24"/>
        </w:rPr>
        <w:t>投资者</w:t>
      </w:r>
      <w:r>
        <w:rPr>
          <w:rFonts w:ascii="宋体" w:hAnsi="宋体" w:hint="eastAsia"/>
          <w:color w:val="000000"/>
          <w:sz w:val="24"/>
        </w:rPr>
        <w:t>做出投资决策后，基金运营状况与基金净值变化引致的投资风险，由</w:t>
      </w:r>
      <w:r>
        <w:rPr>
          <w:rFonts w:ascii="宋体" w:hAnsi="宋体" w:hint="eastAsia"/>
          <w:color w:val="000000"/>
          <w:sz w:val="24"/>
        </w:rPr>
        <w:t>投资者</w:t>
      </w:r>
      <w:r>
        <w:rPr>
          <w:rFonts w:ascii="宋体" w:hAnsi="宋体" w:hint="eastAsia"/>
          <w:color w:val="000000"/>
          <w:sz w:val="24"/>
        </w:rPr>
        <w:t>自行负担。基金管理人、基金</w:t>
      </w:r>
      <w:r>
        <w:rPr>
          <w:rFonts w:ascii="宋体" w:hAnsi="宋体" w:hint="eastAsia"/>
          <w:color w:val="000000"/>
          <w:sz w:val="24"/>
        </w:rPr>
        <w:t>托管人、基金销售机构及相关机构不对基金投资收益做出任何承诺或保证。</w:t>
      </w:r>
    </w:p>
    <w:p w:rsidR="00000000" w:rsidRDefault="007A36CA">
      <w:pPr>
        <w:spacing w:line="360" w:lineRule="auto"/>
        <w:ind w:firstLineChars="200" w:firstLine="480"/>
        <w:rPr>
          <w:rFonts w:hint="eastAsia"/>
          <w:sz w:val="24"/>
          <w:szCs w:val="28"/>
        </w:rPr>
      </w:pPr>
      <w:r>
        <w:rPr>
          <w:rFonts w:hint="eastAsia"/>
          <w:sz w:val="24"/>
          <w:szCs w:val="28"/>
        </w:rPr>
        <w:t>投资者应当充分了解基金定期定额投资和零存整取等储蓄方式的区别。定期定额投资是引导投资者进行长期投资、平均投资成本的一种简单易行的投资方式。但是定期定额投资并不能规避基金投资所固有的风险，不能保证投资者获得收益，也不是替代储蓄的等效理财方式。</w:t>
      </w:r>
    </w:p>
    <w:p w:rsidR="00000000" w:rsidRDefault="007A36CA">
      <w:pPr>
        <w:spacing w:line="360" w:lineRule="auto"/>
        <w:ind w:firstLineChars="200" w:firstLine="480"/>
        <w:rPr>
          <w:rFonts w:hint="eastAsia"/>
          <w:sz w:val="24"/>
          <w:szCs w:val="28"/>
        </w:rPr>
      </w:pPr>
      <w:r>
        <w:rPr>
          <w:rFonts w:hint="eastAsia"/>
          <w:sz w:val="24"/>
          <w:szCs w:val="28"/>
        </w:rPr>
        <w:t>本公告的解释权归中银国际证券股份有限公司所有。</w:t>
      </w:r>
    </w:p>
    <w:p w:rsidR="00000000" w:rsidRDefault="007A36CA">
      <w:pPr>
        <w:spacing w:line="360" w:lineRule="auto"/>
        <w:ind w:firstLineChars="200" w:firstLine="480"/>
        <w:rPr>
          <w:rFonts w:hint="eastAsia"/>
          <w:sz w:val="24"/>
          <w:szCs w:val="28"/>
        </w:rPr>
      </w:pPr>
    </w:p>
    <w:p w:rsidR="00000000" w:rsidRDefault="007A36CA">
      <w:pPr>
        <w:spacing w:line="360" w:lineRule="auto"/>
        <w:ind w:firstLineChars="200" w:firstLine="480"/>
        <w:rPr>
          <w:sz w:val="24"/>
          <w:szCs w:val="28"/>
        </w:rPr>
      </w:pPr>
      <w:r>
        <w:rPr>
          <w:rFonts w:hint="eastAsia"/>
          <w:sz w:val="24"/>
          <w:szCs w:val="28"/>
        </w:rPr>
        <w:t>特此公告</w:t>
      </w:r>
    </w:p>
    <w:p w:rsidR="00000000" w:rsidRDefault="007A36CA">
      <w:pPr>
        <w:spacing w:line="360" w:lineRule="auto"/>
        <w:ind w:firstLineChars="200" w:firstLine="480"/>
        <w:rPr>
          <w:sz w:val="24"/>
          <w:szCs w:val="28"/>
        </w:rPr>
      </w:pPr>
    </w:p>
    <w:p w:rsidR="00000000" w:rsidRDefault="007A36CA">
      <w:pPr>
        <w:spacing w:line="360" w:lineRule="auto"/>
        <w:ind w:firstLineChars="200" w:firstLine="480"/>
        <w:jc w:val="right"/>
        <w:rPr>
          <w:sz w:val="24"/>
          <w:szCs w:val="28"/>
        </w:rPr>
      </w:pPr>
      <w:r>
        <w:rPr>
          <w:rFonts w:hint="eastAsia"/>
          <w:sz w:val="24"/>
          <w:szCs w:val="28"/>
        </w:rPr>
        <w:t xml:space="preserve">　中银国际证券股份有限公司</w:t>
      </w:r>
    </w:p>
    <w:p w:rsidR="00000000" w:rsidRDefault="007A36CA">
      <w:pPr>
        <w:spacing w:line="360" w:lineRule="auto"/>
        <w:ind w:firstLineChars="200" w:firstLine="480"/>
        <w:jc w:val="right"/>
        <w:rPr>
          <w:sz w:val="24"/>
          <w:szCs w:val="28"/>
        </w:rPr>
      </w:pPr>
      <w:r>
        <w:rPr>
          <w:rFonts w:hint="eastAsia"/>
          <w:sz w:val="24"/>
          <w:szCs w:val="28"/>
        </w:rPr>
        <w:t>202</w:t>
      </w:r>
      <w:r>
        <w:rPr>
          <w:rFonts w:hint="eastAsia"/>
          <w:sz w:val="24"/>
          <w:szCs w:val="28"/>
        </w:rPr>
        <w:t>6</w:t>
      </w:r>
      <w:r>
        <w:rPr>
          <w:rFonts w:hint="eastAsia"/>
          <w:sz w:val="24"/>
          <w:szCs w:val="28"/>
        </w:rPr>
        <w:t>年</w:t>
      </w:r>
      <w:r>
        <w:rPr>
          <w:rFonts w:hint="eastAsia"/>
          <w:sz w:val="24"/>
          <w:szCs w:val="28"/>
        </w:rPr>
        <w:t>4</w:t>
      </w:r>
      <w:r>
        <w:rPr>
          <w:rFonts w:hint="eastAsia"/>
          <w:sz w:val="24"/>
          <w:szCs w:val="28"/>
        </w:rPr>
        <w:t>月</w:t>
      </w:r>
      <w:r>
        <w:rPr>
          <w:rFonts w:hint="eastAsia"/>
          <w:sz w:val="24"/>
          <w:szCs w:val="28"/>
        </w:rPr>
        <w:t>23</w:t>
      </w:r>
      <w:r>
        <w:rPr>
          <w:rFonts w:hint="eastAsia"/>
          <w:sz w:val="24"/>
          <w:szCs w:val="28"/>
        </w:rPr>
        <w:t>日</w:t>
      </w:r>
    </w:p>
    <w:sectPr w:rsidR="00000000">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oNotTrackMove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commondata" w:val="eyJoZGlkIjoiMzBlN2MzNTg1NjYyMDY3NTE1M2ZlY2Y4ZGVkYWViZDUifQ=="/>
  </w:docVars>
  <w:rsids>
    <w:rsidRoot w:val="00342F7C"/>
    <w:rsid w:val="00013B27"/>
    <w:rsid w:val="00030073"/>
    <w:rsid w:val="000521F5"/>
    <w:rsid w:val="00057887"/>
    <w:rsid w:val="00094BCE"/>
    <w:rsid w:val="000C33A5"/>
    <w:rsid w:val="000D179B"/>
    <w:rsid w:val="000E3337"/>
    <w:rsid w:val="0012395A"/>
    <w:rsid w:val="00124EDB"/>
    <w:rsid w:val="00180711"/>
    <w:rsid w:val="00181B7D"/>
    <w:rsid w:val="001A18E4"/>
    <w:rsid w:val="001A6B7D"/>
    <w:rsid w:val="001F4575"/>
    <w:rsid w:val="00201666"/>
    <w:rsid w:val="00205FDD"/>
    <w:rsid w:val="00213A8F"/>
    <w:rsid w:val="00215941"/>
    <w:rsid w:val="0029003E"/>
    <w:rsid w:val="002912E9"/>
    <w:rsid w:val="00292459"/>
    <w:rsid w:val="00294AE4"/>
    <w:rsid w:val="002D4DAB"/>
    <w:rsid w:val="002D4ECB"/>
    <w:rsid w:val="002E265D"/>
    <w:rsid w:val="002F5789"/>
    <w:rsid w:val="00342F7C"/>
    <w:rsid w:val="003648F2"/>
    <w:rsid w:val="003716CF"/>
    <w:rsid w:val="00385893"/>
    <w:rsid w:val="003926DB"/>
    <w:rsid w:val="003A31B8"/>
    <w:rsid w:val="003B3025"/>
    <w:rsid w:val="00412D84"/>
    <w:rsid w:val="00422E5B"/>
    <w:rsid w:val="00425657"/>
    <w:rsid w:val="004257E8"/>
    <w:rsid w:val="004433C3"/>
    <w:rsid w:val="004479EA"/>
    <w:rsid w:val="00467169"/>
    <w:rsid w:val="00530662"/>
    <w:rsid w:val="00563E68"/>
    <w:rsid w:val="0057554F"/>
    <w:rsid w:val="00594014"/>
    <w:rsid w:val="005C0C5E"/>
    <w:rsid w:val="005F098A"/>
    <w:rsid w:val="005F1D84"/>
    <w:rsid w:val="006552D4"/>
    <w:rsid w:val="00660FBC"/>
    <w:rsid w:val="006731C8"/>
    <w:rsid w:val="0068533D"/>
    <w:rsid w:val="006E0598"/>
    <w:rsid w:val="007045D6"/>
    <w:rsid w:val="00705856"/>
    <w:rsid w:val="0071549A"/>
    <w:rsid w:val="00751B6D"/>
    <w:rsid w:val="00763964"/>
    <w:rsid w:val="00767306"/>
    <w:rsid w:val="00781A0C"/>
    <w:rsid w:val="00787898"/>
    <w:rsid w:val="007929CE"/>
    <w:rsid w:val="007A36CA"/>
    <w:rsid w:val="007A4321"/>
    <w:rsid w:val="007B2CAA"/>
    <w:rsid w:val="007B6C8F"/>
    <w:rsid w:val="007B7798"/>
    <w:rsid w:val="007C155F"/>
    <w:rsid w:val="007D03A0"/>
    <w:rsid w:val="007E5F62"/>
    <w:rsid w:val="008012A5"/>
    <w:rsid w:val="00824CFB"/>
    <w:rsid w:val="008932D6"/>
    <w:rsid w:val="008B0C39"/>
    <w:rsid w:val="008B508F"/>
    <w:rsid w:val="008B5892"/>
    <w:rsid w:val="008C40BC"/>
    <w:rsid w:val="008E5966"/>
    <w:rsid w:val="008E7492"/>
    <w:rsid w:val="0098353B"/>
    <w:rsid w:val="009B6D09"/>
    <w:rsid w:val="009E6E52"/>
    <w:rsid w:val="00A122F6"/>
    <w:rsid w:val="00A17B0B"/>
    <w:rsid w:val="00A51C5F"/>
    <w:rsid w:val="00AB031B"/>
    <w:rsid w:val="00AB2487"/>
    <w:rsid w:val="00AF7B6C"/>
    <w:rsid w:val="00B0053E"/>
    <w:rsid w:val="00B06043"/>
    <w:rsid w:val="00B14C0E"/>
    <w:rsid w:val="00B43115"/>
    <w:rsid w:val="00B7755B"/>
    <w:rsid w:val="00BB5569"/>
    <w:rsid w:val="00BF17BB"/>
    <w:rsid w:val="00C40BC6"/>
    <w:rsid w:val="00C462DD"/>
    <w:rsid w:val="00C6496B"/>
    <w:rsid w:val="00C77842"/>
    <w:rsid w:val="00CE1AAE"/>
    <w:rsid w:val="00CE3722"/>
    <w:rsid w:val="00CE4B50"/>
    <w:rsid w:val="00D002AD"/>
    <w:rsid w:val="00D20992"/>
    <w:rsid w:val="00D83CE2"/>
    <w:rsid w:val="00D91D06"/>
    <w:rsid w:val="00D933AC"/>
    <w:rsid w:val="00DD0CC0"/>
    <w:rsid w:val="00DD6116"/>
    <w:rsid w:val="00DF2FC2"/>
    <w:rsid w:val="00DF3B6E"/>
    <w:rsid w:val="00E23FB6"/>
    <w:rsid w:val="00E4371B"/>
    <w:rsid w:val="00E551C0"/>
    <w:rsid w:val="00E82CC6"/>
    <w:rsid w:val="00EE7C9A"/>
    <w:rsid w:val="00F0447B"/>
    <w:rsid w:val="00F12276"/>
    <w:rsid w:val="00F15255"/>
    <w:rsid w:val="00F1528D"/>
    <w:rsid w:val="00F3165D"/>
    <w:rsid w:val="00F40CA6"/>
    <w:rsid w:val="00F5702C"/>
    <w:rsid w:val="00F85CFE"/>
    <w:rsid w:val="00FA240A"/>
    <w:rsid w:val="00FD045F"/>
    <w:rsid w:val="00FD5B2A"/>
    <w:rsid w:val="00FD6415"/>
    <w:rsid w:val="00FE379F"/>
    <w:rsid w:val="02E42DB9"/>
    <w:rsid w:val="04E54111"/>
    <w:rsid w:val="07311E5E"/>
    <w:rsid w:val="08E32D55"/>
    <w:rsid w:val="094A25EF"/>
    <w:rsid w:val="0B1A24AC"/>
    <w:rsid w:val="0BF26547"/>
    <w:rsid w:val="0BF87EE2"/>
    <w:rsid w:val="0D39102F"/>
    <w:rsid w:val="10B10DE8"/>
    <w:rsid w:val="114E5629"/>
    <w:rsid w:val="13833F28"/>
    <w:rsid w:val="145654F5"/>
    <w:rsid w:val="1B823713"/>
    <w:rsid w:val="1BF45CDF"/>
    <w:rsid w:val="1D2830F9"/>
    <w:rsid w:val="1F7B082E"/>
    <w:rsid w:val="202E4F82"/>
    <w:rsid w:val="2054104B"/>
    <w:rsid w:val="208A5D5A"/>
    <w:rsid w:val="217A3F56"/>
    <w:rsid w:val="242258D5"/>
    <w:rsid w:val="26C329A6"/>
    <w:rsid w:val="27EC6144"/>
    <w:rsid w:val="28D25E7D"/>
    <w:rsid w:val="2A9D237D"/>
    <w:rsid w:val="2B414DDB"/>
    <w:rsid w:val="2B4F6E2D"/>
    <w:rsid w:val="2C066F61"/>
    <w:rsid w:val="2C6F1FEE"/>
    <w:rsid w:val="2E2D7130"/>
    <w:rsid w:val="30BE4485"/>
    <w:rsid w:val="30DD6F16"/>
    <w:rsid w:val="324C75D4"/>
    <w:rsid w:val="353A4937"/>
    <w:rsid w:val="36C810FD"/>
    <w:rsid w:val="37A16AA0"/>
    <w:rsid w:val="37DC5C73"/>
    <w:rsid w:val="389E4FEF"/>
    <w:rsid w:val="3AD16E8E"/>
    <w:rsid w:val="3C9233CC"/>
    <w:rsid w:val="3D5D4EE3"/>
    <w:rsid w:val="3DAE32BB"/>
    <w:rsid w:val="40682093"/>
    <w:rsid w:val="41DE1407"/>
    <w:rsid w:val="42404795"/>
    <w:rsid w:val="42C22B17"/>
    <w:rsid w:val="43963B97"/>
    <w:rsid w:val="43CD5173"/>
    <w:rsid w:val="44A27E03"/>
    <w:rsid w:val="454D2630"/>
    <w:rsid w:val="45A2519B"/>
    <w:rsid w:val="46565EF6"/>
    <w:rsid w:val="4776054C"/>
    <w:rsid w:val="47853B9A"/>
    <w:rsid w:val="47B33D21"/>
    <w:rsid w:val="487F70D8"/>
    <w:rsid w:val="4964066C"/>
    <w:rsid w:val="4A790052"/>
    <w:rsid w:val="4AC53F2A"/>
    <w:rsid w:val="4CAC181F"/>
    <w:rsid w:val="506A0F70"/>
    <w:rsid w:val="509B675D"/>
    <w:rsid w:val="51B41122"/>
    <w:rsid w:val="55924C15"/>
    <w:rsid w:val="57851FA6"/>
    <w:rsid w:val="59C21551"/>
    <w:rsid w:val="5A332E0E"/>
    <w:rsid w:val="5BCF03E1"/>
    <w:rsid w:val="5C114298"/>
    <w:rsid w:val="5EAC2CE3"/>
    <w:rsid w:val="626F51F0"/>
    <w:rsid w:val="62EB0A8F"/>
    <w:rsid w:val="643E2F96"/>
    <w:rsid w:val="64B01E0A"/>
    <w:rsid w:val="65443129"/>
    <w:rsid w:val="65E73F66"/>
    <w:rsid w:val="664C37E5"/>
    <w:rsid w:val="66BC1490"/>
    <w:rsid w:val="6767547F"/>
    <w:rsid w:val="6A437A66"/>
    <w:rsid w:val="6A5D1F52"/>
    <w:rsid w:val="6A5F5CCB"/>
    <w:rsid w:val="6B753C23"/>
    <w:rsid w:val="6BF26754"/>
    <w:rsid w:val="6C7527BF"/>
    <w:rsid w:val="6DAC353E"/>
    <w:rsid w:val="6FA95868"/>
    <w:rsid w:val="7314239F"/>
    <w:rsid w:val="77023E8A"/>
    <w:rsid w:val="79856DD0"/>
    <w:rsid w:val="79964ED5"/>
    <w:rsid w:val="7A77576D"/>
    <w:rsid w:val="7C9874B5"/>
    <w:rsid w:val="7DB4284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qFormat="1"/>
    <w:lsdException w:name="header" w:semiHidden="0" w:qFormat="1"/>
    <w:lsdException w:name="footer" w:semiHidden="0" w:qFormat="1"/>
    <w:lsdException w:name="caption" w:uiPriority="35" w:qFormat="1"/>
    <w:lsdException w:name="annotation reference" w:semiHidden="0" w:qFormat="1"/>
    <w:lsdException w:name="Title" w:semiHidden="0" w:uiPriority="10" w:unhideWhenUsed="0" w:qFormat="1"/>
    <w:lsdException w:name="Default Paragraph Font" w:semiHidden="0"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semiHidden="0" w:qFormat="1"/>
    <w:lsdException w:name="annotation subject" w:semiHidden="0" w:qFormat="1"/>
    <w:lsdException w:name="Balloon Text" w:semiHidden="0" w:qFormat="1"/>
    <w:lsdException w:name="Table Grid" w:semiHidden="0" w:uiPriority="59" w:unhideWhenUsed="0" w:qFormat="1"/>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kern w:val="2"/>
      <w:sz w:val="21"/>
      <w:szCs w:val="22"/>
    </w:rPr>
  </w:style>
  <w:style w:type="character" w:default="1" w:styleId="a0">
    <w:name w:val="Default Paragraph Font"/>
    <w:uiPriority w:val="1"/>
    <w:unhideWhenUsed/>
    <w:qFormat/>
  </w:style>
  <w:style w:type="table" w:default="1" w:styleId="a1">
    <w:name w:val="Normal Table"/>
    <w:uiPriority w:val="99"/>
    <w:unhideWhenUsed/>
    <w:qFormat/>
    <w:tblPr>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pPr>
      <w:jc w:val="left"/>
    </w:pPr>
  </w:style>
  <w:style w:type="character" w:customStyle="1" w:styleId="Char">
    <w:name w:val="批注文字 Char"/>
    <w:basedOn w:val="a0"/>
    <w:link w:val="a3"/>
    <w:uiPriority w:val="99"/>
    <w:semiHidden/>
    <w:qFormat/>
  </w:style>
  <w:style w:type="paragraph" w:styleId="a4">
    <w:name w:val="Balloon Text"/>
    <w:basedOn w:val="a"/>
    <w:link w:val="Char0"/>
    <w:uiPriority w:val="99"/>
    <w:unhideWhenUsed/>
    <w:qFormat/>
    <w:rPr>
      <w:sz w:val="18"/>
      <w:szCs w:val="18"/>
    </w:rPr>
  </w:style>
  <w:style w:type="character" w:customStyle="1" w:styleId="Char0">
    <w:name w:val="批注框文本 Char"/>
    <w:basedOn w:val="a0"/>
    <w:link w:val="a4"/>
    <w:uiPriority w:val="99"/>
    <w:semiHidden/>
    <w:qFormat/>
    <w:rPr>
      <w:sz w:val="18"/>
      <w:szCs w:val="18"/>
    </w:rPr>
  </w:style>
  <w:style w:type="paragraph" w:styleId="a5">
    <w:name w:val="footer"/>
    <w:basedOn w:val="a"/>
    <w:link w:val="Char1"/>
    <w:uiPriority w:val="99"/>
    <w:unhideWhenUsed/>
    <w:qFormat/>
    <w:pPr>
      <w:tabs>
        <w:tab w:val="center" w:pos="4153"/>
        <w:tab w:val="right" w:pos="8306"/>
      </w:tabs>
      <w:snapToGrid w:val="0"/>
      <w:jc w:val="left"/>
    </w:pPr>
    <w:rPr>
      <w:sz w:val="18"/>
      <w:szCs w:val="18"/>
    </w:rPr>
  </w:style>
  <w:style w:type="character" w:customStyle="1" w:styleId="Char1">
    <w:name w:val="页脚 Char"/>
    <w:basedOn w:val="a0"/>
    <w:link w:val="a5"/>
    <w:uiPriority w:val="99"/>
    <w:semiHidden/>
    <w:qFormat/>
    <w:rPr>
      <w:sz w:val="18"/>
      <w:szCs w:val="18"/>
    </w:rPr>
  </w:style>
  <w:style w:type="paragraph" w:styleId="a6">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Char2">
    <w:name w:val="页眉 Char"/>
    <w:basedOn w:val="a0"/>
    <w:link w:val="a6"/>
    <w:uiPriority w:val="99"/>
    <w:semiHidden/>
    <w:qFormat/>
    <w:rPr>
      <w:sz w:val="18"/>
      <w:szCs w:val="18"/>
    </w:rPr>
  </w:style>
  <w:style w:type="paragraph" w:styleId="a7">
    <w:name w:val="Title"/>
    <w:basedOn w:val="a"/>
    <w:next w:val="a"/>
    <w:link w:val="Char3"/>
    <w:uiPriority w:val="10"/>
    <w:qFormat/>
    <w:pPr>
      <w:spacing w:before="240" w:after="60"/>
      <w:jc w:val="center"/>
      <w:outlineLvl w:val="0"/>
    </w:pPr>
    <w:rPr>
      <w:rFonts w:ascii="Cambria" w:hAnsi="Cambria"/>
      <w:b/>
      <w:bCs/>
      <w:sz w:val="32"/>
      <w:szCs w:val="32"/>
    </w:rPr>
  </w:style>
  <w:style w:type="character" w:customStyle="1" w:styleId="Char3">
    <w:name w:val="标题 Char"/>
    <w:basedOn w:val="a0"/>
    <w:link w:val="a7"/>
    <w:uiPriority w:val="10"/>
    <w:qFormat/>
    <w:rPr>
      <w:rFonts w:ascii="Cambria" w:eastAsia="宋体" w:hAnsi="Cambria" w:cs="Times New Roman"/>
      <w:b/>
      <w:bCs/>
      <w:sz w:val="32"/>
      <w:szCs w:val="32"/>
    </w:rPr>
  </w:style>
  <w:style w:type="paragraph" w:styleId="a8">
    <w:name w:val="annotation subject"/>
    <w:basedOn w:val="a3"/>
    <w:next w:val="a3"/>
    <w:link w:val="Char4"/>
    <w:uiPriority w:val="99"/>
    <w:unhideWhenUsed/>
    <w:qFormat/>
    <w:rPr>
      <w:b/>
      <w:bCs/>
    </w:rPr>
  </w:style>
  <w:style w:type="character" w:customStyle="1" w:styleId="Char4">
    <w:name w:val="批注主题 Char"/>
    <w:basedOn w:val="Char"/>
    <w:link w:val="a8"/>
    <w:uiPriority w:val="99"/>
    <w:semiHidden/>
    <w:qFormat/>
    <w:rPr>
      <w:b/>
      <w:bCs/>
    </w:rPr>
  </w:style>
  <w:style w:type="table" w:styleId="a9">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qFormat/>
    <w:rPr>
      <w:color w:val="0000FF"/>
      <w:u w:val="single"/>
    </w:rPr>
  </w:style>
  <w:style w:type="character" w:styleId="ab">
    <w:name w:val="annotation reference"/>
    <w:basedOn w:val="a0"/>
    <w:uiPriority w:val="99"/>
    <w:unhideWhenUsed/>
    <w:qFormat/>
    <w:rPr>
      <w:sz w:val="21"/>
      <w:szCs w:val="21"/>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337</Words>
  <Characters>1922</Characters>
  <Application>Microsoft Office Word</Application>
  <DocSecurity>4</DocSecurity>
  <Lines>16</Lines>
  <Paragraphs>4</Paragraphs>
  <ScaleCrop>false</ScaleCrop>
  <Company>CNSTOCK</Company>
  <LinksUpToDate>false</LinksUpToDate>
  <CharactersWithSpaces>2255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陶菁</dc:creator>
  <cp:keywords/>
  <cp:lastModifiedBy>ZHONGM</cp:lastModifiedBy>
  <cp:revision>2</cp:revision>
  <cp:lastPrinted>2026-04-22T02:16:00Z</cp:lastPrinted>
  <dcterms:created xsi:type="dcterms:W3CDTF">2026-04-22T16:02:00Z</dcterms:created>
  <dcterms:modified xsi:type="dcterms:W3CDTF">2026-04-22T16:02:00Z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DF50F9DE050344E2B31E826E900A0D25_13</vt:lpwstr>
  </property>
  <property fmtid="{D5CDD505-2E9C-101B-9397-08002B2CF9AE}" pid="4" name="KSOTemplateDocerSaveRecord">
    <vt:lpwstr>eyJoZGlkIjoiYjk5ODM0YmMxOWJiYWQyNDU4MGIzYWRmYTA0ZmI5NDciLCJ1c2VySWQiOiIyMDQwMjIxMjQifQ==</vt:lpwstr>
  </property>
</Properties>
</file>