
<file path=[Content_Types].xml><?xml version="1.0" encoding="utf-8"?>
<Types xmlns="http://schemas.openxmlformats.org/package/2006/content-types">
  <Override PartName="/word/footnotes.xml" ContentType="application/vnd.openxmlformats-officedocument.wordprocessingml.footnot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docProps/custom.xml" ContentType="application/vnd.openxmlformats-officedocument.custom-propertie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563D2D" w:rsidRDefault="00563D2D">
      <w:pPr>
        <w:widowControl/>
        <w:spacing w:line="360" w:lineRule="auto"/>
        <w:jc w:val="center"/>
        <w:rPr>
          <w:rFonts w:hint="eastAsia"/>
          <w:sz w:val="30"/>
        </w:rPr>
      </w:pPr>
      <w:bookmarkStart w:id="0" w:name="_Toc358127599"/>
    </w:p>
    <w:p w:rsidR="00563D2D" w:rsidRDefault="00563D2D">
      <w:pPr>
        <w:widowControl/>
        <w:spacing w:line="360" w:lineRule="auto"/>
        <w:jc w:val="center"/>
        <w:rPr>
          <w:sz w:val="30"/>
        </w:rPr>
      </w:pPr>
    </w:p>
    <w:p w:rsidR="00563D2D" w:rsidRDefault="00563D2D">
      <w:pPr>
        <w:widowControl/>
        <w:spacing w:line="360" w:lineRule="auto"/>
        <w:jc w:val="center"/>
        <w:rPr>
          <w:sz w:val="30"/>
        </w:rPr>
      </w:pPr>
    </w:p>
    <w:p w:rsidR="00563D2D" w:rsidRDefault="00563D2D">
      <w:pPr>
        <w:widowControl/>
        <w:spacing w:line="360" w:lineRule="auto"/>
        <w:jc w:val="center"/>
        <w:rPr>
          <w:sz w:val="30"/>
        </w:rPr>
      </w:pPr>
    </w:p>
    <w:p w:rsidR="00563D2D" w:rsidRDefault="00563D2D">
      <w:pPr>
        <w:widowControl/>
        <w:spacing w:line="360" w:lineRule="auto"/>
        <w:jc w:val="center"/>
        <w:rPr>
          <w:sz w:val="30"/>
        </w:rPr>
      </w:pPr>
    </w:p>
    <w:p w:rsidR="00C135DA" w:rsidRDefault="00C135DA">
      <w:pPr>
        <w:widowControl/>
        <w:spacing w:line="360" w:lineRule="auto"/>
        <w:jc w:val="center"/>
        <w:rPr>
          <w:b/>
          <w:sz w:val="48"/>
        </w:rPr>
      </w:pPr>
      <w:r>
        <w:rPr>
          <w:rFonts w:hint="eastAsia"/>
          <w:b/>
          <w:sz w:val="48"/>
        </w:rPr>
        <w:t>富国中证畜牧养殖产业指数型</w:t>
      </w:r>
    </w:p>
    <w:p w:rsidR="00563D2D" w:rsidRDefault="00C135DA">
      <w:pPr>
        <w:widowControl/>
        <w:spacing w:line="360" w:lineRule="auto"/>
        <w:jc w:val="center"/>
        <w:rPr>
          <w:rFonts w:hint="eastAsia"/>
          <w:b/>
          <w:sz w:val="48"/>
        </w:rPr>
      </w:pPr>
      <w:r>
        <w:rPr>
          <w:rFonts w:hint="eastAsia"/>
          <w:b/>
          <w:sz w:val="48"/>
        </w:rPr>
        <w:t>发起式证券投资基金</w:t>
      </w:r>
    </w:p>
    <w:p w:rsidR="00563D2D" w:rsidRDefault="00563D2D">
      <w:pPr>
        <w:widowControl/>
        <w:spacing w:line="360" w:lineRule="auto"/>
        <w:jc w:val="center"/>
        <w:rPr>
          <w:sz w:val="30"/>
        </w:rPr>
      </w:pPr>
      <w:r>
        <w:rPr>
          <w:b/>
          <w:sz w:val="48"/>
        </w:rPr>
        <w:t>基金份额发售公告</w:t>
      </w:r>
    </w:p>
    <w:p w:rsidR="00563D2D" w:rsidRDefault="00563D2D">
      <w:pPr>
        <w:spacing w:line="360" w:lineRule="auto"/>
        <w:jc w:val="center"/>
        <w:rPr>
          <w:b/>
          <w:sz w:val="36"/>
        </w:rPr>
      </w:pPr>
      <w:bookmarkStart w:id="1" w:name="_Toc139991726"/>
      <w:bookmarkStart w:id="2" w:name="_Toc123112224"/>
      <w:bookmarkStart w:id="3" w:name="_Toc123701383"/>
      <w:bookmarkStart w:id="4" w:name="_Toc139992301"/>
      <w:bookmarkStart w:id="5" w:name="_Toc123112263"/>
    </w:p>
    <w:p w:rsidR="00563D2D" w:rsidRDefault="00563D2D">
      <w:pPr>
        <w:spacing w:line="360" w:lineRule="auto"/>
        <w:jc w:val="center"/>
        <w:rPr>
          <w:b/>
          <w:sz w:val="36"/>
        </w:rPr>
      </w:pPr>
    </w:p>
    <w:p w:rsidR="00563D2D" w:rsidRDefault="00563D2D">
      <w:pPr>
        <w:spacing w:line="360" w:lineRule="auto"/>
        <w:jc w:val="center"/>
        <w:rPr>
          <w:b/>
          <w:sz w:val="36"/>
        </w:rPr>
      </w:pPr>
    </w:p>
    <w:p w:rsidR="00563D2D" w:rsidRDefault="00563D2D">
      <w:pPr>
        <w:spacing w:line="360" w:lineRule="auto"/>
        <w:jc w:val="center"/>
        <w:rPr>
          <w:b/>
          <w:sz w:val="36"/>
        </w:rPr>
      </w:pPr>
    </w:p>
    <w:p w:rsidR="00563D2D" w:rsidRDefault="00563D2D">
      <w:pPr>
        <w:spacing w:line="360" w:lineRule="auto"/>
        <w:jc w:val="center"/>
        <w:rPr>
          <w:b/>
          <w:sz w:val="36"/>
        </w:rPr>
      </w:pPr>
    </w:p>
    <w:p w:rsidR="00563D2D" w:rsidRDefault="00563D2D">
      <w:pPr>
        <w:spacing w:line="360" w:lineRule="auto"/>
        <w:jc w:val="center"/>
        <w:rPr>
          <w:b/>
          <w:sz w:val="36"/>
        </w:rPr>
      </w:pPr>
    </w:p>
    <w:p w:rsidR="00563D2D" w:rsidRDefault="00563D2D">
      <w:pPr>
        <w:spacing w:line="360" w:lineRule="auto"/>
        <w:jc w:val="center"/>
        <w:rPr>
          <w:b/>
          <w:sz w:val="36"/>
        </w:rPr>
      </w:pPr>
    </w:p>
    <w:p w:rsidR="00563D2D" w:rsidRDefault="00563D2D">
      <w:pPr>
        <w:spacing w:line="360" w:lineRule="auto"/>
        <w:jc w:val="center"/>
        <w:rPr>
          <w:b/>
          <w:sz w:val="36"/>
        </w:rPr>
      </w:pPr>
    </w:p>
    <w:p w:rsidR="00563D2D" w:rsidRDefault="00563D2D">
      <w:pPr>
        <w:spacing w:line="360" w:lineRule="auto"/>
        <w:jc w:val="center"/>
        <w:rPr>
          <w:b/>
          <w:sz w:val="36"/>
        </w:rPr>
      </w:pPr>
    </w:p>
    <w:p w:rsidR="00563D2D" w:rsidRDefault="00563D2D">
      <w:pPr>
        <w:spacing w:line="360" w:lineRule="auto"/>
        <w:jc w:val="center"/>
        <w:rPr>
          <w:b/>
          <w:sz w:val="36"/>
        </w:rPr>
      </w:pPr>
    </w:p>
    <w:p w:rsidR="00563D2D" w:rsidRDefault="00563D2D">
      <w:pPr>
        <w:spacing w:line="360" w:lineRule="auto"/>
        <w:jc w:val="center"/>
        <w:rPr>
          <w:b/>
          <w:sz w:val="36"/>
        </w:rPr>
      </w:pPr>
      <w:r>
        <w:rPr>
          <w:b/>
          <w:sz w:val="36"/>
        </w:rPr>
        <w:t>基金管理人：</w:t>
      </w:r>
      <w:bookmarkEnd w:id="1"/>
      <w:bookmarkEnd w:id="2"/>
      <w:bookmarkEnd w:id="3"/>
      <w:bookmarkEnd w:id="4"/>
      <w:bookmarkEnd w:id="5"/>
      <w:r>
        <w:rPr>
          <w:b/>
          <w:sz w:val="36"/>
        </w:rPr>
        <w:t>富国基金管理有限公司</w:t>
      </w:r>
    </w:p>
    <w:p w:rsidR="00563D2D" w:rsidRDefault="00563D2D">
      <w:pPr>
        <w:spacing w:line="360" w:lineRule="auto"/>
        <w:jc w:val="center"/>
        <w:rPr>
          <w:b/>
          <w:sz w:val="36"/>
        </w:rPr>
      </w:pPr>
      <w:bookmarkStart w:id="6" w:name="_Toc139992302"/>
      <w:bookmarkStart w:id="7" w:name="_Toc139991727"/>
      <w:bookmarkStart w:id="8" w:name="_Toc123701384"/>
      <w:bookmarkStart w:id="9" w:name="_Toc123112225"/>
      <w:bookmarkStart w:id="10" w:name="_Toc123112264"/>
      <w:r>
        <w:rPr>
          <w:b/>
          <w:sz w:val="36"/>
        </w:rPr>
        <w:t>基金托管人：</w:t>
      </w:r>
      <w:bookmarkEnd w:id="6"/>
      <w:bookmarkEnd w:id="7"/>
      <w:bookmarkEnd w:id="8"/>
      <w:bookmarkEnd w:id="9"/>
      <w:bookmarkEnd w:id="10"/>
      <w:r w:rsidR="00C135DA">
        <w:rPr>
          <w:rFonts w:hint="eastAsia"/>
          <w:b/>
          <w:sz w:val="36"/>
        </w:rPr>
        <w:t>兴业银行股份有限公司</w:t>
      </w:r>
    </w:p>
    <w:p w:rsidR="00563D2D" w:rsidRDefault="00563D2D">
      <w:pPr>
        <w:spacing w:line="360" w:lineRule="auto"/>
        <w:jc w:val="center"/>
        <w:rPr>
          <w:b/>
          <w:sz w:val="36"/>
        </w:rPr>
      </w:pPr>
    </w:p>
    <w:p w:rsidR="00563D2D" w:rsidRDefault="00563D2D">
      <w:pPr>
        <w:pStyle w:val="2"/>
        <w:spacing w:before="156" w:after="156"/>
        <w:rPr>
          <w:rFonts w:hint="eastAsia"/>
        </w:rPr>
      </w:pPr>
      <w:r>
        <w:br w:type="page"/>
      </w:r>
      <w:bookmarkEnd w:id="0"/>
      <w:r w:rsidR="00C135DA">
        <w:rPr>
          <w:rFonts w:hint="eastAsia"/>
        </w:rPr>
        <w:lastRenderedPageBreak/>
        <w:t>富国中证畜牧养殖产业指数型发起式证券投资基金</w:t>
      </w:r>
    </w:p>
    <w:p w:rsidR="00563D2D" w:rsidRDefault="00563D2D">
      <w:pPr>
        <w:pStyle w:val="2"/>
        <w:spacing w:before="156" w:after="156"/>
      </w:pPr>
      <w:r>
        <w:t>基金份额发售公告</w:t>
      </w:r>
    </w:p>
    <w:p w:rsidR="00563D2D" w:rsidRDefault="00563D2D">
      <w:pPr>
        <w:pStyle w:val="2"/>
        <w:spacing w:before="156" w:after="156"/>
      </w:pPr>
      <w:r>
        <w:t>重要提示</w:t>
      </w:r>
    </w:p>
    <w:p w:rsidR="00563D2D" w:rsidRDefault="00563D2D">
      <w:pPr>
        <w:pStyle w:val="af6"/>
        <w:ind w:firstLine="480"/>
      </w:pPr>
      <w:r>
        <w:t>1</w:t>
      </w:r>
      <w:r>
        <w:t>、</w:t>
      </w:r>
      <w:r w:rsidR="00C135DA">
        <w:rPr>
          <w:rFonts w:hint="eastAsia"/>
        </w:rPr>
        <w:t>富国中证畜牧养殖产业指数型发起式证券投资基金</w:t>
      </w:r>
      <w:r>
        <w:t>（以下简称</w:t>
      </w:r>
      <w:r>
        <w:t>“</w:t>
      </w:r>
      <w:r>
        <w:t>本基金</w:t>
      </w:r>
      <w:r>
        <w:t>”</w:t>
      </w:r>
      <w:r>
        <w:t>）于</w:t>
      </w:r>
      <w:r w:rsidR="00C135DA">
        <w:rPr>
          <w:rFonts w:hint="eastAsia"/>
        </w:rPr>
        <w:t>202</w:t>
      </w:r>
      <w:r w:rsidR="00C135DA">
        <w:t>6</w:t>
      </w:r>
      <w:r>
        <w:rPr>
          <w:rFonts w:hint="eastAsia"/>
        </w:rPr>
        <w:t>年</w:t>
      </w:r>
      <w:r w:rsidR="00C135DA">
        <w:t>4</w:t>
      </w:r>
      <w:r>
        <w:rPr>
          <w:rFonts w:hint="eastAsia"/>
        </w:rPr>
        <w:t>月</w:t>
      </w:r>
      <w:r w:rsidR="00C135DA">
        <w:rPr>
          <w:rFonts w:hint="eastAsia"/>
        </w:rPr>
        <w:t>1</w:t>
      </w:r>
      <w:r w:rsidR="00C135DA">
        <w:t>0</w:t>
      </w:r>
      <w:r>
        <w:rPr>
          <w:rFonts w:hint="eastAsia"/>
        </w:rPr>
        <w:t>日</w:t>
      </w:r>
      <w:r>
        <w:t>获得中国证监会准予注册的批复（证监许可【</w:t>
      </w:r>
      <w:r w:rsidR="00C135DA">
        <w:rPr>
          <w:rFonts w:hint="eastAsia"/>
        </w:rPr>
        <w:t>202</w:t>
      </w:r>
      <w:r w:rsidR="00C135DA">
        <w:t>6</w:t>
      </w:r>
      <w:r>
        <w:t>】</w:t>
      </w:r>
      <w:r w:rsidR="00C135DA">
        <w:t>789</w:t>
      </w:r>
      <w:r>
        <w:rPr>
          <w:rFonts w:hint="eastAsia"/>
        </w:rPr>
        <w:t>号</w:t>
      </w:r>
      <w:r>
        <w:t>）。</w:t>
      </w:r>
      <w:r>
        <w:rPr>
          <w:rFonts w:hint="eastAsia"/>
        </w:rPr>
        <w:t>中国证监会对本基金募集的注册，并不表明其对本基金的投资价值和市场前景做出实质性判断或保证，也不表明投资于本基金没有风险</w:t>
      </w:r>
      <w:r>
        <w:t>。</w:t>
      </w:r>
    </w:p>
    <w:p w:rsidR="00563D2D" w:rsidRDefault="00563D2D">
      <w:pPr>
        <w:pStyle w:val="af6"/>
        <w:ind w:firstLine="480"/>
      </w:pPr>
      <w:r>
        <w:t>2</w:t>
      </w:r>
      <w:r>
        <w:t>、本基金的基金类型是</w:t>
      </w:r>
      <w:r>
        <w:rPr>
          <w:rFonts w:hint="eastAsia"/>
        </w:rPr>
        <w:t>股票型证券投资基金</w:t>
      </w:r>
      <w:r>
        <w:t>，基金运作方式是</w:t>
      </w:r>
      <w:r>
        <w:rPr>
          <w:rFonts w:hint="eastAsia"/>
        </w:rPr>
        <w:t>契约型开放式，基金存续期限为不定期</w:t>
      </w:r>
      <w:r>
        <w:t>。</w:t>
      </w:r>
    </w:p>
    <w:p w:rsidR="00563D2D" w:rsidRDefault="00563D2D">
      <w:pPr>
        <w:spacing w:line="360" w:lineRule="auto"/>
        <w:ind w:firstLineChars="200" w:firstLine="480"/>
        <w:rPr>
          <w:kern w:val="0"/>
          <w:sz w:val="24"/>
        </w:rPr>
      </w:pPr>
      <w:r>
        <w:rPr>
          <w:sz w:val="24"/>
        </w:rPr>
        <w:t>3</w:t>
      </w:r>
      <w:r>
        <w:rPr>
          <w:sz w:val="24"/>
        </w:rPr>
        <w:t>、本基金的销售机构包括直销机构和代销机构</w:t>
      </w:r>
      <w:r>
        <w:rPr>
          <w:rFonts w:hint="eastAsia"/>
          <w:sz w:val="24"/>
        </w:rPr>
        <w:t>（如有）</w:t>
      </w:r>
      <w:r>
        <w:rPr>
          <w:sz w:val="24"/>
        </w:rPr>
        <w:t>。其中直销机构是指富国基金管理有限公司（以下简称</w:t>
      </w:r>
      <w:r>
        <w:rPr>
          <w:sz w:val="24"/>
        </w:rPr>
        <w:t>“</w:t>
      </w:r>
      <w:r>
        <w:rPr>
          <w:sz w:val="24"/>
        </w:rPr>
        <w:t>本公司</w:t>
      </w:r>
      <w:r>
        <w:rPr>
          <w:sz w:val="24"/>
        </w:rPr>
        <w:t>”</w:t>
      </w:r>
      <w:r>
        <w:rPr>
          <w:sz w:val="24"/>
        </w:rPr>
        <w:t>）</w:t>
      </w:r>
      <w:r>
        <w:t>，</w:t>
      </w:r>
      <w:r>
        <w:rPr>
          <w:sz w:val="24"/>
        </w:rPr>
        <w:t>包括直销中心和网上交易系统</w:t>
      </w:r>
      <w:r>
        <w:rPr>
          <w:rFonts w:hint="eastAsia"/>
          <w:sz w:val="24"/>
        </w:rPr>
        <w:t>。</w:t>
      </w:r>
      <w:r>
        <w:rPr>
          <w:sz w:val="24"/>
        </w:rPr>
        <w:t>基金管理人可根据有关法律法规的要求，选择其它符合要求的机构代理销售本基金，并</w:t>
      </w:r>
      <w:r>
        <w:rPr>
          <w:rFonts w:hint="eastAsia"/>
          <w:sz w:val="24"/>
        </w:rPr>
        <w:t>在基金管理人网站公示</w:t>
      </w:r>
      <w:r>
        <w:rPr>
          <w:sz w:val="24"/>
        </w:rPr>
        <w:t>。</w:t>
      </w:r>
    </w:p>
    <w:p w:rsidR="00563D2D" w:rsidRDefault="00563D2D">
      <w:pPr>
        <w:spacing w:line="360" w:lineRule="auto"/>
        <w:ind w:firstLineChars="200" w:firstLine="480"/>
        <w:rPr>
          <w:sz w:val="24"/>
        </w:rPr>
      </w:pPr>
      <w:r>
        <w:rPr>
          <w:sz w:val="24"/>
        </w:rPr>
        <w:t>4</w:t>
      </w:r>
      <w:r>
        <w:rPr>
          <w:sz w:val="24"/>
        </w:rPr>
        <w:t>、本基金</w:t>
      </w:r>
      <w:r>
        <w:rPr>
          <w:rFonts w:hint="eastAsia"/>
          <w:sz w:val="24"/>
        </w:rPr>
        <w:t>将于</w:t>
      </w:r>
      <w:r w:rsidR="00BB5BB9">
        <w:rPr>
          <w:rFonts w:hint="eastAsia"/>
          <w:sz w:val="24"/>
        </w:rPr>
        <w:t>2026</w:t>
      </w:r>
      <w:r w:rsidR="00BB5BB9">
        <w:rPr>
          <w:rFonts w:hint="eastAsia"/>
          <w:sz w:val="24"/>
        </w:rPr>
        <w:t>年</w:t>
      </w:r>
      <w:r w:rsidR="00BB5BB9">
        <w:rPr>
          <w:rFonts w:hint="eastAsia"/>
          <w:sz w:val="24"/>
        </w:rPr>
        <w:t>4</w:t>
      </w:r>
      <w:r w:rsidR="00BB5BB9">
        <w:rPr>
          <w:rFonts w:hint="eastAsia"/>
          <w:sz w:val="24"/>
        </w:rPr>
        <w:t>月</w:t>
      </w:r>
      <w:r w:rsidR="00BB5BB9">
        <w:rPr>
          <w:rFonts w:hint="eastAsia"/>
          <w:sz w:val="24"/>
        </w:rPr>
        <w:t>27</w:t>
      </w:r>
      <w:r w:rsidR="00BB5BB9">
        <w:rPr>
          <w:rFonts w:hint="eastAsia"/>
          <w:sz w:val="24"/>
        </w:rPr>
        <w:t>日至</w:t>
      </w:r>
      <w:r w:rsidR="00BB5BB9">
        <w:rPr>
          <w:rFonts w:hint="eastAsia"/>
          <w:sz w:val="24"/>
        </w:rPr>
        <w:t>2026</w:t>
      </w:r>
      <w:r w:rsidR="00BB5BB9">
        <w:rPr>
          <w:rFonts w:hint="eastAsia"/>
          <w:sz w:val="24"/>
        </w:rPr>
        <w:t>年</w:t>
      </w:r>
      <w:r w:rsidR="00BB5BB9">
        <w:rPr>
          <w:rFonts w:hint="eastAsia"/>
          <w:sz w:val="24"/>
        </w:rPr>
        <w:t>5</w:t>
      </w:r>
      <w:r w:rsidR="00BB5BB9">
        <w:rPr>
          <w:rFonts w:hint="eastAsia"/>
          <w:sz w:val="24"/>
        </w:rPr>
        <w:t>月</w:t>
      </w:r>
      <w:r w:rsidR="00BB5BB9">
        <w:rPr>
          <w:rFonts w:hint="eastAsia"/>
          <w:sz w:val="24"/>
        </w:rPr>
        <w:t>15</w:t>
      </w:r>
      <w:r w:rsidR="00BB5BB9">
        <w:rPr>
          <w:rFonts w:hint="eastAsia"/>
          <w:sz w:val="24"/>
        </w:rPr>
        <w:t>日</w:t>
      </w:r>
      <w:r>
        <w:rPr>
          <w:sz w:val="24"/>
        </w:rPr>
        <w:t>通过各销售机构公开发售，基金管理人可根据募集情况适当</w:t>
      </w:r>
      <w:r>
        <w:rPr>
          <w:rFonts w:hint="eastAsia"/>
          <w:sz w:val="24"/>
        </w:rPr>
        <w:t>调整</w:t>
      </w:r>
      <w:r>
        <w:rPr>
          <w:sz w:val="24"/>
        </w:rPr>
        <w:t>本基金的募集期限并及时公告。</w:t>
      </w:r>
    </w:p>
    <w:p w:rsidR="00563D2D" w:rsidRDefault="00563D2D">
      <w:pPr>
        <w:spacing w:line="360" w:lineRule="auto"/>
        <w:ind w:firstLineChars="200" w:firstLine="480"/>
        <w:rPr>
          <w:sz w:val="24"/>
        </w:rPr>
      </w:pPr>
      <w:r>
        <w:rPr>
          <w:sz w:val="24"/>
        </w:rPr>
        <w:t>5</w:t>
      </w:r>
      <w:r>
        <w:rPr>
          <w:sz w:val="24"/>
        </w:rPr>
        <w:t>、本基金发售对象为</w:t>
      </w:r>
      <w:r w:rsidR="00B32524" w:rsidRPr="00B32524">
        <w:rPr>
          <w:rFonts w:hint="eastAsia"/>
          <w:sz w:val="24"/>
        </w:rPr>
        <w:t>符合法律法规规定的可投资于证券投资基金的个人投资者、机构投资者、合格境外投资者、发起资金</w:t>
      </w:r>
      <w:r w:rsidR="00B32524">
        <w:rPr>
          <w:rFonts w:hint="eastAsia"/>
          <w:sz w:val="24"/>
        </w:rPr>
        <w:t>提供方以及法律法规或中国证监会允许购买证券投资基金的其他投资者</w:t>
      </w:r>
      <w:r>
        <w:rPr>
          <w:rFonts w:hint="eastAsia"/>
          <w:bCs/>
          <w:sz w:val="24"/>
        </w:rPr>
        <w:t>。</w:t>
      </w:r>
    </w:p>
    <w:p w:rsidR="00563D2D" w:rsidRDefault="00563D2D">
      <w:pPr>
        <w:spacing w:line="360" w:lineRule="auto"/>
        <w:ind w:firstLineChars="200" w:firstLine="480"/>
        <w:rPr>
          <w:sz w:val="24"/>
        </w:rPr>
      </w:pPr>
      <w:r>
        <w:rPr>
          <w:sz w:val="24"/>
        </w:rPr>
        <w:t>6</w:t>
      </w:r>
      <w:r>
        <w:rPr>
          <w:sz w:val="24"/>
        </w:rPr>
        <w:t>、投资者欲认购本基金，需开立本公司基金账户。除法律法规另有规定，一个投资者只能开设和使用一个基金账户；不得非法利用他人账户或资金进行认购，也不得违规融资或帮助他人违规进行认购。已经持有本公司基金账户的投资者到非原开户机构办理认购的，不需再次开立基金账户，可凭富国基金账号到非原开户机构办理账户登记，然后再认购本基金。</w:t>
      </w:r>
    </w:p>
    <w:p w:rsidR="00B32524" w:rsidRPr="00B32524" w:rsidRDefault="00563D2D" w:rsidP="00B32524">
      <w:pPr>
        <w:spacing w:line="360" w:lineRule="auto"/>
        <w:ind w:firstLineChars="200" w:firstLine="480"/>
        <w:rPr>
          <w:rFonts w:hint="eastAsia"/>
          <w:sz w:val="24"/>
        </w:rPr>
      </w:pPr>
      <w:r>
        <w:rPr>
          <w:sz w:val="24"/>
        </w:rPr>
        <w:t>7</w:t>
      </w:r>
      <w:r>
        <w:rPr>
          <w:sz w:val="24"/>
        </w:rPr>
        <w:t>、</w:t>
      </w:r>
      <w:r w:rsidR="00B32524" w:rsidRPr="00B32524">
        <w:rPr>
          <w:rFonts w:hint="eastAsia"/>
          <w:sz w:val="24"/>
        </w:rPr>
        <w:t>基金管理人规定，本基金的认购金额起点为人民币</w:t>
      </w:r>
      <w:r w:rsidR="00B32524" w:rsidRPr="00B32524">
        <w:rPr>
          <w:rFonts w:hint="eastAsia"/>
          <w:sz w:val="24"/>
        </w:rPr>
        <w:t>10</w:t>
      </w:r>
      <w:r w:rsidR="00B32524" w:rsidRPr="00B32524">
        <w:rPr>
          <w:rFonts w:hint="eastAsia"/>
          <w:sz w:val="24"/>
        </w:rPr>
        <w:t>元。</w:t>
      </w:r>
    </w:p>
    <w:p w:rsidR="00B32524" w:rsidRPr="00B32524" w:rsidRDefault="00B32524" w:rsidP="00B32524">
      <w:pPr>
        <w:spacing w:line="360" w:lineRule="auto"/>
        <w:ind w:firstLineChars="200" w:firstLine="480"/>
        <w:rPr>
          <w:rFonts w:hint="eastAsia"/>
          <w:sz w:val="24"/>
        </w:rPr>
      </w:pPr>
      <w:r w:rsidRPr="00B32524">
        <w:rPr>
          <w:rFonts w:hint="eastAsia"/>
          <w:sz w:val="24"/>
        </w:rPr>
        <w:t>投资者通过销售机构认购本基金时，除需满足基金管理人最低认购金额限制外，当销售机构设定的最低金额高于上述金额限制时，投资者还应遵循相关销售机构的业务规定。</w:t>
      </w:r>
    </w:p>
    <w:p w:rsidR="00563D2D" w:rsidRDefault="00B32524" w:rsidP="00912A7C">
      <w:pPr>
        <w:spacing w:line="360" w:lineRule="auto"/>
        <w:ind w:firstLineChars="200" w:firstLine="480"/>
        <w:rPr>
          <w:rFonts w:hint="eastAsia"/>
          <w:sz w:val="24"/>
        </w:rPr>
      </w:pPr>
      <w:r w:rsidRPr="00B32524">
        <w:rPr>
          <w:rFonts w:hint="eastAsia"/>
          <w:sz w:val="24"/>
        </w:rPr>
        <w:t>基金管理人直销网点接受首次认购申请的最低金额为单笔人民币</w:t>
      </w:r>
      <w:r w:rsidRPr="00B32524">
        <w:rPr>
          <w:rFonts w:hint="eastAsia"/>
          <w:sz w:val="24"/>
        </w:rPr>
        <w:t>50,000</w:t>
      </w:r>
      <w:r w:rsidRPr="00B32524">
        <w:rPr>
          <w:rFonts w:hint="eastAsia"/>
          <w:sz w:val="24"/>
        </w:rPr>
        <w:t>元，追加认购的最低金额为单笔人民币</w:t>
      </w:r>
      <w:r w:rsidRPr="00B32524">
        <w:rPr>
          <w:rFonts w:hint="eastAsia"/>
          <w:sz w:val="24"/>
        </w:rPr>
        <w:t>20,000</w:t>
      </w:r>
      <w:r w:rsidRPr="00B32524">
        <w:rPr>
          <w:rFonts w:hint="eastAsia"/>
          <w:sz w:val="24"/>
        </w:rPr>
        <w:t>元。已在直销网点有认购过本基金管理人管理的其他基金记录的投资者不受首次认购最低金额的限制，本基金直销网点单笔最低认购金额可由基金管理人酌情调整；通过基金管理人网上交易系统办理基金认购业务的不受直销网点单笔认购最低金额的限制，首次单笔最低认购金额为人民币</w:t>
      </w:r>
      <w:r w:rsidRPr="00B32524">
        <w:rPr>
          <w:rFonts w:hint="eastAsia"/>
          <w:sz w:val="24"/>
        </w:rPr>
        <w:t>10</w:t>
      </w:r>
      <w:r w:rsidRPr="00B32524">
        <w:rPr>
          <w:rFonts w:hint="eastAsia"/>
          <w:sz w:val="24"/>
        </w:rPr>
        <w:t>元，追加认购的单笔最低认购金额为人民币</w:t>
      </w:r>
      <w:r w:rsidRPr="00B32524">
        <w:rPr>
          <w:rFonts w:hint="eastAsia"/>
          <w:sz w:val="24"/>
        </w:rPr>
        <w:t>10</w:t>
      </w:r>
      <w:r w:rsidRPr="00B32524">
        <w:rPr>
          <w:rFonts w:hint="eastAsia"/>
          <w:sz w:val="24"/>
        </w:rPr>
        <w:t>元。</w:t>
      </w:r>
    </w:p>
    <w:p w:rsidR="00563D2D" w:rsidRDefault="00563D2D">
      <w:pPr>
        <w:spacing w:line="360" w:lineRule="auto"/>
        <w:ind w:firstLineChars="200" w:firstLine="480"/>
        <w:rPr>
          <w:sz w:val="24"/>
        </w:rPr>
      </w:pPr>
      <w:r>
        <w:rPr>
          <w:rFonts w:hint="eastAsia"/>
          <w:sz w:val="24"/>
        </w:rPr>
        <w:t>投资者在募集期内可以多次认购基金份额，</w:t>
      </w:r>
      <w:r w:rsidR="00043CBA" w:rsidRPr="00043CBA">
        <w:rPr>
          <w:rFonts w:hint="eastAsia"/>
          <w:sz w:val="24"/>
        </w:rPr>
        <w:t>通过代销机构认购</w:t>
      </w:r>
      <w:r>
        <w:rPr>
          <w:rFonts w:hint="eastAsia"/>
          <w:sz w:val="24"/>
        </w:rPr>
        <w:t>A</w:t>
      </w:r>
      <w:r>
        <w:rPr>
          <w:rFonts w:hint="eastAsia"/>
          <w:sz w:val="24"/>
        </w:rPr>
        <w:t>类基金份额的认购费用按每笔</w:t>
      </w:r>
      <w:r>
        <w:rPr>
          <w:rFonts w:hint="eastAsia"/>
          <w:sz w:val="24"/>
        </w:rPr>
        <w:t>A</w:t>
      </w:r>
      <w:r>
        <w:rPr>
          <w:rFonts w:hint="eastAsia"/>
          <w:sz w:val="24"/>
        </w:rPr>
        <w:t>类基金份额的认购申请单独计算，但已受理的认购申请不允许撤销。</w:t>
      </w:r>
    </w:p>
    <w:p w:rsidR="00563D2D" w:rsidRDefault="00563D2D">
      <w:pPr>
        <w:spacing w:line="360" w:lineRule="auto"/>
        <w:ind w:firstLineChars="200" w:firstLine="480"/>
        <w:rPr>
          <w:rFonts w:hint="eastAsia"/>
          <w:sz w:val="24"/>
        </w:rPr>
      </w:pPr>
      <w:r>
        <w:rPr>
          <w:sz w:val="24"/>
        </w:rPr>
        <w:t>8</w:t>
      </w:r>
      <w:r>
        <w:rPr>
          <w:sz w:val="24"/>
        </w:rPr>
        <w:t>、</w:t>
      </w:r>
      <w:r>
        <w:rPr>
          <w:rFonts w:hint="eastAsia"/>
          <w:sz w:val="24"/>
        </w:rPr>
        <w:t>募集规模及规模控制方案</w:t>
      </w:r>
    </w:p>
    <w:p w:rsidR="00563D2D" w:rsidRDefault="00563D2D">
      <w:pPr>
        <w:spacing w:line="360" w:lineRule="auto"/>
        <w:ind w:firstLineChars="200" w:firstLine="480"/>
        <w:rPr>
          <w:rFonts w:hint="eastAsia"/>
          <w:sz w:val="24"/>
        </w:rPr>
      </w:pPr>
      <w:r>
        <w:rPr>
          <w:rFonts w:hint="eastAsia"/>
          <w:sz w:val="24"/>
        </w:rPr>
        <w:t>本基金在募集期内最终确认的有效认购总金额拟不超过</w:t>
      </w:r>
      <w:r>
        <w:rPr>
          <w:rFonts w:hint="eastAsia"/>
          <w:sz w:val="24"/>
        </w:rPr>
        <w:t>80</w:t>
      </w:r>
      <w:r>
        <w:rPr>
          <w:rFonts w:hint="eastAsia"/>
          <w:sz w:val="24"/>
        </w:rPr>
        <w:t>亿元人民币（不包括募集期利息）。基金管理人根据认购的情况可适当调整募集时间，并及时公告，但最长不超过法定募集期限。基金募集过程中募集规模达到</w:t>
      </w:r>
      <w:r>
        <w:rPr>
          <w:rFonts w:hint="eastAsia"/>
          <w:sz w:val="24"/>
        </w:rPr>
        <w:t>80</w:t>
      </w:r>
      <w:r>
        <w:rPr>
          <w:rFonts w:hint="eastAsia"/>
          <w:sz w:val="24"/>
        </w:rPr>
        <w:t>亿元的，本基金结束募集。</w:t>
      </w:r>
    </w:p>
    <w:p w:rsidR="00563D2D" w:rsidRDefault="00563D2D">
      <w:pPr>
        <w:spacing w:line="360" w:lineRule="auto"/>
        <w:ind w:firstLineChars="200" w:firstLine="480"/>
        <w:rPr>
          <w:rFonts w:hint="eastAsia"/>
          <w:sz w:val="24"/>
        </w:rPr>
      </w:pPr>
      <w:r>
        <w:rPr>
          <w:rFonts w:hint="eastAsia"/>
          <w:sz w:val="24"/>
        </w:rPr>
        <w:t>在募集期内任何一天（含第一天）当日募集截止时间后认购申请金额超过</w:t>
      </w:r>
      <w:r>
        <w:rPr>
          <w:rFonts w:hint="eastAsia"/>
          <w:sz w:val="24"/>
        </w:rPr>
        <w:t>80</w:t>
      </w:r>
      <w:r>
        <w:rPr>
          <w:rFonts w:hint="eastAsia"/>
          <w:sz w:val="24"/>
        </w:rPr>
        <w:t>亿元，基金管理人将采取末日比例确认的方式实现规模的有效控制。当发生末日比例确认时，基金管理人将及时公告比例确认情况与结果。未确认部分的认购款项将在募集期结束后退还给投资者，由此产生的损失由投资人自行承担。</w:t>
      </w:r>
    </w:p>
    <w:p w:rsidR="00563D2D" w:rsidRDefault="00563D2D">
      <w:pPr>
        <w:spacing w:line="360" w:lineRule="auto"/>
        <w:ind w:firstLineChars="200" w:firstLine="480"/>
        <w:rPr>
          <w:sz w:val="24"/>
        </w:rPr>
      </w:pPr>
      <w:r>
        <w:rPr>
          <w:rFonts w:hint="eastAsia"/>
          <w:sz w:val="24"/>
        </w:rPr>
        <w:t>当发生部分确认时，投资者认购费率按照认购申请金额所对应的费率计算，认购申请确认金额不受认购最低限额的限制。最终认购申请确认结果以本基金登记机构的计算并确认的结果为准。</w:t>
      </w:r>
    </w:p>
    <w:p w:rsidR="00563D2D" w:rsidRDefault="00563D2D">
      <w:pPr>
        <w:spacing w:line="360" w:lineRule="auto"/>
        <w:ind w:firstLineChars="200" w:firstLine="480"/>
        <w:rPr>
          <w:rFonts w:hint="eastAsia"/>
          <w:sz w:val="24"/>
        </w:rPr>
      </w:pPr>
      <w:r>
        <w:rPr>
          <w:rFonts w:hint="eastAsia"/>
          <w:sz w:val="24"/>
        </w:rPr>
        <w:t>基金管理人可以对募集规模的上限进行调整，具体限制请参见相关公告。</w:t>
      </w:r>
    </w:p>
    <w:p w:rsidR="00043CBA" w:rsidRDefault="00563D2D">
      <w:pPr>
        <w:spacing w:line="360" w:lineRule="auto"/>
        <w:ind w:firstLineChars="200" w:firstLine="480"/>
        <w:rPr>
          <w:sz w:val="24"/>
        </w:rPr>
      </w:pPr>
      <w:r>
        <w:rPr>
          <w:sz w:val="24"/>
        </w:rPr>
        <w:t>9</w:t>
      </w:r>
      <w:r>
        <w:rPr>
          <w:rFonts w:hint="eastAsia"/>
          <w:sz w:val="24"/>
        </w:rPr>
        <w:t>、销售机构（指代销机构和</w:t>
      </w:r>
      <w:r>
        <w:rPr>
          <w:rFonts w:hint="eastAsia"/>
          <w:sz w:val="24"/>
        </w:rPr>
        <w:t>/</w:t>
      </w:r>
      <w:r>
        <w:rPr>
          <w:rFonts w:hint="eastAsia"/>
          <w:sz w:val="24"/>
        </w:rPr>
        <w:t>或直销机构）对认购申请的受理并不表示对该申请的成功确认，而仅代表销售机构确实接收到认购申请。认购申请的确认应以登记机构（本基金的登记机构由本公司担任）的确认</w:t>
      </w:r>
      <w:r w:rsidR="00043CBA">
        <w:rPr>
          <w:sz w:val="24"/>
        </w:rPr>
        <w:t>结果</w:t>
      </w:r>
      <w:r>
        <w:rPr>
          <w:rFonts w:hint="eastAsia"/>
          <w:sz w:val="24"/>
        </w:rPr>
        <w:t>为准。</w:t>
      </w:r>
      <w:r w:rsidR="00043CBA">
        <w:rPr>
          <w:rFonts w:hint="eastAsia"/>
          <w:sz w:val="24"/>
        </w:rPr>
        <w:t>对于认购申请及认购份额的确认情况，投资者应及时查询并妥善行使合法权利。</w:t>
      </w:r>
    </w:p>
    <w:p w:rsidR="00563D2D" w:rsidRDefault="00563D2D">
      <w:pPr>
        <w:spacing w:line="360" w:lineRule="auto"/>
        <w:ind w:firstLineChars="200" w:firstLine="480"/>
        <w:rPr>
          <w:sz w:val="24"/>
        </w:rPr>
      </w:pPr>
      <w:r>
        <w:rPr>
          <w:sz w:val="24"/>
        </w:rPr>
        <w:t>10</w:t>
      </w:r>
      <w:r>
        <w:rPr>
          <w:sz w:val="24"/>
        </w:rPr>
        <w:t>、本公告仅对</w:t>
      </w:r>
      <w:r w:rsidR="00C135DA">
        <w:rPr>
          <w:rFonts w:hint="eastAsia"/>
          <w:sz w:val="24"/>
        </w:rPr>
        <w:t>富国中证畜牧养殖产业指数型发起式证券投资基金</w:t>
      </w:r>
      <w:r>
        <w:rPr>
          <w:sz w:val="24"/>
        </w:rPr>
        <w:t>发售的有关事项和规定予以说明。投资者欲了解</w:t>
      </w:r>
      <w:r>
        <w:rPr>
          <w:rFonts w:hint="eastAsia"/>
          <w:sz w:val="24"/>
        </w:rPr>
        <w:t>本</w:t>
      </w:r>
      <w:r>
        <w:rPr>
          <w:sz w:val="24"/>
        </w:rPr>
        <w:t>基金的详细情况，请详细</w:t>
      </w:r>
      <w:r>
        <w:rPr>
          <w:rFonts w:hint="eastAsia"/>
          <w:sz w:val="24"/>
        </w:rPr>
        <w:t>阅读同时发布在中国证监会基金电子披露网站（</w:t>
      </w:r>
      <w:r>
        <w:rPr>
          <w:rFonts w:hint="eastAsia"/>
          <w:sz w:val="24"/>
        </w:rPr>
        <w:t>http://eid.csrc.gov.cn/fund</w:t>
      </w:r>
      <w:r>
        <w:rPr>
          <w:rFonts w:hint="eastAsia"/>
          <w:sz w:val="24"/>
        </w:rPr>
        <w:t>）和本公司网站（</w:t>
      </w:r>
      <w:r>
        <w:rPr>
          <w:rFonts w:hint="eastAsia"/>
          <w:sz w:val="24"/>
        </w:rPr>
        <w:t>www.fullgoal.com.cn</w:t>
      </w:r>
      <w:r>
        <w:rPr>
          <w:rFonts w:hint="eastAsia"/>
          <w:sz w:val="24"/>
        </w:rPr>
        <w:t>）的基金合同全文和招募说明书全文</w:t>
      </w:r>
      <w:r>
        <w:rPr>
          <w:sz w:val="24"/>
        </w:rPr>
        <w:t>，投资者亦可通过本公司网站下载基金业务申请表格和了解本基金募集相关事宜。</w:t>
      </w:r>
    </w:p>
    <w:p w:rsidR="00563D2D" w:rsidRDefault="00563D2D">
      <w:pPr>
        <w:spacing w:line="360" w:lineRule="auto"/>
        <w:ind w:firstLineChars="200" w:firstLine="480"/>
        <w:rPr>
          <w:sz w:val="24"/>
        </w:rPr>
      </w:pPr>
      <w:r>
        <w:rPr>
          <w:sz w:val="24"/>
        </w:rPr>
        <w:t>11</w:t>
      </w:r>
      <w:r>
        <w:rPr>
          <w:sz w:val="24"/>
        </w:rPr>
        <w:t>、代销机构</w:t>
      </w:r>
      <w:r>
        <w:rPr>
          <w:rFonts w:hint="eastAsia"/>
          <w:sz w:val="24"/>
        </w:rPr>
        <w:t>（如有）</w:t>
      </w:r>
      <w:r>
        <w:rPr>
          <w:sz w:val="24"/>
        </w:rPr>
        <w:t>的代销网点以及开户认购等事项的详细情况请向各代销机构咨询。</w:t>
      </w:r>
    </w:p>
    <w:p w:rsidR="00563D2D" w:rsidRDefault="00563D2D">
      <w:pPr>
        <w:spacing w:line="360" w:lineRule="auto"/>
        <w:ind w:firstLineChars="200" w:firstLine="480"/>
        <w:rPr>
          <w:sz w:val="24"/>
        </w:rPr>
      </w:pPr>
      <w:r>
        <w:rPr>
          <w:sz w:val="24"/>
        </w:rPr>
        <w:t>12</w:t>
      </w:r>
      <w:r>
        <w:rPr>
          <w:sz w:val="24"/>
        </w:rPr>
        <w:t>、投资者可拨打本公司的客户服务电话</w:t>
      </w:r>
      <w:r>
        <w:rPr>
          <w:sz w:val="24"/>
        </w:rPr>
        <w:t>95105686</w:t>
      </w:r>
      <w:r>
        <w:rPr>
          <w:sz w:val="24"/>
        </w:rPr>
        <w:t>、</w:t>
      </w:r>
      <w:r>
        <w:rPr>
          <w:sz w:val="24"/>
        </w:rPr>
        <w:t>400-888-0688</w:t>
      </w:r>
      <w:r>
        <w:rPr>
          <w:sz w:val="24"/>
        </w:rPr>
        <w:t>咨询购买事宜。</w:t>
      </w:r>
    </w:p>
    <w:p w:rsidR="00563D2D" w:rsidRDefault="00563D2D">
      <w:pPr>
        <w:spacing w:line="360" w:lineRule="auto"/>
        <w:ind w:firstLineChars="200" w:firstLine="480"/>
        <w:rPr>
          <w:sz w:val="24"/>
        </w:rPr>
      </w:pPr>
      <w:r>
        <w:rPr>
          <w:sz w:val="24"/>
        </w:rPr>
        <w:t>13</w:t>
      </w:r>
      <w:r>
        <w:rPr>
          <w:sz w:val="24"/>
        </w:rPr>
        <w:t>、基金管理人可综合各种情况对募集安排做适当调整。</w:t>
      </w:r>
    </w:p>
    <w:p w:rsidR="00563D2D" w:rsidRDefault="00563D2D">
      <w:pPr>
        <w:spacing w:line="360" w:lineRule="auto"/>
        <w:ind w:firstLineChars="200" w:firstLine="480"/>
        <w:rPr>
          <w:sz w:val="24"/>
        </w:rPr>
      </w:pPr>
      <w:r>
        <w:rPr>
          <w:sz w:val="24"/>
        </w:rPr>
        <w:t>14</w:t>
      </w:r>
      <w:r>
        <w:rPr>
          <w:sz w:val="24"/>
        </w:rPr>
        <w:t>、</w:t>
      </w:r>
      <w:r w:rsidR="00B32524" w:rsidRPr="00B32524">
        <w:rPr>
          <w:rFonts w:hint="eastAsia"/>
          <w:sz w:val="24"/>
        </w:rPr>
        <w:t>本基金为股票型基金，预期风险与预期收益高于混合型基金、债券型基金与货币市场基金。本基金为指数基金，具有与标的指数以及标的指数所代表的股票市场相似的风险收益特征。</w:t>
      </w:r>
    </w:p>
    <w:p w:rsidR="00563D2D" w:rsidRDefault="00563D2D">
      <w:pPr>
        <w:spacing w:line="360" w:lineRule="auto"/>
        <w:ind w:firstLineChars="200" w:firstLine="480"/>
        <w:rPr>
          <w:sz w:val="24"/>
        </w:rPr>
      </w:pPr>
      <w:r>
        <w:rPr>
          <w:sz w:val="24"/>
        </w:rPr>
        <w:t>15</w:t>
      </w:r>
      <w:r>
        <w:rPr>
          <w:sz w:val="24"/>
        </w:rPr>
        <w:t>、风险提示</w:t>
      </w:r>
    </w:p>
    <w:p w:rsidR="00563D2D" w:rsidRDefault="007D0C34">
      <w:pPr>
        <w:spacing w:line="360" w:lineRule="auto"/>
        <w:ind w:firstLineChars="200" w:firstLine="480"/>
        <w:rPr>
          <w:sz w:val="24"/>
        </w:rPr>
      </w:pPr>
      <w:r w:rsidRPr="007D0C34">
        <w:rPr>
          <w:rFonts w:hint="eastAsia"/>
          <w:sz w:val="24"/>
        </w:rPr>
        <w:t>本基金投资于证券、期货市场，基金净值会因为证券、期货市场波动等因素产生波动，投资本基金风险详见招募说明书“风险揭示”章节，包括：证券市场整体环境引发的系统性风险，个别证券特有的非系统性风险，大量赎回或暴跌导致的流动性风险，基金投资过程中产生的操作风险，因交收违约和投资债券引发的信用风险，指数化投资的风险，基金投资对象与投资策略引致的特有风险等等。</w:t>
      </w:r>
      <w:r w:rsidR="00563D2D">
        <w:rPr>
          <w:rFonts w:hint="eastAsia"/>
          <w:sz w:val="24"/>
        </w:rPr>
        <w:t>基金管理人提醒投资者基金投资的“买者自负”原则，在投资者作出投资决策后，基金运营状况与基金净值变化引致的投资风险，由投资者自行负责。</w:t>
      </w:r>
    </w:p>
    <w:p w:rsidR="00563D2D" w:rsidRDefault="00563D2D">
      <w:pPr>
        <w:spacing w:line="360" w:lineRule="auto"/>
        <w:ind w:firstLineChars="200" w:firstLine="480"/>
        <w:rPr>
          <w:rFonts w:hint="eastAsia"/>
          <w:sz w:val="24"/>
        </w:rPr>
      </w:pPr>
      <w:r>
        <w:rPr>
          <w:sz w:val="24"/>
        </w:rPr>
        <w:t>投资者在获得基金投资收益的同时，亦承担基金投资中出现的各类风险，可能包括：</w:t>
      </w:r>
      <w:r>
        <w:rPr>
          <w:rFonts w:hint="eastAsia"/>
          <w:sz w:val="24"/>
        </w:rPr>
        <w:t>市场风险、信用风险、流动性风险、操作风险、管理风险、合规性风险、本基金法律文件风险收益特征表述与销售机构基金风险评价可能不一致的风险</w:t>
      </w:r>
      <w:r w:rsidR="00912A7C">
        <w:rPr>
          <w:rFonts w:hint="eastAsia"/>
          <w:sz w:val="24"/>
        </w:rPr>
        <w:t>、</w:t>
      </w:r>
      <w:r w:rsidR="00912A7C" w:rsidRPr="00912A7C">
        <w:rPr>
          <w:rFonts w:hint="eastAsia"/>
          <w:sz w:val="24"/>
        </w:rPr>
        <w:t>基金管理人职责终止风险</w:t>
      </w:r>
      <w:r w:rsidR="00912A7C">
        <w:rPr>
          <w:rFonts w:hint="eastAsia"/>
          <w:sz w:val="24"/>
        </w:rPr>
        <w:t>、其他风险</w:t>
      </w:r>
      <w:r>
        <w:rPr>
          <w:sz w:val="24"/>
        </w:rPr>
        <w:t>及本基金的特有风险等。本基金可能面临的特有风险包括：</w:t>
      </w:r>
      <w:r>
        <w:rPr>
          <w:rFonts w:hint="eastAsia"/>
          <w:sz w:val="24"/>
        </w:rPr>
        <w:t>指数化投资的风险、股指期货、国债期货的投资风险、股票期权的投资风险、资产支持证券的投资风险、参与融资业务的特殊风险、基金参与转融通证券出借业务的风险、存托凭证投资风险、</w:t>
      </w:r>
      <w:r w:rsidR="00912A7C">
        <w:rPr>
          <w:rFonts w:hint="eastAsia"/>
          <w:sz w:val="24"/>
        </w:rPr>
        <w:t>投资科创板股票的风险、</w:t>
      </w:r>
      <w:r w:rsidR="00912A7C" w:rsidRPr="00912A7C">
        <w:rPr>
          <w:rFonts w:hint="eastAsia"/>
          <w:sz w:val="24"/>
        </w:rPr>
        <w:t>北京证券交易所股票投资风险</w:t>
      </w:r>
      <w:r w:rsidR="00912A7C">
        <w:rPr>
          <w:rFonts w:hint="eastAsia"/>
          <w:sz w:val="24"/>
        </w:rPr>
        <w:t>、</w:t>
      </w:r>
      <w:r>
        <w:rPr>
          <w:rFonts w:hint="eastAsia"/>
          <w:sz w:val="24"/>
        </w:rPr>
        <w:t>终止清盘风险等。</w:t>
      </w:r>
    </w:p>
    <w:p w:rsidR="00946090" w:rsidRDefault="00946090">
      <w:pPr>
        <w:spacing w:line="360" w:lineRule="auto"/>
        <w:ind w:firstLineChars="200" w:firstLine="480"/>
        <w:rPr>
          <w:sz w:val="24"/>
        </w:rPr>
      </w:pPr>
      <w:r w:rsidRPr="00946090">
        <w:rPr>
          <w:rFonts w:hint="eastAsia"/>
          <w:sz w:val="24"/>
        </w:rPr>
        <w:t>本基金可投资存托凭证。存托凭证是新证券品种，若本基金投资存托凭证的，在承担境内上市交易股票投资的共同风险外，还将承担与存托凭证、创新企业发行、境外发行人以及交易机制相关的特有风险。</w:t>
      </w:r>
    </w:p>
    <w:p w:rsidR="00912A7C" w:rsidRDefault="00912A7C">
      <w:pPr>
        <w:spacing w:line="360" w:lineRule="auto"/>
        <w:ind w:firstLineChars="200" w:firstLine="480"/>
        <w:rPr>
          <w:rFonts w:hint="eastAsia"/>
          <w:sz w:val="24"/>
        </w:rPr>
      </w:pPr>
      <w:r w:rsidRPr="00912A7C">
        <w:rPr>
          <w:rFonts w:hint="eastAsia"/>
          <w:sz w:val="24"/>
        </w:rPr>
        <w:t>本基金可投资于科创板股票，若本基金投资于科创板股票，会面临科创板机制下因投资标的、市场制度以及交易规则等差异带来的特有风险，包括但不限于科创板上市公司股票价格波动较大的风险、流动性风险、退市风险等。</w:t>
      </w:r>
    </w:p>
    <w:p w:rsidR="00912A7C" w:rsidRDefault="00912A7C">
      <w:pPr>
        <w:spacing w:line="360" w:lineRule="auto"/>
        <w:ind w:firstLineChars="200" w:firstLine="480"/>
        <w:rPr>
          <w:rFonts w:hint="eastAsia"/>
          <w:sz w:val="24"/>
        </w:rPr>
      </w:pPr>
      <w:r w:rsidRPr="00912A7C">
        <w:rPr>
          <w:rFonts w:hint="eastAsia"/>
          <w:sz w:val="24"/>
        </w:rPr>
        <w:t>本基金如投资于北京证券交易所股票，将承担因投资标的、市场制度以及交易规则等差异带来的特有风险。</w:t>
      </w:r>
    </w:p>
    <w:p w:rsidR="00563D2D" w:rsidRDefault="00563D2D">
      <w:pPr>
        <w:spacing w:line="360" w:lineRule="auto"/>
        <w:ind w:firstLineChars="200" w:firstLine="480"/>
        <w:rPr>
          <w:bCs/>
          <w:sz w:val="24"/>
        </w:rPr>
      </w:pPr>
      <w:r>
        <w:rPr>
          <w:rFonts w:hint="eastAsia"/>
          <w:bCs/>
          <w:sz w:val="24"/>
        </w:rPr>
        <w:t>完整的风险揭示内容请查阅本基金招募说明书“风险揭示”章节</w:t>
      </w:r>
      <w:r>
        <w:rPr>
          <w:bCs/>
          <w:sz w:val="24"/>
        </w:rPr>
        <w:t>。</w:t>
      </w:r>
    </w:p>
    <w:p w:rsidR="00563D2D" w:rsidRDefault="00563D2D">
      <w:pPr>
        <w:spacing w:line="360" w:lineRule="auto"/>
        <w:ind w:firstLineChars="200" w:firstLine="480"/>
        <w:rPr>
          <w:sz w:val="24"/>
        </w:rPr>
      </w:pPr>
      <w:r>
        <w:rPr>
          <w:sz w:val="24"/>
        </w:rPr>
        <w:t>16</w:t>
      </w:r>
      <w:r>
        <w:rPr>
          <w:sz w:val="24"/>
        </w:rPr>
        <w:t>、</w:t>
      </w:r>
      <w:r>
        <w:rPr>
          <w:rFonts w:hint="eastAsia"/>
          <w:sz w:val="24"/>
        </w:rPr>
        <w:t>基金的过往业绩并不预示其未来表现，基金管理人管理的其他基金的业绩并不构成对本基金业绩表现的保证。基金管理人依照恪尽职守、诚实信用、谨慎勤勉的原则管理和运用基金财产，但由于证券、期货投资具有一定的风险，因此既不保证投资本基金一定盈利，也不保证基金份额持有人的最低收益。</w:t>
      </w:r>
    </w:p>
    <w:p w:rsidR="00563D2D" w:rsidRDefault="00563D2D">
      <w:pPr>
        <w:pStyle w:val="2"/>
        <w:spacing w:before="156" w:after="156"/>
      </w:pPr>
      <w:r>
        <w:br w:type="page"/>
      </w:r>
      <w:r>
        <w:t>一、本次募集基本情况</w:t>
      </w:r>
    </w:p>
    <w:p w:rsidR="00563D2D" w:rsidRDefault="00563D2D">
      <w:pPr>
        <w:spacing w:line="360" w:lineRule="auto"/>
        <w:rPr>
          <w:b/>
          <w:sz w:val="24"/>
        </w:rPr>
      </w:pPr>
    </w:p>
    <w:p w:rsidR="00563D2D" w:rsidRDefault="00563D2D">
      <w:pPr>
        <w:spacing w:line="360" w:lineRule="auto"/>
        <w:ind w:firstLineChars="200" w:firstLine="482"/>
        <w:rPr>
          <w:b/>
          <w:sz w:val="24"/>
        </w:rPr>
      </w:pPr>
      <w:r>
        <w:rPr>
          <w:b/>
          <w:sz w:val="24"/>
        </w:rPr>
        <w:t>1</w:t>
      </w:r>
      <w:r>
        <w:rPr>
          <w:b/>
          <w:sz w:val="24"/>
        </w:rPr>
        <w:t>、基金名称</w:t>
      </w:r>
    </w:p>
    <w:p w:rsidR="00563D2D" w:rsidRDefault="00C135DA">
      <w:pPr>
        <w:spacing w:line="360" w:lineRule="auto"/>
        <w:ind w:firstLineChars="200" w:firstLine="480"/>
        <w:rPr>
          <w:rFonts w:hint="eastAsia"/>
          <w:sz w:val="24"/>
        </w:rPr>
      </w:pPr>
      <w:r>
        <w:rPr>
          <w:rFonts w:hint="eastAsia"/>
          <w:sz w:val="24"/>
        </w:rPr>
        <w:t>富国中证畜牧养殖产业指数型发起式证券投资基金</w:t>
      </w:r>
    </w:p>
    <w:p w:rsidR="00563D2D" w:rsidRDefault="00563D2D">
      <w:pPr>
        <w:spacing w:line="360" w:lineRule="auto"/>
        <w:ind w:firstLineChars="200" w:firstLine="482"/>
        <w:rPr>
          <w:b/>
          <w:sz w:val="24"/>
        </w:rPr>
      </w:pPr>
      <w:r>
        <w:rPr>
          <w:b/>
          <w:sz w:val="24"/>
        </w:rPr>
        <w:t>2</w:t>
      </w:r>
      <w:r>
        <w:rPr>
          <w:b/>
          <w:sz w:val="24"/>
        </w:rPr>
        <w:t>、基金简称和代码</w:t>
      </w:r>
    </w:p>
    <w:p w:rsidR="00563D2D" w:rsidRDefault="00563D2D">
      <w:pPr>
        <w:spacing w:line="360" w:lineRule="auto"/>
        <w:ind w:firstLineChars="200" w:firstLine="480"/>
        <w:rPr>
          <w:rFonts w:hint="eastAsia"/>
          <w:sz w:val="24"/>
        </w:rPr>
      </w:pPr>
      <w:r>
        <w:rPr>
          <w:sz w:val="24"/>
        </w:rPr>
        <w:t>基金简称：</w:t>
      </w:r>
      <w:r w:rsidR="007D0C34" w:rsidRPr="007D0C34">
        <w:rPr>
          <w:rFonts w:hint="eastAsia"/>
          <w:sz w:val="24"/>
        </w:rPr>
        <w:t>富国中证畜牧养殖产业指数发起式</w:t>
      </w:r>
    </w:p>
    <w:p w:rsidR="00563D2D" w:rsidRDefault="00563D2D">
      <w:pPr>
        <w:spacing w:line="360" w:lineRule="auto"/>
        <w:ind w:firstLineChars="200" w:firstLine="480"/>
        <w:rPr>
          <w:sz w:val="24"/>
        </w:rPr>
      </w:pPr>
      <w:r>
        <w:rPr>
          <w:sz w:val="24"/>
        </w:rPr>
        <w:t>A</w:t>
      </w:r>
      <w:r>
        <w:rPr>
          <w:sz w:val="24"/>
        </w:rPr>
        <w:t>类份额基金代码：</w:t>
      </w:r>
      <w:r w:rsidR="00FA2CB8" w:rsidRPr="00FA2CB8">
        <w:rPr>
          <w:sz w:val="24"/>
        </w:rPr>
        <w:t>027287</w:t>
      </w:r>
    </w:p>
    <w:p w:rsidR="00563D2D" w:rsidRDefault="00563D2D">
      <w:pPr>
        <w:spacing w:line="360" w:lineRule="auto"/>
        <w:ind w:firstLineChars="200" w:firstLine="480"/>
        <w:rPr>
          <w:sz w:val="24"/>
        </w:rPr>
      </w:pPr>
      <w:r>
        <w:rPr>
          <w:sz w:val="24"/>
        </w:rPr>
        <w:t>C</w:t>
      </w:r>
      <w:r>
        <w:rPr>
          <w:sz w:val="24"/>
        </w:rPr>
        <w:t>类份额基金代码：</w:t>
      </w:r>
      <w:r w:rsidR="00FA2CB8" w:rsidRPr="00FA2CB8">
        <w:rPr>
          <w:sz w:val="24"/>
        </w:rPr>
        <w:t>027288</w:t>
      </w:r>
    </w:p>
    <w:p w:rsidR="00563D2D" w:rsidRDefault="00563D2D">
      <w:pPr>
        <w:spacing w:line="360" w:lineRule="auto"/>
        <w:ind w:firstLineChars="200" w:firstLine="482"/>
        <w:rPr>
          <w:b/>
          <w:sz w:val="24"/>
        </w:rPr>
      </w:pPr>
      <w:r>
        <w:rPr>
          <w:b/>
          <w:sz w:val="24"/>
        </w:rPr>
        <w:t>3</w:t>
      </w:r>
      <w:r>
        <w:rPr>
          <w:b/>
          <w:sz w:val="24"/>
        </w:rPr>
        <w:t>、基金类型</w:t>
      </w:r>
    </w:p>
    <w:p w:rsidR="00563D2D" w:rsidRDefault="00563D2D">
      <w:pPr>
        <w:spacing w:line="360" w:lineRule="auto"/>
        <w:ind w:firstLineChars="200" w:firstLine="480"/>
        <w:rPr>
          <w:bCs/>
          <w:color w:val="000000"/>
          <w:sz w:val="24"/>
        </w:rPr>
      </w:pPr>
      <w:r>
        <w:rPr>
          <w:rFonts w:hint="eastAsia"/>
          <w:bCs/>
          <w:color w:val="000000"/>
          <w:sz w:val="24"/>
        </w:rPr>
        <w:t>股票型证券投资基金</w:t>
      </w:r>
    </w:p>
    <w:p w:rsidR="00563D2D" w:rsidRDefault="00563D2D">
      <w:pPr>
        <w:spacing w:line="360" w:lineRule="auto"/>
        <w:ind w:firstLineChars="200" w:firstLine="482"/>
        <w:rPr>
          <w:b/>
          <w:sz w:val="24"/>
        </w:rPr>
      </w:pPr>
      <w:r>
        <w:rPr>
          <w:b/>
          <w:sz w:val="24"/>
        </w:rPr>
        <w:t>4</w:t>
      </w:r>
      <w:r>
        <w:rPr>
          <w:b/>
          <w:sz w:val="24"/>
        </w:rPr>
        <w:t>、基金的运作方式</w:t>
      </w:r>
    </w:p>
    <w:p w:rsidR="00563D2D" w:rsidRDefault="00563D2D">
      <w:pPr>
        <w:spacing w:line="360" w:lineRule="auto"/>
        <w:ind w:firstLineChars="200" w:firstLine="480"/>
        <w:rPr>
          <w:rFonts w:hint="eastAsia"/>
          <w:bCs/>
          <w:sz w:val="24"/>
          <w:szCs w:val="20"/>
        </w:rPr>
      </w:pPr>
      <w:r>
        <w:rPr>
          <w:bCs/>
          <w:sz w:val="24"/>
          <w:szCs w:val="20"/>
        </w:rPr>
        <w:t>契约型开放式</w:t>
      </w:r>
    </w:p>
    <w:p w:rsidR="00563D2D" w:rsidRDefault="00563D2D">
      <w:pPr>
        <w:spacing w:line="360" w:lineRule="auto"/>
        <w:ind w:firstLineChars="200" w:firstLine="482"/>
        <w:rPr>
          <w:b/>
          <w:sz w:val="24"/>
        </w:rPr>
      </w:pPr>
      <w:r>
        <w:rPr>
          <w:b/>
          <w:sz w:val="24"/>
        </w:rPr>
        <w:t>5</w:t>
      </w:r>
      <w:r>
        <w:rPr>
          <w:b/>
          <w:sz w:val="24"/>
        </w:rPr>
        <w:t>、基金存续期限</w:t>
      </w:r>
    </w:p>
    <w:p w:rsidR="00563D2D" w:rsidRDefault="00563D2D">
      <w:pPr>
        <w:spacing w:line="360" w:lineRule="auto"/>
        <w:ind w:firstLineChars="200" w:firstLine="480"/>
        <w:rPr>
          <w:sz w:val="24"/>
        </w:rPr>
      </w:pPr>
      <w:r>
        <w:rPr>
          <w:sz w:val="24"/>
        </w:rPr>
        <w:t>不定期</w:t>
      </w:r>
    </w:p>
    <w:p w:rsidR="00563D2D" w:rsidRDefault="00563D2D">
      <w:pPr>
        <w:spacing w:line="360" w:lineRule="auto"/>
        <w:ind w:firstLineChars="200" w:firstLine="482"/>
        <w:rPr>
          <w:b/>
          <w:sz w:val="24"/>
        </w:rPr>
      </w:pPr>
      <w:r>
        <w:rPr>
          <w:b/>
          <w:sz w:val="24"/>
        </w:rPr>
        <w:t>6</w:t>
      </w:r>
      <w:r>
        <w:rPr>
          <w:b/>
          <w:sz w:val="24"/>
        </w:rPr>
        <w:t>、基金份额</w:t>
      </w:r>
      <w:r>
        <w:rPr>
          <w:rFonts w:hint="eastAsia"/>
          <w:b/>
          <w:sz w:val="24"/>
        </w:rPr>
        <w:t>发售</w:t>
      </w:r>
      <w:r>
        <w:rPr>
          <w:b/>
          <w:sz w:val="24"/>
        </w:rPr>
        <w:t>面值</w:t>
      </w:r>
    </w:p>
    <w:p w:rsidR="00563D2D" w:rsidRDefault="00563D2D">
      <w:pPr>
        <w:spacing w:line="360" w:lineRule="auto"/>
        <w:ind w:firstLineChars="200" w:firstLine="480"/>
        <w:rPr>
          <w:sz w:val="24"/>
        </w:rPr>
      </w:pPr>
      <w:r>
        <w:rPr>
          <w:sz w:val="24"/>
        </w:rPr>
        <w:t>基金份额</w:t>
      </w:r>
      <w:r>
        <w:rPr>
          <w:rFonts w:hint="eastAsia"/>
          <w:sz w:val="24"/>
        </w:rPr>
        <w:t>发售</w:t>
      </w:r>
      <w:r>
        <w:rPr>
          <w:sz w:val="24"/>
        </w:rPr>
        <w:t>面值为人民币</w:t>
      </w:r>
      <w:r>
        <w:rPr>
          <w:sz w:val="24"/>
        </w:rPr>
        <w:t>1.00</w:t>
      </w:r>
      <w:r>
        <w:rPr>
          <w:sz w:val="24"/>
        </w:rPr>
        <w:t>元</w:t>
      </w:r>
    </w:p>
    <w:p w:rsidR="00563D2D" w:rsidRDefault="00563D2D">
      <w:pPr>
        <w:spacing w:line="360" w:lineRule="auto"/>
        <w:ind w:firstLineChars="200" w:firstLine="482"/>
        <w:rPr>
          <w:b/>
          <w:sz w:val="24"/>
        </w:rPr>
      </w:pPr>
      <w:r>
        <w:rPr>
          <w:b/>
          <w:sz w:val="24"/>
        </w:rPr>
        <w:t>7</w:t>
      </w:r>
      <w:r>
        <w:rPr>
          <w:b/>
          <w:sz w:val="24"/>
        </w:rPr>
        <w:t>、发售对象</w:t>
      </w:r>
    </w:p>
    <w:p w:rsidR="00563D2D" w:rsidRDefault="007D0C34">
      <w:pPr>
        <w:spacing w:line="360" w:lineRule="auto"/>
        <w:ind w:firstLineChars="200" w:firstLine="480"/>
        <w:rPr>
          <w:sz w:val="24"/>
        </w:rPr>
      </w:pPr>
      <w:r w:rsidRPr="007D0C34">
        <w:rPr>
          <w:rFonts w:hint="eastAsia"/>
          <w:sz w:val="24"/>
        </w:rPr>
        <w:t>符合法律法规规定的可投资于证券投资基金的个人投资者、机构投资者、合格境外投资者、发起资金提供方以及法律法规或中国证监会允许购买证券投资基金的其他投资者。</w:t>
      </w:r>
    </w:p>
    <w:p w:rsidR="00563D2D" w:rsidRDefault="00563D2D">
      <w:pPr>
        <w:spacing w:line="360" w:lineRule="auto"/>
        <w:ind w:firstLineChars="200" w:firstLine="482"/>
        <w:rPr>
          <w:rFonts w:hint="eastAsia"/>
          <w:b/>
          <w:sz w:val="24"/>
        </w:rPr>
      </w:pPr>
      <w:r>
        <w:rPr>
          <w:rFonts w:hint="eastAsia"/>
          <w:b/>
          <w:sz w:val="24"/>
        </w:rPr>
        <w:t>8</w:t>
      </w:r>
      <w:r>
        <w:rPr>
          <w:rFonts w:hint="eastAsia"/>
          <w:b/>
          <w:sz w:val="24"/>
        </w:rPr>
        <w:t>、募集规模及规模控制方案</w:t>
      </w:r>
    </w:p>
    <w:p w:rsidR="00563D2D" w:rsidRDefault="00563D2D">
      <w:pPr>
        <w:spacing w:line="360" w:lineRule="auto"/>
        <w:ind w:firstLineChars="200" w:firstLine="480"/>
        <w:rPr>
          <w:rFonts w:hint="eastAsia"/>
          <w:sz w:val="24"/>
        </w:rPr>
      </w:pPr>
      <w:r>
        <w:rPr>
          <w:rFonts w:hint="eastAsia"/>
          <w:sz w:val="24"/>
        </w:rPr>
        <w:t>本基金在募集期内最终确认的有效认购总金额拟不超过</w:t>
      </w:r>
      <w:r>
        <w:rPr>
          <w:rFonts w:hint="eastAsia"/>
          <w:sz w:val="24"/>
        </w:rPr>
        <w:t>80</w:t>
      </w:r>
      <w:r>
        <w:rPr>
          <w:rFonts w:hint="eastAsia"/>
          <w:sz w:val="24"/>
        </w:rPr>
        <w:t>亿元人民币（不包括募集期利息）。基金管理人根据认购的情况可适当调整募集时间，并及时公告，但最长不超过法定募集期限。基金募集过程中募集规模达到</w:t>
      </w:r>
      <w:r>
        <w:rPr>
          <w:rFonts w:hint="eastAsia"/>
          <w:sz w:val="24"/>
        </w:rPr>
        <w:t>80</w:t>
      </w:r>
      <w:r>
        <w:rPr>
          <w:rFonts w:hint="eastAsia"/>
          <w:sz w:val="24"/>
        </w:rPr>
        <w:t>亿元的，本基金结束募集。</w:t>
      </w:r>
    </w:p>
    <w:p w:rsidR="00563D2D" w:rsidRDefault="00563D2D">
      <w:pPr>
        <w:spacing w:line="360" w:lineRule="auto"/>
        <w:ind w:firstLineChars="200" w:firstLine="480"/>
        <w:rPr>
          <w:rFonts w:hint="eastAsia"/>
          <w:sz w:val="24"/>
        </w:rPr>
      </w:pPr>
      <w:r>
        <w:rPr>
          <w:rFonts w:hint="eastAsia"/>
          <w:sz w:val="24"/>
        </w:rPr>
        <w:t>在募集期内任何一天（含第一天）当日募集截止时间后认购申请金额超过</w:t>
      </w:r>
      <w:r>
        <w:rPr>
          <w:rFonts w:hint="eastAsia"/>
          <w:sz w:val="24"/>
        </w:rPr>
        <w:t>80</w:t>
      </w:r>
      <w:r>
        <w:rPr>
          <w:rFonts w:hint="eastAsia"/>
          <w:sz w:val="24"/>
        </w:rPr>
        <w:t>亿元，基金管理人将采取末日比例确认的方式实现规模的有效控制。当发生末日比例确认时，基金管理人将及时公告比例确认情况与结果。未确认部分的认购款项将在募集期结束后退还给投资者，由此产生的损失由投资人自行承担。</w:t>
      </w:r>
    </w:p>
    <w:p w:rsidR="00563D2D" w:rsidRDefault="00563D2D">
      <w:pPr>
        <w:spacing w:line="360" w:lineRule="auto"/>
        <w:ind w:firstLineChars="200" w:firstLine="480"/>
        <w:rPr>
          <w:rFonts w:hint="eastAsia"/>
          <w:sz w:val="24"/>
        </w:rPr>
      </w:pPr>
      <w:r>
        <w:rPr>
          <w:rFonts w:hint="eastAsia"/>
          <w:sz w:val="24"/>
        </w:rPr>
        <w:t>当发生部分确认时，投资者认购费率按照认购申请金额所对应的费率计算，认购申请确认金额不受认购最低限额的限制。最终认购申请确认结果以本基金登记机构的计算并确认的结果为准。</w:t>
      </w:r>
    </w:p>
    <w:p w:rsidR="00563D2D" w:rsidRDefault="00563D2D">
      <w:pPr>
        <w:spacing w:line="360" w:lineRule="auto"/>
        <w:ind w:firstLineChars="200" w:firstLine="480"/>
        <w:rPr>
          <w:rFonts w:hint="eastAsia"/>
          <w:sz w:val="24"/>
        </w:rPr>
      </w:pPr>
      <w:r>
        <w:rPr>
          <w:rFonts w:hint="eastAsia"/>
          <w:sz w:val="24"/>
        </w:rPr>
        <w:t>基金管理人可以对募集规模的上限进行调整，具体限制请参见相关公告。</w:t>
      </w:r>
    </w:p>
    <w:p w:rsidR="00563D2D" w:rsidRDefault="00563D2D">
      <w:pPr>
        <w:spacing w:line="360" w:lineRule="auto"/>
        <w:ind w:firstLineChars="200" w:firstLine="482"/>
        <w:rPr>
          <w:b/>
          <w:sz w:val="24"/>
        </w:rPr>
      </w:pPr>
      <w:r>
        <w:rPr>
          <w:b/>
          <w:sz w:val="24"/>
        </w:rPr>
        <w:t>9</w:t>
      </w:r>
      <w:r>
        <w:rPr>
          <w:b/>
          <w:sz w:val="24"/>
        </w:rPr>
        <w:t>、销售机构与销售地点</w:t>
      </w:r>
    </w:p>
    <w:p w:rsidR="00563D2D" w:rsidRDefault="00563D2D">
      <w:pPr>
        <w:spacing w:line="360" w:lineRule="auto"/>
        <w:ind w:firstLineChars="200" w:firstLine="480"/>
        <w:rPr>
          <w:rFonts w:hint="eastAsia"/>
          <w:sz w:val="24"/>
        </w:rPr>
      </w:pPr>
      <w:r>
        <w:rPr>
          <w:rFonts w:hint="eastAsia"/>
          <w:sz w:val="24"/>
        </w:rPr>
        <w:t>（</w:t>
      </w:r>
      <w:r>
        <w:rPr>
          <w:rFonts w:hint="eastAsia"/>
          <w:sz w:val="24"/>
        </w:rPr>
        <w:t>1</w:t>
      </w:r>
      <w:r>
        <w:rPr>
          <w:rFonts w:hint="eastAsia"/>
          <w:sz w:val="24"/>
        </w:rPr>
        <w:t>）直销机构：</w:t>
      </w:r>
    </w:p>
    <w:p w:rsidR="00563D2D" w:rsidRDefault="00563D2D">
      <w:pPr>
        <w:spacing w:line="360" w:lineRule="auto"/>
        <w:ind w:firstLineChars="200" w:firstLine="480"/>
        <w:rPr>
          <w:sz w:val="24"/>
        </w:rPr>
      </w:pPr>
      <w:r>
        <w:rPr>
          <w:sz w:val="24"/>
        </w:rPr>
        <w:t>本公司的直销网点：直销中心</w:t>
      </w:r>
    </w:p>
    <w:p w:rsidR="00563D2D" w:rsidRDefault="00563D2D">
      <w:pPr>
        <w:spacing w:line="360" w:lineRule="auto"/>
        <w:ind w:firstLineChars="200" w:firstLine="480"/>
        <w:rPr>
          <w:sz w:val="24"/>
        </w:rPr>
      </w:pPr>
      <w:r>
        <w:rPr>
          <w:sz w:val="24"/>
        </w:rPr>
        <w:t>直销中心地址：</w:t>
      </w:r>
      <w:r>
        <w:rPr>
          <w:rFonts w:hint="eastAsia"/>
          <w:sz w:val="24"/>
        </w:rPr>
        <w:t>上海市浦东新区世纪大道</w:t>
      </w:r>
      <w:r>
        <w:rPr>
          <w:rFonts w:hint="eastAsia"/>
          <w:sz w:val="24"/>
        </w:rPr>
        <w:t>1196</w:t>
      </w:r>
      <w:r>
        <w:rPr>
          <w:rFonts w:hint="eastAsia"/>
          <w:sz w:val="24"/>
        </w:rPr>
        <w:t>号世纪汇办公楼二座</w:t>
      </w:r>
      <w:r>
        <w:rPr>
          <w:rFonts w:hint="eastAsia"/>
          <w:sz w:val="24"/>
        </w:rPr>
        <w:t>27</w:t>
      </w:r>
      <w:r>
        <w:rPr>
          <w:rFonts w:hint="eastAsia"/>
          <w:sz w:val="24"/>
        </w:rPr>
        <w:t>层</w:t>
      </w:r>
    </w:p>
    <w:p w:rsidR="00563D2D" w:rsidRDefault="00563D2D">
      <w:pPr>
        <w:spacing w:line="360" w:lineRule="auto"/>
        <w:ind w:firstLineChars="200" w:firstLine="480"/>
        <w:rPr>
          <w:sz w:val="24"/>
        </w:rPr>
      </w:pPr>
      <w:r>
        <w:rPr>
          <w:sz w:val="24"/>
        </w:rPr>
        <w:t>客户服务统一咨询电话：</w:t>
      </w:r>
      <w:r>
        <w:rPr>
          <w:sz w:val="24"/>
        </w:rPr>
        <w:t>95105686</w:t>
      </w:r>
      <w:r>
        <w:rPr>
          <w:sz w:val="24"/>
        </w:rPr>
        <w:t>、</w:t>
      </w:r>
      <w:r>
        <w:rPr>
          <w:sz w:val="24"/>
        </w:rPr>
        <w:t>4008880688</w:t>
      </w:r>
      <w:r>
        <w:rPr>
          <w:sz w:val="24"/>
        </w:rPr>
        <w:t>（全国统一，免长途话费）</w:t>
      </w:r>
    </w:p>
    <w:p w:rsidR="00563D2D" w:rsidRDefault="00563D2D">
      <w:pPr>
        <w:spacing w:line="360" w:lineRule="auto"/>
        <w:ind w:firstLineChars="200" w:firstLine="480"/>
        <w:rPr>
          <w:sz w:val="24"/>
        </w:rPr>
      </w:pPr>
      <w:r>
        <w:rPr>
          <w:sz w:val="24"/>
        </w:rPr>
        <w:t>传真：</w:t>
      </w:r>
      <w:r>
        <w:rPr>
          <w:sz w:val="24"/>
        </w:rPr>
        <w:t>021-20513177</w:t>
      </w:r>
    </w:p>
    <w:p w:rsidR="00563D2D" w:rsidRDefault="00563D2D">
      <w:pPr>
        <w:spacing w:line="360" w:lineRule="auto"/>
        <w:ind w:firstLineChars="200" w:firstLine="480"/>
        <w:rPr>
          <w:rFonts w:hint="eastAsia"/>
          <w:sz w:val="24"/>
        </w:rPr>
      </w:pPr>
      <w:r>
        <w:rPr>
          <w:sz w:val="24"/>
        </w:rPr>
        <w:t>联系人：吕铭泽</w:t>
      </w:r>
    </w:p>
    <w:p w:rsidR="00563D2D" w:rsidRDefault="00563D2D">
      <w:pPr>
        <w:spacing w:line="360" w:lineRule="auto"/>
        <w:ind w:firstLineChars="200" w:firstLine="480"/>
        <w:rPr>
          <w:rFonts w:hint="eastAsia"/>
          <w:sz w:val="24"/>
        </w:rPr>
      </w:pPr>
      <w:r>
        <w:rPr>
          <w:sz w:val="24"/>
        </w:rPr>
        <w:t>本公司网上交易系统：本公司网站（</w:t>
      </w:r>
      <w:r>
        <w:rPr>
          <w:sz w:val="24"/>
        </w:rPr>
        <w:t>www.fullgoal.com.cn</w:t>
      </w:r>
      <w:r>
        <w:rPr>
          <w:sz w:val="24"/>
        </w:rPr>
        <w:t>）</w:t>
      </w:r>
    </w:p>
    <w:p w:rsidR="00A5302A" w:rsidRDefault="00563D2D">
      <w:pPr>
        <w:spacing w:line="360" w:lineRule="auto"/>
        <w:ind w:firstLineChars="200" w:firstLine="480"/>
        <w:rPr>
          <w:sz w:val="24"/>
        </w:rPr>
      </w:pPr>
      <w:r>
        <w:rPr>
          <w:rFonts w:hint="eastAsia"/>
          <w:sz w:val="24"/>
        </w:rPr>
        <w:t>（</w:t>
      </w:r>
      <w:r>
        <w:rPr>
          <w:rFonts w:hint="eastAsia"/>
          <w:sz w:val="24"/>
        </w:rPr>
        <w:t>2</w:t>
      </w:r>
      <w:r>
        <w:rPr>
          <w:rFonts w:hint="eastAsia"/>
          <w:sz w:val="24"/>
        </w:rPr>
        <w:t>）其他销售机构：</w:t>
      </w:r>
    </w:p>
    <w:p w:rsidR="00563D2D" w:rsidRDefault="00563D2D">
      <w:pPr>
        <w:spacing w:line="360" w:lineRule="auto"/>
        <w:ind w:firstLineChars="200" w:firstLine="480"/>
        <w:rPr>
          <w:sz w:val="24"/>
        </w:rPr>
      </w:pPr>
      <w:r>
        <w:rPr>
          <w:sz w:val="24"/>
        </w:rPr>
        <w:t>基金管理人可根据情况，变更或增减基金销售机构，或选择其他符合要求的机构代理销售本基金，并</w:t>
      </w:r>
      <w:r>
        <w:rPr>
          <w:rFonts w:hint="eastAsia"/>
          <w:sz w:val="24"/>
        </w:rPr>
        <w:t>在基金管理人网站公示</w:t>
      </w:r>
      <w:r>
        <w:rPr>
          <w:sz w:val="24"/>
        </w:rPr>
        <w:t>。</w:t>
      </w:r>
    </w:p>
    <w:p w:rsidR="00563D2D" w:rsidRDefault="00563D2D">
      <w:pPr>
        <w:spacing w:line="360" w:lineRule="auto"/>
        <w:ind w:firstLineChars="200" w:firstLine="482"/>
        <w:rPr>
          <w:b/>
          <w:sz w:val="24"/>
        </w:rPr>
      </w:pPr>
      <w:r>
        <w:rPr>
          <w:b/>
          <w:sz w:val="24"/>
        </w:rPr>
        <w:t>10</w:t>
      </w:r>
      <w:r>
        <w:rPr>
          <w:b/>
          <w:sz w:val="24"/>
        </w:rPr>
        <w:t>、募集时间安排与基金合同生效</w:t>
      </w:r>
    </w:p>
    <w:p w:rsidR="00563D2D" w:rsidRDefault="00563D2D">
      <w:pPr>
        <w:spacing w:line="360" w:lineRule="auto"/>
        <w:ind w:firstLineChars="200" w:firstLine="480"/>
        <w:rPr>
          <w:rFonts w:hint="eastAsia"/>
          <w:sz w:val="24"/>
        </w:rPr>
      </w:pPr>
      <w:r>
        <w:rPr>
          <w:sz w:val="24"/>
        </w:rPr>
        <w:t>根据有关法律、法规的规定，本基金的募集期为自基金份额发售之日起不超过</w:t>
      </w:r>
      <w:r>
        <w:rPr>
          <w:sz w:val="24"/>
        </w:rPr>
        <w:t>3</w:t>
      </w:r>
      <w:r>
        <w:rPr>
          <w:sz w:val="24"/>
        </w:rPr>
        <w:t>个月。本基金</w:t>
      </w:r>
      <w:r>
        <w:rPr>
          <w:rFonts w:hint="eastAsia"/>
          <w:sz w:val="24"/>
        </w:rPr>
        <w:t>于</w:t>
      </w:r>
      <w:r w:rsidR="00BB5BB9">
        <w:rPr>
          <w:rFonts w:hint="eastAsia"/>
          <w:sz w:val="24"/>
        </w:rPr>
        <w:t>2026</w:t>
      </w:r>
      <w:r w:rsidR="00BB5BB9">
        <w:rPr>
          <w:rFonts w:hint="eastAsia"/>
          <w:sz w:val="24"/>
        </w:rPr>
        <w:t>年</w:t>
      </w:r>
      <w:r w:rsidR="00BB5BB9">
        <w:rPr>
          <w:rFonts w:hint="eastAsia"/>
          <w:sz w:val="24"/>
        </w:rPr>
        <w:t>4</w:t>
      </w:r>
      <w:r w:rsidR="00BB5BB9">
        <w:rPr>
          <w:rFonts w:hint="eastAsia"/>
          <w:sz w:val="24"/>
        </w:rPr>
        <w:t>月</w:t>
      </w:r>
      <w:r w:rsidR="00BB5BB9">
        <w:rPr>
          <w:rFonts w:hint="eastAsia"/>
          <w:sz w:val="24"/>
        </w:rPr>
        <w:t>27</w:t>
      </w:r>
      <w:r w:rsidR="00BB5BB9">
        <w:rPr>
          <w:rFonts w:hint="eastAsia"/>
          <w:sz w:val="24"/>
        </w:rPr>
        <w:t>日至</w:t>
      </w:r>
      <w:r w:rsidR="00BB5BB9">
        <w:rPr>
          <w:rFonts w:hint="eastAsia"/>
          <w:sz w:val="24"/>
        </w:rPr>
        <w:t>2026</w:t>
      </w:r>
      <w:r w:rsidR="00BB5BB9">
        <w:rPr>
          <w:rFonts w:hint="eastAsia"/>
          <w:sz w:val="24"/>
        </w:rPr>
        <w:t>年</w:t>
      </w:r>
      <w:r w:rsidR="00BB5BB9">
        <w:rPr>
          <w:rFonts w:hint="eastAsia"/>
          <w:sz w:val="24"/>
        </w:rPr>
        <w:t>5</w:t>
      </w:r>
      <w:r w:rsidR="00BB5BB9">
        <w:rPr>
          <w:rFonts w:hint="eastAsia"/>
          <w:sz w:val="24"/>
        </w:rPr>
        <w:t>月</w:t>
      </w:r>
      <w:r w:rsidR="00BB5BB9">
        <w:rPr>
          <w:rFonts w:hint="eastAsia"/>
          <w:sz w:val="24"/>
        </w:rPr>
        <w:t>15</w:t>
      </w:r>
      <w:r w:rsidR="00BB5BB9">
        <w:rPr>
          <w:rFonts w:hint="eastAsia"/>
          <w:sz w:val="24"/>
        </w:rPr>
        <w:t>日</w:t>
      </w:r>
      <w:r>
        <w:rPr>
          <w:rFonts w:hint="eastAsia"/>
          <w:sz w:val="24"/>
        </w:rPr>
        <w:t>公开发售</w:t>
      </w:r>
      <w:r>
        <w:rPr>
          <w:sz w:val="24"/>
        </w:rPr>
        <w:t>。</w:t>
      </w:r>
      <w:r>
        <w:rPr>
          <w:rFonts w:hint="eastAsia"/>
          <w:sz w:val="24"/>
        </w:rPr>
        <w:t>基金管理人根据认购的情况可适当调整募集时间，并及时公告，但最长不超过法定募集期限。</w:t>
      </w:r>
    </w:p>
    <w:p w:rsidR="00563D2D" w:rsidRDefault="00563D2D">
      <w:pPr>
        <w:spacing w:line="360" w:lineRule="auto"/>
        <w:ind w:firstLineChars="200" w:firstLine="480"/>
        <w:rPr>
          <w:sz w:val="24"/>
        </w:rPr>
      </w:pPr>
      <w:r>
        <w:rPr>
          <w:sz w:val="24"/>
        </w:rPr>
        <w:t>募集期满，若本基金符合基金合同规定的基金备案条件，基金管理人可办理基金备案手续，基金备案手续办理完毕</w:t>
      </w:r>
      <w:r>
        <w:rPr>
          <w:bCs/>
          <w:sz w:val="24"/>
          <w:szCs w:val="28"/>
        </w:rPr>
        <w:t>并取得中国证监会书面确认之日起</w:t>
      </w:r>
      <w:r>
        <w:rPr>
          <w:sz w:val="24"/>
        </w:rPr>
        <w:t>基金合同生效。</w:t>
      </w:r>
    </w:p>
    <w:p w:rsidR="00563D2D" w:rsidRDefault="00563D2D">
      <w:pPr>
        <w:spacing w:line="360" w:lineRule="auto"/>
        <w:ind w:firstLineChars="200" w:firstLine="480"/>
        <w:rPr>
          <w:sz w:val="24"/>
        </w:rPr>
      </w:pPr>
      <w:r>
        <w:rPr>
          <w:sz w:val="24"/>
        </w:rPr>
        <w:t>若</w:t>
      </w:r>
      <w:r>
        <w:rPr>
          <w:sz w:val="24"/>
        </w:rPr>
        <w:t>3</w:t>
      </w:r>
      <w:r>
        <w:rPr>
          <w:sz w:val="24"/>
        </w:rPr>
        <w:t>个月的募集期满，本基金仍未达到合同规定的基金备案条件，基金管理人将以其固有财产承担因募集行为而产生的债务和费用，</w:t>
      </w:r>
      <w:r>
        <w:rPr>
          <w:rFonts w:hint="eastAsia"/>
          <w:sz w:val="24"/>
        </w:rPr>
        <w:t>在基金募集期限届满后</w:t>
      </w:r>
      <w:r>
        <w:rPr>
          <w:rFonts w:hint="eastAsia"/>
          <w:sz w:val="24"/>
        </w:rPr>
        <w:t>30</w:t>
      </w:r>
      <w:r>
        <w:rPr>
          <w:rFonts w:hint="eastAsia"/>
          <w:sz w:val="24"/>
        </w:rPr>
        <w:t>日内返还投资者已交纳的款项，并加计银行同期活期存款利息。</w:t>
      </w:r>
    </w:p>
    <w:p w:rsidR="00563D2D" w:rsidRDefault="00563D2D">
      <w:pPr>
        <w:spacing w:line="360" w:lineRule="auto"/>
        <w:ind w:firstLineChars="200" w:firstLine="482"/>
        <w:rPr>
          <w:b/>
          <w:sz w:val="24"/>
        </w:rPr>
      </w:pPr>
      <w:r>
        <w:rPr>
          <w:b/>
          <w:sz w:val="24"/>
        </w:rPr>
        <w:t>11</w:t>
      </w:r>
      <w:r>
        <w:rPr>
          <w:b/>
          <w:sz w:val="24"/>
        </w:rPr>
        <w:t>、</w:t>
      </w:r>
      <w:r>
        <w:rPr>
          <w:rFonts w:hint="eastAsia"/>
          <w:b/>
          <w:sz w:val="24"/>
        </w:rPr>
        <w:t>基金的最低募集金额</w:t>
      </w:r>
    </w:p>
    <w:p w:rsidR="007D0C34" w:rsidRPr="007D0C34" w:rsidRDefault="00946090" w:rsidP="007D0C34">
      <w:pPr>
        <w:pStyle w:val="af6"/>
        <w:ind w:firstLine="480"/>
        <w:rPr>
          <w:rFonts w:hint="eastAsia"/>
          <w:szCs w:val="28"/>
        </w:rPr>
      </w:pPr>
      <w:r>
        <w:rPr>
          <w:rFonts w:hint="eastAsia"/>
          <w:szCs w:val="28"/>
        </w:rPr>
        <w:t>本基金为发起式基金，</w:t>
      </w:r>
      <w:r w:rsidR="007D0C34" w:rsidRPr="007D0C34">
        <w:rPr>
          <w:rFonts w:hint="eastAsia"/>
          <w:szCs w:val="28"/>
        </w:rPr>
        <w:t>发起资金提供方运用发起资金认购本基金的金额不少于</w:t>
      </w:r>
      <w:r w:rsidR="007D0C34" w:rsidRPr="007D0C34">
        <w:rPr>
          <w:rFonts w:hint="eastAsia"/>
          <w:szCs w:val="28"/>
        </w:rPr>
        <w:t>1000</w:t>
      </w:r>
      <w:r w:rsidR="007D0C34" w:rsidRPr="007D0C34">
        <w:rPr>
          <w:rFonts w:hint="eastAsia"/>
          <w:szCs w:val="28"/>
        </w:rPr>
        <w:t>万元，且认购的基金份额持有期限自基金合同生效之日起不少于</w:t>
      </w:r>
      <w:r w:rsidR="007D0C34" w:rsidRPr="007D0C34">
        <w:rPr>
          <w:rFonts w:hint="eastAsia"/>
          <w:szCs w:val="28"/>
        </w:rPr>
        <w:t>3</w:t>
      </w:r>
      <w:r w:rsidR="007D0C34" w:rsidRPr="007D0C34">
        <w:rPr>
          <w:rFonts w:hint="eastAsia"/>
          <w:szCs w:val="28"/>
        </w:rPr>
        <w:t>年，期间份额不能赎回。认购本基金基金份额的高级管理人员或基金经理等人员（如有）在上述期限内离职，其持有期限的承诺不受影响。法律法规和监管机构另有规定的除外。</w:t>
      </w:r>
    </w:p>
    <w:p w:rsidR="00563D2D" w:rsidRDefault="007D0C34" w:rsidP="007D0C34">
      <w:pPr>
        <w:pStyle w:val="af6"/>
        <w:ind w:firstLine="480"/>
      </w:pPr>
      <w:r w:rsidRPr="007D0C34">
        <w:rPr>
          <w:rFonts w:hint="eastAsia"/>
          <w:szCs w:val="28"/>
        </w:rPr>
        <w:t>发起资金提供方运用发起资金认购本基金的情况见基金管理人届时发布的相关公告。</w:t>
      </w:r>
    </w:p>
    <w:p w:rsidR="00563D2D" w:rsidRDefault="00563D2D">
      <w:pPr>
        <w:pStyle w:val="2"/>
        <w:spacing w:before="156" w:after="156"/>
        <w:rPr>
          <w:szCs w:val="24"/>
        </w:rPr>
      </w:pPr>
      <w:r>
        <w:rPr>
          <w:bCs/>
        </w:rPr>
        <w:br w:type="page"/>
      </w:r>
      <w:r>
        <w:rPr>
          <w:szCs w:val="24"/>
        </w:rPr>
        <w:t>二、募集方式及相关规定</w:t>
      </w:r>
    </w:p>
    <w:p w:rsidR="00563D2D" w:rsidRDefault="00563D2D">
      <w:pPr>
        <w:spacing w:line="360" w:lineRule="auto"/>
        <w:ind w:firstLineChars="200" w:firstLine="480"/>
        <w:rPr>
          <w:kern w:val="0"/>
          <w:sz w:val="24"/>
        </w:rPr>
      </w:pPr>
      <w:r>
        <w:rPr>
          <w:kern w:val="0"/>
          <w:sz w:val="24"/>
        </w:rPr>
        <w:t>1</w:t>
      </w:r>
      <w:r>
        <w:rPr>
          <w:kern w:val="0"/>
          <w:sz w:val="24"/>
        </w:rPr>
        <w:t>、</w:t>
      </w:r>
      <w:r>
        <w:rPr>
          <w:sz w:val="24"/>
        </w:rPr>
        <w:t>在募集期内，本基金面向</w:t>
      </w:r>
      <w:r w:rsidR="00D23FAD" w:rsidRPr="00D23FAD">
        <w:rPr>
          <w:rFonts w:hint="eastAsia"/>
          <w:sz w:val="24"/>
        </w:rPr>
        <w:t>符合法律法规规定的可投资于证券投资基金的个人投资者、机构投资者、合格境外投资者、发起资金</w:t>
      </w:r>
      <w:r w:rsidR="00D23FAD">
        <w:rPr>
          <w:rFonts w:hint="eastAsia"/>
          <w:sz w:val="24"/>
        </w:rPr>
        <w:t>提供方以及法律法规或中国证监会允许购买证券投资基金的其他投资者</w:t>
      </w:r>
      <w:r>
        <w:rPr>
          <w:rFonts w:hint="eastAsia"/>
          <w:sz w:val="24"/>
        </w:rPr>
        <w:t>同时发售。</w:t>
      </w:r>
    </w:p>
    <w:p w:rsidR="00563D2D" w:rsidRDefault="00563D2D">
      <w:pPr>
        <w:spacing w:line="360" w:lineRule="auto"/>
        <w:ind w:firstLineChars="200" w:firstLine="480"/>
        <w:rPr>
          <w:sz w:val="24"/>
        </w:rPr>
      </w:pPr>
      <w:r>
        <w:rPr>
          <w:sz w:val="24"/>
        </w:rPr>
        <w:t>2</w:t>
      </w:r>
      <w:r>
        <w:rPr>
          <w:sz w:val="24"/>
        </w:rPr>
        <w:t>、本基金认购采用金额认购方式。</w:t>
      </w:r>
    </w:p>
    <w:p w:rsidR="00563D2D" w:rsidRDefault="00563D2D">
      <w:pPr>
        <w:spacing w:line="360" w:lineRule="auto"/>
        <w:ind w:firstLineChars="200" w:firstLine="480"/>
        <w:rPr>
          <w:sz w:val="24"/>
        </w:rPr>
      </w:pPr>
      <w:r>
        <w:rPr>
          <w:sz w:val="24"/>
        </w:rPr>
        <w:t>3</w:t>
      </w:r>
      <w:r>
        <w:rPr>
          <w:sz w:val="24"/>
        </w:rPr>
        <w:t>、投资者认购基金份额采用全额缴款的认购方式。投资者认购前，需按销售机构规定的方式备足认购的金额。</w:t>
      </w:r>
    </w:p>
    <w:p w:rsidR="00563D2D" w:rsidRDefault="00563D2D">
      <w:pPr>
        <w:spacing w:line="360" w:lineRule="auto"/>
        <w:ind w:firstLineChars="200" w:firstLine="480"/>
        <w:rPr>
          <w:sz w:val="24"/>
        </w:rPr>
      </w:pPr>
      <w:r>
        <w:rPr>
          <w:sz w:val="24"/>
        </w:rPr>
        <w:t>4</w:t>
      </w:r>
      <w:r>
        <w:rPr>
          <w:sz w:val="24"/>
        </w:rPr>
        <w:t>、</w:t>
      </w:r>
      <w:r w:rsidR="00D23FAD" w:rsidRPr="00D23FAD">
        <w:rPr>
          <w:rFonts w:hint="eastAsia"/>
          <w:sz w:val="24"/>
        </w:rPr>
        <w:t>投资者在募集期内可以多次认购基金份额，通过直销机构认购</w:t>
      </w:r>
      <w:r w:rsidR="00D23FAD" w:rsidRPr="00D23FAD">
        <w:rPr>
          <w:rFonts w:hint="eastAsia"/>
          <w:sz w:val="24"/>
        </w:rPr>
        <w:t>A</w:t>
      </w:r>
      <w:r w:rsidR="00D23FAD" w:rsidRPr="00D23FAD">
        <w:rPr>
          <w:rFonts w:hint="eastAsia"/>
          <w:sz w:val="24"/>
        </w:rPr>
        <w:t>类基金份额的不收取认购费，通过代销机构认购</w:t>
      </w:r>
      <w:r w:rsidR="00D23FAD" w:rsidRPr="00D23FAD">
        <w:rPr>
          <w:rFonts w:hint="eastAsia"/>
          <w:sz w:val="24"/>
        </w:rPr>
        <w:t>A</w:t>
      </w:r>
      <w:r w:rsidR="00D23FAD" w:rsidRPr="00D23FAD">
        <w:rPr>
          <w:rFonts w:hint="eastAsia"/>
          <w:sz w:val="24"/>
        </w:rPr>
        <w:t>类基金份额的认购费用按每笔</w:t>
      </w:r>
      <w:r w:rsidR="00D23FAD" w:rsidRPr="00D23FAD">
        <w:rPr>
          <w:rFonts w:hint="eastAsia"/>
          <w:sz w:val="24"/>
        </w:rPr>
        <w:t>A</w:t>
      </w:r>
      <w:r w:rsidR="00D23FAD" w:rsidRPr="00D23FAD">
        <w:rPr>
          <w:rFonts w:hint="eastAsia"/>
          <w:sz w:val="24"/>
        </w:rPr>
        <w:t>类基金份额的认购申请单独计算，但已受理的认购申请不允许撤销。</w:t>
      </w:r>
    </w:p>
    <w:p w:rsidR="00563D2D" w:rsidRDefault="00563D2D">
      <w:pPr>
        <w:pStyle w:val="af6"/>
        <w:ind w:firstLine="480"/>
      </w:pPr>
      <w:r>
        <w:t>5</w:t>
      </w:r>
      <w:r>
        <w:t>、认购的限额</w:t>
      </w:r>
    </w:p>
    <w:p w:rsidR="00D23FAD" w:rsidRDefault="00D23FAD" w:rsidP="00D23FAD">
      <w:pPr>
        <w:pStyle w:val="af6"/>
        <w:ind w:firstLine="480"/>
        <w:rPr>
          <w:rFonts w:hint="eastAsia"/>
        </w:rPr>
      </w:pPr>
      <w:r>
        <w:rPr>
          <w:rFonts w:hint="eastAsia"/>
        </w:rPr>
        <w:t>基金管理人规定，本基金的认购金额起点为人民币</w:t>
      </w:r>
      <w:r>
        <w:rPr>
          <w:rFonts w:hint="eastAsia"/>
        </w:rPr>
        <w:t>10</w:t>
      </w:r>
      <w:r>
        <w:rPr>
          <w:rFonts w:hint="eastAsia"/>
        </w:rPr>
        <w:t>元。</w:t>
      </w:r>
    </w:p>
    <w:p w:rsidR="00D23FAD" w:rsidRDefault="00D23FAD" w:rsidP="00D23FAD">
      <w:pPr>
        <w:pStyle w:val="af6"/>
        <w:ind w:firstLine="480"/>
        <w:rPr>
          <w:rFonts w:hint="eastAsia"/>
        </w:rPr>
      </w:pPr>
      <w:r>
        <w:rPr>
          <w:rFonts w:hint="eastAsia"/>
        </w:rPr>
        <w:t>投资者通过销售机构认购本基金时，除需满足基金管理人最低认购金额限制外，当销售机构设定的最低金额高于上述金额限制时，投资者还应遵循相关销售机构的业务规定。</w:t>
      </w:r>
    </w:p>
    <w:p w:rsidR="00D23FAD" w:rsidRDefault="00D23FAD" w:rsidP="00D23FAD">
      <w:pPr>
        <w:pStyle w:val="af6"/>
        <w:ind w:firstLine="480"/>
        <w:rPr>
          <w:rFonts w:hint="eastAsia"/>
        </w:rPr>
      </w:pPr>
      <w:r>
        <w:rPr>
          <w:rFonts w:hint="eastAsia"/>
        </w:rPr>
        <w:t>基金管理人直销网点接受首次认购申请的最低金额为单笔人民币</w:t>
      </w:r>
      <w:r>
        <w:rPr>
          <w:rFonts w:hint="eastAsia"/>
        </w:rPr>
        <w:t>50,000</w:t>
      </w:r>
      <w:r>
        <w:rPr>
          <w:rFonts w:hint="eastAsia"/>
        </w:rPr>
        <w:t>元，追加认购的最低金额为单笔人民币</w:t>
      </w:r>
      <w:r>
        <w:rPr>
          <w:rFonts w:hint="eastAsia"/>
        </w:rPr>
        <w:t>20,000</w:t>
      </w:r>
      <w:r>
        <w:rPr>
          <w:rFonts w:hint="eastAsia"/>
        </w:rPr>
        <w:t>元。已在直销网点有认购过本基金管理人管理的其他基金记录的投资者不受首次认购最低金额的限制，本基金直销网点单笔最低认购金额可由基金管理人酌情调整；通过基金管理人网上交易系统办理基金认购业务的不受直销网点单笔认购最低金额的限制，首次单笔最低认购金额为人民币</w:t>
      </w:r>
      <w:r>
        <w:rPr>
          <w:rFonts w:hint="eastAsia"/>
        </w:rPr>
        <w:t>10</w:t>
      </w:r>
      <w:r>
        <w:rPr>
          <w:rFonts w:hint="eastAsia"/>
        </w:rPr>
        <w:t>元，追加认购的单笔最低认购金额为人民币</w:t>
      </w:r>
      <w:r>
        <w:rPr>
          <w:rFonts w:hint="eastAsia"/>
        </w:rPr>
        <w:t>10</w:t>
      </w:r>
      <w:r>
        <w:rPr>
          <w:rFonts w:hint="eastAsia"/>
        </w:rPr>
        <w:t>元。</w:t>
      </w:r>
    </w:p>
    <w:p w:rsidR="00563D2D" w:rsidRDefault="00D23FAD" w:rsidP="00912A7C">
      <w:pPr>
        <w:pStyle w:val="af6"/>
        <w:ind w:firstLine="480"/>
        <w:rPr>
          <w:rFonts w:hint="eastAsia"/>
        </w:rPr>
      </w:pPr>
      <w:r>
        <w:rPr>
          <w:rFonts w:hint="eastAsia"/>
        </w:rPr>
        <w:t>本基金可设置募集规模上限，超过募集规模上限时基金管理人可以采用比例确认或其他方式进行确认，具体募集上限及规模控制的方案详见基金份额发售公告或其他公告。若本基金设置首次募集规模上限，基金合同生效后不受此募集规模的限制。</w:t>
      </w:r>
    </w:p>
    <w:p w:rsidR="00563D2D" w:rsidRDefault="00563D2D">
      <w:pPr>
        <w:widowControl/>
        <w:spacing w:line="360" w:lineRule="auto"/>
        <w:ind w:firstLineChars="200" w:firstLine="480"/>
        <w:rPr>
          <w:sz w:val="24"/>
        </w:rPr>
      </w:pPr>
      <w:r>
        <w:rPr>
          <w:kern w:val="0"/>
          <w:sz w:val="24"/>
        </w:rPr>
        <w:t>6</w:t>
      </w:r>
      <w:r>
        <w:rPr>
          <w:kern w:val="0"/>
          <w:sz w:val="24"/>
        </w:rPr>
        <w:t>、</w:t>
      </w:r>
      <w:r>
        <w:rPr>
          <w:sz w:val="24"/>
        </w:rPr>
        <w:t>募集期利息的处理方式</w:t>
      </w:r>
    </w:p>
    <w:p w:rsidR="00563D2D" w:rsidRDefault="00D23FAD">
      <w:pPr>
        <w:spacing w:line="360" w:lineRule="auto"/>
        <w:ind w:firstLineChars="200" w:firstLine="480"/>
        <w:rPr>
          <w:rFonts w:hint="eastAsia"/>
          <w:bCs/>
          <w:color w:val="000000"/>
          <w:sz w:val="24"/>
        </w:rPr>
      </w:pPr>
      <w:r w:rsidRPr="00D23FAD">
        <w:rPr>
          <w:rFonts w:hint="eastAsia"/>
          <w:bCs/>
          <w:color w:val="000000"/>
          <w:sz w:val="24"/>
        </w:rPr>
        <w:t>基金管理人应将基金募集期间募集的资金存入专门账户，在基金募集行为结束前，任何人不得动用。有效认购款项在募集期间产生的利息将折算为相应类别的基金份额归基金份额持有人所有，其中利息转份额的具体数额以登记机构的记录为准。</w:t>
      </w:r>
    </w:p>
    <w:p w:rsidR="00563D2D" w:rsidRDefault="00563D2D">
      <w:pPr>
        <w:spacing w:line="360" w:lineRule="auto"/>
        <w:ind w:firstLineChars="200" w:firstLine="480"/>
        <w:rPr>
          <w:rFonts w:hint="eastAsia"/>
          <w:bCs/>
          <w:color w:val="000000"/>
          <w:kern w:val="0"/>
          <w:sz w:val="24"/>
        </w:rPr>
      </w:pPr>
      <w:r>
        <w:rPr>
          <w:rFonts w:hint="eastAsia"/>
          <w:bCs/>
          <w:color w:val="000000"/>
          <w:kern w:val="0"/>
          <w:sz w:val="24"/>
        </w:rPr>
        <w:t>7</w:t>
      </w:r>
      <w:r>
        <w:rPr>
          <w:rFonts w:hint="eastAsia"/>
          <w:bCs/>
          <w:color w:val="000000"/>
          <w:kern w:val="0"/>
          <w:sz w:val="24"/>
        </w:rPr>
        <w:t>、基金份额的认购费用</w:t>
      </w:r>
    </w:p>
    <w:p w:rsidR="00D23FAD" w:rsidRPr="00887638" w:rsidRDefault="00D23FAD" w:rsidP="00887638">
      <w:pPr>
        <w:spacing w:line="360" w:lineRule="auto"/>
        <w:ind w:firstLineChars="200" w:firstLine="480"/>
        <w:rPr>
          <w:bCs/>
          <w:color w:val="000000"/>
          <w:sz w:val="24"/>
        </w:rPr>
      </w:pPr>
      <w:r w:rsidRPr="00887638">
        <w:rPr>
          <w:rFonts w:hint="eastAsia"/>
          <w:bCs/>
          <w:color w:val="000000"/>
          <w:sz w:val="24"/>
        </w:rPr>
        <w:t>投资者通过直销机构认购本基金的，不收取认购费。</w:t>
      </w:r>
    </w:p>
    <w:p w:rsidR="00D23FAD" w:rsidRPr="00887638" w:rsidRDefault="00D23FAD" w:rsidP="00887638">
      <w:pPr>
        <w:spacing w:line="360" w:lineRule="auto"/>
        <w:ind w:firstLineChars="200" w:firstLine="480"/>
        <w:rPr>
          <w:bCs/>
          <w:color w:val="000000"/>
          <w:sz w:val="24"/>
        </w:rPr>
      </w:pPr>
      <w:r w:rsidRPr="00887638">
        <w:rPr>
          <w:rFonts w:hint="eastAsia"/>
          <w:bCs/>
          <w:color w:val="000000"/>
          <w:sz w:val="24"/>
        </w:rPr>
        <w:t>投资者通过代销机构认购本基金的，本基金</w:t>
      </w:r>
      <w:r w:rsidRPr="00887638">
        <w:rPr>
          <w:rFonts w:hint="eastAsia"/>
          <w:bCs/>
          <w:color w:val="000000"/>
          <w:sz w:val="24"/>
        </w:rPr>
        <w:t>A</w:t>
      </w:r>
      <w:r w:rsidRPr="00887638">
        <w:rPr>
          <w:rFonts w:hint="eastAsia"/>
          <w:bCs/>
          <w:color w:val="000000"/>
          <w:sz w:val="24"/>
        </w:rPr>
        <w:t>类基金份额收取认购费用，</w:t>
      </w:r>
      <w:r w:rsidRPr="00887638">
        <w:rPr>
          <w:rFonts w:hint="eastAsia"/>
          <w:bCs/>
          <w:color w:val="000000"/>
          <w:sz w:val="24"/>
        </w:rPr>
        <w:t>C</w:t>
      </w:r>
      <w:r w:rsidRPr="00887638">
        <w:rPr>
          <w:rFonts w:hint="eastAsia"/>
          <w:bCs/>
          <w:color w:val="000000"/>
          <w:sz w:val="24"/>
        </w:rPr>
        <w:t>类基金份额不收取认购费用。募集期内投资者可以多次认购本基金，</w:t>
      </w:r>
      <w:r w:rsidRPr="00887638">
        <w:rPr>
          <w:rFonts w:hint="eastAsia"/>
          <w:bCs/>
          <w:color w:val="000000"/>
          <w:sz w:val="24"/>
        </w:rPr>
        <w:t>A</w:t>
      </w:r>
      <w:r w:rsidRPr="00887638">
        <w:rPr>
          <w:rFonts w:hint="eastAsia"/>
          <w:bCs/>
          <w:color w:val="000000"/>
          <w:sz w:val="24"/>
        </w:rPr>
        <w:t>类基金份额的认购费用按每笔</w:t>
      </w:r>
      <w:r w:rsidRPr="00887638">
        <w:rPr>
          <w:rFonts w:hint="eastAsia"/>
          <w:bCs/>
          <w:color w:val="000000"/>
          <w:sz w:val="24"/>
        </w:rPr>
        <w:t>A</w:t>
      </w:r>
      <w:r w:rsidRPr="00887638">
        <w:rPr>
          <w:rFonts w:hint="eastAsia"/>
          <w:bCs/>
          <w:color w:val="000000"/>
          <w:sz w:val="24"/>
        </w:rPr>
        <w:t>类基金份额的认购申请单独计算。各销售机构销售的份额类别以其业务规定为准，敬请投资者留意。</w:t>
      </w:r>
    </w:p>
    <w:p w:rsidR="00D23FAD" w:rsidRPr="00887638" w:rsidRDefault="00D23FAD" w:rsidP="00887638">
      <w:pPr>
        <w:spacing w:line="360" w:lineRule="auto"/>
        <w:ind w:firstLineChars="200" w:firstLine="480"/>
        <w:rPr>
          <w:bCs/>
          <w:color w:val="000000"/>
          <w:sz w:val="24"/>
        </w:rPr>
      </w:pPr>
      <w:r w:rsidRPr="00887638">
        <w:rPr>
          <w:rFonts w:hint="eastAsia"/>
          <w:bCs/>
          <w:color w:val="000000"/>
          <w:sz w:val="24"/>
        </w:rPr>
        <w:t>通过代销机构认购本基金</w:t>
      </w:r>
      <w:r w:rsidRPr="00887638">
        <w:rPr>
          <w:rFonts w:hint="eastAsia"/>
          <w:bCs/>
          <w:color w:val="000000"/>
          <w:sz w:val="24"/>
        </w:rPr>
        <w:t>A</w:t>
      </w:r>
      <w:r w:rsidRPr="00887638">
        <w:rPr>
          <w:rFonts w:hint="eastAsia"/>
          <w:bCs/>
          <w:color w:val="000000"/>
          <w:sz w:val="24"/>
        </w:rPr>
        <w:t>类基金份额的认购费率具体如下：</w:t>
      </w:r>
    </w:p>
    <w:tbl>
      <w:tblPr>
        <w:tblW w:w="8265" w:type="dxa"/>
        <w:jc w:val="center"/>
        <w:tblInd w:w="0" w:type="dxa"/>
        <w:tblLayout w:type="fixed"/>
        <w:tblCellMar>
          <w:left w:w="0" w:type="dxa"/>
          <w:right w:w="0" w:type="dxa"/>
        </w:tblCellMar>
        <w:tblLook w:val="04A0"/>
      </w:tblPr>
      <w:tblGrid>
        <w:gridCol w:w="4212"/>
        <w:gridCol w:w="4053"/>
      </w:tblGrid>
      <w:tr w:rsidR="00D23FAD" w:rsidRPr="00AC5AF7" w:rsidTr="00563D2D">
        <w:trPr>
          <w:trHeight w:val="211"/>
          <w:jc w:val="center"/>
        </w:trPr>
        <w:tc>
          <w:tcPr>
            <w:tcW w:w="4212" w:type="dxa"/>
            <w:tcBorders>
              <w:top w:val="single" w:sz="4" w:space="0" w:color="auto"/>
              <w:left w:val="single" w:sz="8" w:space="0" w:color="000000"/>
              <w:bottom w:val="single" w:sz="8" w:space="0" w:color="000000"/>
              <w:right w:val="single" w:sz="8" w:space="0" w:color="000000"/>
            </w:tcBorders>
            <w:tcMar>
              <w:top w:w="0" w:type="dxa"/>
              <w:left w:w="108" w:type="dxa"/>
              <w:bottom w:w="0" w:type="dxa"/>
              <w:right w:w="108" w:type="dxa"/>
            </w:tcMar>
          </w:tcPr>
          <w:p w:rsidR="00D23FAD" w:rsidRPr="00887638" w:rsidRDefault="00D23FAD" w:rsidP="00887638">
            <w:pPr>
              <w:spacing w:line="360" w:lineRule="auto"/>
              <w:ind w:firstLineChars="200" w:firstLine="480"/>
              <w:jc w:val="center"/>
              <w:rPr>
                <w:bCs/>
                <w:color w:val="000000"/>
                <w:sz w:val="24"/>
              </w:rPr>
            </w:pPr>
            <w:r w:rsidRPr="00887638">
              <w:rPr>
                <w:rFonts w:hint="eastAsia"/>
                <w:bCs/>
                <w:color w:val="000000"/>
                <w:sz w:val="24"/>
              </w:rPr>
              <w:t>认购金额</w:t>
            </w:r>
            <w:r w:rsidRPr="00887638">
              <w:rPr>
                <w:rFonts w:hint="eastAsia"/>
                <w:bCs/>
                <w:color w:val="000000"/>
                <w:sz w:val="24"/>
              </w:rPr>
              <w:t>M</w:t>
            </w:r>
            <w:r w:rsidRPr="00887638">
              <w:rPr>
                <w:rFonts w:hint="eastAsia"/>
                <w:bCs/>
                <w:color w:val="000000"/>
                <w:sz w:val="24"/>
              </w:rPr>
              <w:t>（含认购费）</w:t>
            </w:r>
          </w:p>
        </w:tc>
        <w:tc>
          <w:tcPr>
            <w:tcW w:w="4053" w:type="dxa"/>
            <w:tcBorders>
              <w:top w:val="single" w:sz="4" w:space="0" w:color="auto"/>
              <w:left w:val="nil"/>
              <w:bottom w:val="single" w:sz="8" w:space="0" w:color="000000"/>
              <w:right w:val="single" w:sz="8" w:space="0" w:color="000000"/>
            </w:tcBorders>
            <w:tcMar>
              <w:top w:w="0" w:type="dxa"/>
              <w:left w:w="108" w:type="dxa"/>
              <w:bottom w:w="0" w:type="dxa"/>
              <w:right w:w="108" w:type="dxa"/>
            </w:tcMar>
            <w:vAlign w:val="center"/>
          </w:tcPr>
          <w:p w:rsidR="00D23FAD" w:rsidRPr="00887638" w:rsidRDefault="00D23FAD" w:rsidP="00887638">
            <w:pPr>
              <w:spacing w:line="360" w:lineRule="auto"/>
              <w:ind w:firstLineChars="200" w:firstLine="480"/>
              <w:jc w:val="center"/>
              <w:rPr>
                <w:bCs/>
                <w:color w:val="000000"/>
                <w:sz w:val="24"/>
              </w:rPr>
            </w:pPr>
            <w:r w:rsidRPr="00887638">
              <w:rPr>
                <w:rFonts w:hint="eastAsia"/>
                <w:bCs/>
                <w:color w:val="000000"/>
                <w:sz w:val="24"/>
              </w:rPr>
              <w:t>认购费率</w:t>
            </w:r>
          </w:p>
        </w:tc>
      </w:tr>
      <w:tr w:rsidR="00D23FAD" w:rsidRPr="00AC5AF7" w:rsidTr="00563D2D">
        <w:trPr>
          <w:trHeight w:val="211"/>
          <w:jc w:val="center"/>
        </w:trPr>
        <w:tc>
          <w:tcPr>
            <w:tcW w:w="4212"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D23FAD" w:rsidRPr="00887638" w:rsidRDefault="00D23FAD" w:rsidP="00887638">
            <w:pPr>
              <w:spacing w:line="360" w:lineRule="auto"/>
              <w:ind w:firstLineChars="200" w:firstLine="480"/>
              <w:jc w:val="center"/>
              <w:rPr>
                <w:bCs/>
                <w:color w:val="000000"/>
                <w:sz w:val="24"/>
              </w:rPr>
            </w:pPr>
            <w:r w:rsidRPr="00887638">
              <w:rPr>
                <w:rFonts w:hint="eastAsia"/>
                <w:bCs/>
                <w:color w:val="000000"/>
                <w:sz w:val="24"/>
              </w:rPr>
              <w:t>M</w:t>
            </w:r>
            <w:r w:rsidRPr="00887638">
              <w:rPr>
                <w:rFonts w:hint="eastAsia"/>
                <w:bCs/>
                <w:color w:val="000000"/>
                <w:sz w:val="24"/>
              </w:rPr>
              <w:t>＜</w:t>
            </w:r>
            <w:r w:rsidRPr="00887638">
              <w:rPr>
                <w:rFonts w:hint="eastAsia"/>
                <w:bCs/>
                <w:color w:val="000000"/>
                <w:sz w:val="24"/>
              </w:rPr>
              <w:t>100</w:t>
            </w:r>
            <w:r w:rsidRPr="00887638">
              <w:rPr>
                <w:rFonts w:hint="eastAsia"/>
                <w:bCs/>
                <w:color w:val="000000"/>
                <w:sz w:val="24"/>
              </w:rPr>
              <w:t>万元</w:t>
            </w:r>
          </w:p>
        </w:tc>
        <w:tc>
          <w:tcPr>
            <w:tcW w:w="4053"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D23FAD" w:rsidRPr="00887638" w:rsidRDefault="00D23FAD" w:rsidP="00887638">
            <w:pPr>
              <w:spacing w:line="360" w:lineRule="auto"/>
              <w:ind w:firstLineChars="200" w:firstLine="480"/>
              <w:jc w:val="center"/>
              <w:rPr>
                <w:bCs/>
                <w:color w:val="000000"/>
                <w:sz w:val="24"/>
              </w:rPr>
            </w:pPr>
            <w:r w:rsidRPr="00887638">
              <w:rPr>
                <w:rFonts w:hint="eastAsia"/>
                <w:bCs/>
                <w:color w:val="000000"/>
                <w:sz w:val="24"/>
              </w:rPr>
              <w:t>0.30%</w:t>
            </w:r>
          </w:p>
        </w:tc>
      </w:tr>
      <w:tr w:rsidR="00D23FAD" w:rsidRPr="00AC5AF7" w:rsidTr="00563D2D">
        <w:trPr>
          <w:trHeight w:val="211"/>
          <w:jc w:val="center"/>
        </w:trPr>
        <w:tc>
          <w:tcPr>
            <w:tcW w:w="4212"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D23FAD" w:rsidRPr="00887638" w:rsidRDefault="00D23FAD" w:rsidP="00887638">
            <w:pPr>
              <w:spacing w:line="360" w:lineRule="auto"/>
              <w:ind w:firstLineChars="200" w:firstLine="480"/>
              <w:jc w:val="center"/>
              <w:rPr>
                <w:bCs/>
                <w:color w:val="000000"/>
                <w:sz w:val="24"/>
              </w:rPr>
            </w:pPr>
            <w:r w:rsidRPr="00887638">
              <w:rPr>
                <w:rFonts w:hint="eastAsia"/>
                <w:bCs/>
                <w:color w:val="000000"/>
                <w:sz w:val="24"/>
              </w:rPr>
              <w:t>100</w:t>
            </w:r>
            <w:r w:rsidRPr="00887638">
              <w:rPr>
                <w:rFonts w:hint="eastAsia"/>
                <w:bCs/>
                <w:color w:val="000000"/>
                <w:sz w:val="24"/>
              </w:rPr>
              <w:t>万元≤</w:t>
            </w:r>
            <w:r w:rsidRPr="00887638">
              <w:rPr>
                <w:rFonts w:hint="eastAsia"/>
                <w:bCs/>
                <w:color w:val="000000"/>
                <w:sz w:val="24"/>
              </w:rPr>
              <w:t>M</w:t>
            </w:r>
            <w:r w:rsidRPr="00887638">
              <w:rPr>
                <w:rFonts w:hint="eastAsia"/>
                <w:bCs/>
                <w:color w:val="000000"/>
                <w:sz w:val="24"/>
              </w:rPr>
              <w:t>＜</w:t>
            </w:r>
            <w:r w:rsidRPr="00887638">
              <w:rPr>
                <w:rFonts w:hint="eastAsia"/>
                <w:bCs/>
                <w:color w:val="000000"/>
                <w:sz w:val="24"/>
              </w:rPr>
              <w:t>500</w:t>
            </w:r>
            <w:r w:rsidRPr="00887638">
              <w:rPr>
                <w:rFonts w:hint="eastAsia"/>
                <w:bCs/>
                <w:color w:val="000000"/>
                <w:sz w:val="24"/>
              </w:rPr>
              <w:t>万元</w:t>
            </w:r>
          </w:p>
        </w:tc>
        <w:tc>
          <w:tcPr>
            <w:tcW w:w="4053"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D23FAD" w:rsidRPr="00887638" w:rsidRDefault="00D23FAD" w:rsidP="00887638">
            <w:pPr>
              <w:spacing w:line="360" w:lineRule="auto"/>
              <w:ind w:firstLineChars="200" w:firstLine="480"/>
              <w:jc w:val="center"/>
              <w:rPr>
                <w:bCs/>
                <w:color w:val="000000"/>
                <w:sz w:val="24"/>
              </w:rPr>
            </w:pPr>
            <w:r w:rsidRPr="00887638">
              <w:rPr>
                <w:rFonts w:hint="eastAsia"/>
                <w:bCs/>
                <w:color w:val="000000"/>
                <w:sz w:val="24"/>
              </w:rPr>
              <w:t>0.20%</w:t>
            </w:r>
          </w:p>
        </w:tc>
      </w:tr>
      <w:tr w:rsidR="00D23FAD" w:rsidRPr="00AC5AF7" w:rsidTr="00563D2D">
        <w:trPr>
          <w:trHeight w:val="211"/>
          <w:jc w:val="center"/>
        </w:trPr>
        <w:tc>
          <w:tcPr>
            <w:tcW w:w="4212" w:type="dxa"/>
            <w:tcBorders>
              <w:top w:val="nil"/>
              <w:left w:val="single" w:sz="8" w:space="0" w:color="000000"/>
              <w:bottom w:val="single" w:sz="8" w:space="0" w:color="000000"/>
              <w:right w:val="single" w:sz="8" w:space="0" w:color="000000"/>
            </w:tcBorders>
            <w:tcMar>
              <w:top w:w="0" w:type="dxa"/>
              <w:left w:w="108" w:type="dxa"/>
              <w:bottom w:w="0" w:type="dxa"/>
              <w:right w:w="108" w:type="dxa"/>
            </w:tcMar>
          </w:tcPr>
          <w:p w:rsidR="00D23FAD" w:rsidRPr="00887638" w:rsidRDefault="00D23FAD" w:rsidP="00887638">
            <w:pPr>
              <w:spacing w:line="360" w:lineRule="auto"/>
              <w:ind w:firstLineChars="200" w:firstLine="480"/>
              <w:jc w:val="center"/>
              <w:rPr>
                <w:bCs/>
                <w:color w:val="000000"/>
                <w:sz w:val="24"/>
              </w:rPr>
            </w:pPr>
            <w:r w:rsidRPr="00887638">
              <w:rPr>
                <w:rFonts w:hint="eastAsia"/>
                <w:bCs/>
                <w:color w:val="000000"/>
                <w:sz w:val="24"/>
              </w:rPr>
              <w:t>M</w:t>
            </w:r>
            <w:r w:rsidRPr="00887638">
              <w:rPr>
                <w:rFonts w:hint="eastAsia"/>
                <w:bCs/>
                <w:color w:val="000000"/>
                <w:sz w:val="24"/>
              </w:rPr>
              <w:t>≥</w:t>
            </w:r>
            <w:r w:rsidRPr="00887638">
              <w:rPr>
                <w:rFonts w:hint="eastAsia"/>
                <w:bCs/>
                <w:color w:val="000000"/>
                <w:sz w:val="24"/>
              </w:rPr>
              <w:t>500</w:t>
            </w:r>
            <w:r w:rsidRPr="00887638">
              <w:rPr>
                <w:rFonts w:hint="eastAsia"/>
                <w:bCs/>
                <w:color w:val="000000"/>
                <w:sz w:val="24"/>
              </w:rPr>
              <w:t>万元</w:t>
            </w:r>
          </w:p>
        </w:tc>
        <w:tc>
          <w:tcPr>
            <w:tcW w:w="4053" w:type="dxa"/>
            <w:tcBorders>
              <w:top w:val="nil"/>
              <w:left w:val="nil"/>
              <w:bottom w:val="single" w:sz="8" w:space="0" w:color="000000"/>
              <w:right w:val="single" w:sz="8" w:space="0" w:color="000000"/>
            </w:tcBorders>
            <w:tcMar>
              <w:top w:w="0" w:type="dxa"/>
              <w:left w:w="108" w:type="dxa"/>
              <w:bottom w:w="0" w:type="dxa"/>
              <w:right w:w="108" w:type="dxa"/>
            </w:tcMar>
            <w:vAlign w:val="center"/>
          </w:tcPr>
          <w:p w:rsidR="00D23FAD" w:rsidRPr="00887638" w:rsidRDefault="00D23FAD" w:rsidP="00887638">
            <w:pPr>
              <w:spacing w:line="360" w:lineRule="auto"/>
              <w:ind w:firstLineChars="200" w:firstLine="480"/>
              <w:jc w:val="center"/>
              <w:rPr>
                <w:bCs/>
                <w:color w:val="000000"/>
                <w:sz w:val="24"/>
              </w:rPr>
            </w:pPr>
            <w:r w:rsidRPr="00887638">
              <w:rPr>
                <w:rFonts w:hint="eastAsia"/>
                <w:bCs/>
                <w:color w:val="000000"/>
                <w:sz w:val="24"/>
              </w:rPr>
              <w:t>每笔</w:t>
            </w:r>
            <w:r w:rsidRPr="00887638">
              <w:rPr>
                <w:rFonts w:hint="eastAsia"/>
                <w:bCs/>
                <w:color w:val="000000"/>
                <w:sz w:val="24"/>
              </w:rPr>
              <w:t>1,000</w:t>
            </w:r>
            <w:r w:rsidRPr="00887638">
              <w:rPr>
                <w:rFonts w:hint="eastAsia"/>
                <w:bCs/>
                <w:color w:val="000000"/>
                <w:sz w:val="24"/>
              </w:rPr>
              <w:t>元</w:t>
            </w:r>
          </w:p>
        </w:tc>
      </w:tr>
    </w:tbl>
    <w:p w:rsidR="00D23FAD" w:rsidRPr="00887638" w:rsidRDefault="00D23FAD" w:rsidP="00887638">
      <w:pPr>
        <w:spacing w:line="360" w:lineRule="auto"/>
        <w:ind w:firstLineChars="200" w:firstLine="480"/>
        <w:rPr>
          <w:bCs/>
          <w:color w:val="000000"/>
          <w:sz w:val="24"/>
        </w:rPr>
      </w:pPr>
      <w:r w:rsidRPr="00887638">
        <w:rPr>
          <w:rFonts w:hint="eastAsia"/>
          <w:bCs/>
          <w:color w:val="000000"/>
          <w:sz w:val="24"/>
        </w:rPr>
        <w:t>A</w:t>
      </w:r>
      <w:r w:rsidRPr="00887638">
        <w:rPr>
          <w:rFonts w:hint="eastAsia"/>
          <w:bCs/>
          <w:color w:val="000000"/>
          <w:sz w:val="24"/>
        </w:rPr>
        <w:t>类基金份额的认购费用用于本基金的市场推广、销售等募集期间发生的各项费用，不列入基金资产。</w:t>
      </w:r>
    </w:p>
    <w:p w:rsidR="00563D2D" w:rsidRDefault="00563D2D">
      <w:pPr>
        <w:pStyle w:val="af6"/>
        <w:ind w:firstLine="480"/>
      </w:pPr>
      <w:r>
        <w:t>8</w:t>
      </w:r>
      <w:r>
        <w:t>、基金认购份额的计算</w:t>
      </w:r>
    </w:p>
    <w:p w:rsidR="00D23FAD" w:rsidRPr="00D23FAD" w:rsidRDefault="00D23FAD" w:rsidP="00D23FAD">
      <w:pPr>
        <w:spacing w:line="360" w:lineRule="auto"/>
        <w:ind w:firstLineChars="200" w:firstLine="480"/>
        <w:rPr>
          <w:rFonts w:hint="eastAsia"/>
          <w:sz w:val="24"/>
        </w:rPr>
      </w:pPr>
      <w:r>
        <w:rPr>
          <w:rFonts w:hint="eastAsia"/>
          <w:sz w:val="24"/>
        </w:rPr>
        <w:t>（</w:t>
      </w:r>
      <w:r>
        <w:rPr>
          <w:rFonts w:hint="eastAsia"/>
          <w:sz w:val="24"/>
        </w:rPr>
        <w:t>1</w:t>
      </w:r>
      <w:r>
        <w:rPr>
          <w:rFonts w:hint="eastAsia"/>
          <w:sz w:val="24"/>
        </w:rPr>
        <w:t>）</w:t>
      </w:r>
      <w:r w:rsidRPr="00D23FAD">
        <w:rPr>
          <w:rFonts w:hint="eastAsia"/>
          <w:sz w:val="24"/>
        </w:rPr>
        <w:t>本基金基金份额发售面值为人民币</w:t>
      </w:r>
      <w:r w:rsidRPr="00D23FAD">
        <w:rPr>
          <w:rFonts w:hint="eastAsia"/>
          <w:sz w:val="24"/>
        </w:rPr>
        <w:t>1.00</w:t>
      </w:r>
      <w:r w:rsidRPr="00D23FAD">
        <w:rPr>
          <w:rFonts w:hint="eastAsia"/>
          <w:sz w:val="24"/>
        </w:rPr>
        <w:t>元。投资者通过直销机构认购本基金的，不收取认购费用。投资者通过代销机构认购本基金</w:t>
      </w:r>
      <w:r w:rsidRPr="00D23FAD">
        <w:rPr>
          <w:rFonts w:hint="eastAsia"/>
          <w:sz w:val="24"/>
        </w:rPr>
        <w:t>A</w:t>
      </w:r>
      <w:r w:rsidRPr="00D23FAD">
        <w:rPr>
          <w:rFonts w:hint="eastAsia"/>
          <w:sz w:val="24"/>
        </w:rPr>
        <w:t>类基金份额收取认购费用，认购</w:t>
      </w:r>
      <w:r w:rsidRPr="00D23FAD">
        <w:rPr>
          <w:rFonts w:hint="eastAsia"/>
          <w:sz w:val="24"/>
        </w:rPr>
        <w:t>C</w:t>
      </w:r>
      <w:r w:rsidRPr="00D23FAD">
        <w:rPr>
          <w:rFonts w:hint="eastAsia"/>
          <w:sz w:val="24"/>
        </w:rPr>
        <w:t>类基金份额不收取认购费用。</w:t>
      </w:r>
    </w:p>
    <w:p w:rsidR="00D23FAD" w:rsidRPr="00D23FAD" w:rsidRDefault="00D23FAD" w:rsidP="00D23FAD">
      <w:pPr>
        <w:spacing w:line="360" w:lineRule="auto"/>
        <w:ind w:firstLineChars="200" w:firstLine="480"/>
        <w:rPr>
          <w:rFonts w:hint="eastAsia"/>
          <w:sz w:val="24"/>
        </w:rPr>
      </w:pPr>
      <w:r>
        <w:rPr>
          <w:rFonts w:hint="eastAsia"/>
          <w:sz w:val="24"/>
        </w:rPr>
        <w:t>（</w:t>
      </w:r>
      <w:r>
        <w:rPr>
          <w:rFonts w:hint="eastAsia"/>
          <w:sz w:val="24"/>
        </w:rPr>
        <w:t>2</w:t>
      </w:r>
      <w:r>
        <w:rPr>
          <w:rFonts w:hint="eastAsia"/>
          <w:sz w:val="24"/>
        </w:rPr>
        <w:t>）</w:t>
      </w:r>
      <w:r w:rsidRPr="00D23FAD">
        <w:rPr>
          <w:rFonts w:hint="eastAsia"/>
          <w:sz w:val="24"/>
        </w:rPr>
        <w:t>认购本基金基金份额的计算方式</w:t>
      </w:r>
    </w:p>
    <w:p w:rsidR="00D23FAD" w:rsidRPr="00D23FAD" w:rsidRDefault="00D23FAD" w:rsidP="00D23FAD">
      <w:pPr>
        <w:spacing w:line="360" w:lineRule="auto"/>
        <w:ind w:firstLineChars="200" w:firstLine="480"/>
        <w:rPr>
          <w:rFonts w:hint="eastAsia"/>
          <w:sz w:val="24"/>
        </w:rPr>
      </w:pPr>
      <w:r w:rsidRPr="00D23FAD">
        <w:rPr>
          <w:rFonts w:hint="eastAsia"/>
          <w:sz w:val="24"/>
        </w:rPr>
        <w:t>基金认购采用金额认购的方式。</w:t>
      </w:r>
    </w:p>
    <w:p w:rsidR="00D23FAD" w:rsidRPr="00D23FAD" w:rsidRDefault="00D23FAD" w:rsidP="00D23FAD">
      <w:pPr>
        <w:spacing w:line="360" w:lineRule="auto"/>
        <w:ind w:firstLineChars="200" w:firstLine="480"/>
        <w:rPr>
          <w:rFonts w:hint="eastAsia"/>
          <w:sz w:val="24"/>
        </w:rPr>
      </w:pPr>
      <w:r w:rsidRPr="00D23FAD">
        <w:rPr>
          <w:rFonts w:hint="eastAsia"/>
          <w:sz w:val="24"/>
        </w:rPr>
        <w:t>1</w:t>
      </w:r>
      <w:r w:rsidRPr="00D23FAD">
        <w:rPr>
          <w:rFonts w:hint="eastAsia"/>
          <w:sz w:val="24"/>
        </w:rPr>
        <w:t>）若投资者通过直销机构认购本基金</w:t>
      </w:r>
      <w:r w:rsidRPr="00D23FAD">
        <w:rPr>
          <w:rFonts w:hint="eastAsia"/>
          <w:sz w:val="24"/>
        </w:rPr>
        <w:t>A</w:t>
      </w:r>
      <w:r w:rsidRPr="00D23FAD">
        <w:rPr>
          <w:rFonts w:hint="eastAsia"/>
          <w:sz w:val="24"/>
        </w:rPr>
        <w:t>类基金份额：</w:t>
      </w:r>
    </w:p>
    <w:p w:rsidR="00D23FAD" w:rsidRPr="00D23FAD" w:rsidRDefault="00D23FAD" w:rsidP="00D23FAD">
      <w:pPr>
        <w:spacing w:line="360" w:lineRule="auto"/>
        <w:ind w:firstLineChars="200" w:firstLine="480"/>
        <w:rPr>
          <w:rFonts w:hint="eastAsia"/>
          <w:sz w:val="24"/>
        </w:rPr>
      </w:pPr>
      <w:r w:rsidRPr="00D23FAD">
        <w:rPr>
          <w:rFonts w:hint="eastAsia"/>
          <w:sz w:val="24"/>
        </w:rPr>
        <w:t>认购份额＝（认购金额＋认购利息）</w:t>
      </w:r>
      <w:r w:rsidRPr="00D23FAD">
        <w:rPr>
          <w:rFonts w:hint="eastAsia"/>
          <w:sz w:val="24"/>
        </w:rPr>
        <w:t>/</w:t>
      </w:r>
      <w:r w:rsidRPr="00D23FAD">
        <w:rPr>
          <w:rFonts w:hint="eastAsia"/>
          <w:sz w:val="24"/>
        </w:rPr>
        <w:t>基金份额发售面值</w:t>
      </w:r>
    </w:p>
    <w:p w:rsidR="00D23FAD" w:rsidRPr="00D23FAD" w:rsidRDefault="00D23FAD" w:rsidP="00D23FAD">
      <w:pPr>
        <w:spacing w:line="360" w:lineRule="auto"/>
        <w:ind w:firstLineChars="200" w:firstLine="480"/>
        <w:rPr>
          <w:rFonts w:hint="eastAsia"/>
          <w:sz w:val="24"/>
        </w:rPr>
      </w:pPr>
      <w:r w:rsidRPr="00D23FAD">
        <w:rPr>
          <w:rFonts w:hint="eastAsia"/>
          <w:sz w:val="24"/>
        </w:rPr>
        <w:t>例：某投资者通过直销机构投资</w:t>
      </w:r>
      <w:r w:rsidRPr="00D23FAD">
        <w:rPr>
          <w:rFonts w:hint="eastAsia"/>
          <w:sz w:val="24"/>
        </w:rPr>
        <w:t>100,000</w:t>
      </w:r>
      <w:r w:rsidRPr="00D23FAD">
        <w:rPr>
          <w:rFonts w:hint="eastAsia"/>
          <w:sz w:val="24"/>
        </w:rPr>
        <w:t>元认购本基金</w:t>
      </w:r>
      <w:r w:rsidRPr="00D23FAD">
        <w:rPr>
          <w:rFonts w:hint="eastAsia"/>
          <w:sz w:val="24"/>
        </w:rPr>
        <w:t>A</w:t>
      </w:r>
      <w:r w:rsidRPr="00D23FAD">
        <w:rPr>
          <w:rFonts w:hint="eastAsia"/>
          <w:sz w:val="24"/>
        </w:rPr>
        <w:t>类基金份额，假定募集期产生的利息为</w:t>
      </w:r>
      <w:r w:rsidRPr="00D23FAD">
        <w:rPr>
          <w:rFonts w:hint="eastAsia"/>
          <w:sz w:val="24"/>
        </w:rPr>
        <w:t>55.00</w:t>
      </w:r>
      <w:r w:rsidRPr="00D23FAD">
        <w:rPr>
          <w:rFonts w:hint="eastAsia"/>
          <w:sz w:val="24"/>
        </w:rPr>
        <w:t>元，则可认购</w:t>
      </w:r>
      <w:r w:rsidRPr="00D23FAD">
        <w:rPr>
          <w:rFonts w:hint="eastAsia"/>
          <w:sz w:val="24"/>
        </w:rPr>
        <w:t>A</w:t>
      </w:r>
      <w:r w:rsidRPr="00D23FAD">
        <w:rPr>
          <w:rFonts w:hint="eastAsia"/>
          <w:sz w:val="24"/>
        </w:rPr>
        <w:t>类基金份额为：</w:t>
      </w:r>
    </w:p>
    <w:p w:rsidR="00D23FAD" w:rsidRPr="00D23FAD" w:rsidRDefault="00D23FAD" w:rsidP="00D23FAD">
      <w:pPr>
        <w:spacing w:line="360" w:lineRule="auto"/>
        <w:ind w:firstLineChars="200" w:firstLine="480"/>
        <w:rPr>
          <w:rFonts w:hint="eastAsia"/>
          <w:sz w:val="24"/>
        </w:rPr>
      </w:pPr>
      <w:r w:rsidRPr="00D23FAD">
        <w:rPr>
          <w:rFonts w:hint="eastAsia"/>
          <w:sz w:val="24"/>
        </w:rPr>
        <w:t>认购份额＝（</w:t>
      </w:r>
      <w:r w:rsidRPr="00D23FAD">
        <w:rPr>
          <w:rFonts w:hint="eastAsia"/>
          <w:sz w:val="24"/>
        </w:rPr>
        <w:t>100,000</w:t>
      </w:r>
      <w:r w:rsidRPr="00D23FAD">
        <w:rPr>
          <w:rFonts w:hint="eastAsia"/>
          <w:sz w:val="24"/>
        </w:rPr>
        <w:t>＋</w:t>
      </w:r>
      <w:r w:rsidRPr="00D23FAD">
        <w:rPr>
          <w:rFonts w:hint="eastAsia"/>
          <w:sz w:val="24"/>
        </w:rPr>
        <w:t>55.00</w:t>
      </w:r>
      <w:r w:rsidRPr="00D23FAD">
        <w:rPr>
          <w:rFonts w:hint="eastAsia"/>
          <w:sz w:val="24"/>
        </w:rPr>
        <w:t>）</w:t>
      </w:r>
      <w:r w:rsidRPr="00D23FAD">
        <w:rPr>
          <w:rFonts w:hint="eastAsia"/>
          <w:sz w:val="24"/>
        </w:rPr>
        <w:t>/1.00</w:t>
      </w:r>
      <w:r w:rsidRPr="00D23FAD">
        <w:rPr>
          <w:rFonts w:hint="eastAsia"/>
          <w:sz w:val="24"/>
        </w:rPr>
        <w:t>＝</w:t>
      </w:r>
      <w:r w:rsidRPr="00D23FAD">
        <w:rPr>
          <w:rFonts w:hint="eastAsia"/>
          <w:sz w:val="24"/>
        </w:rPr>
        <w:t>100,055.00</w:t>
      </w:r>
      <w:r w:rsidRPr="00D23FAD">
        <w:rPr>
          <w:rFonts w:hint="eastAsia"/>
          <w:sz w:val="24"/>
        </w:rPr>
        <w:t>份</w:t>
      </w:r>
    </w:p>
    <w:p w:rsidR="00D23FAD" w:rsidRPr="00D23FAD" w:rsidRDefault="00D23FAD" w:rsidP="00D23FAD">
      <w:pPr>
        <w:spacing w:line="360" w:lineRule="auto"/>
        <w:ind w:firstLineChars="200" w:firstLine="480"/>
        <w:rPr>
          <w:rFonts w:hint="eastAsia"/>
          <w:sz w:val="24"/>
        </w:rPr>
      </w:pPr>
      <w:r w:rsidRPr="00D23FAD">
        <w:rPr>
          <w:rFonts w:hint="eastAsia"/>
          <w:sz w:val="24"/>
        </w:rPr>
        <w:t>即：该投资者通过直销机构投资</w:t>
      </w:r>
      <w:r w:rsidRPr="00D23FAD">
        <w:rPr>
          <w:rFonts w:hint="eastAsia"/>
          <w:sz w:val="24"/>
        </w:rPr>
        <w:t>100,000</w:t>
      </w:r>
      <w:r w:rsidRPr="00D23FAD">
        <w:rPr>
          <w:rFonts w:hint="eastAsia"/>
          <w:sz w:val="24"/>
        </w:rPr>
        <w:t>元认购本基金</w:t>
      </w:r>
      <w:r w:rsidRPr="00D23FAD">
        <w:rPr>
          <w:rFonts w:hint="eastAsia"/>
          <w:sz w:val="24"/>
        </w:rPr>
        <w:t>A</w:t>
      </w:r>
      <w:r w:rsidRPr="00D23FAD">
        <w:rPr>
          <w:rFonts w:hint="eastAsia"/>
          <w:sz w:val="24"/>
        </w:rPr>
        <w:t>类基金份额，假定募集期产生的利息为</w:t>
      </w:r>
      <w:r w:rsidRPr="00D23FAD">
        <w:rPr>
          <w:rFonts w:hint="eastAsia"/>
          <w:sz w:val="24"/>
        </w:rPr>
        <w:t>55.00</w:t>
      </w:r>
      <w:r w:rsidRPr="00D23FAD">
        <w:rPr>
          <w:rFonts w:hint="eastAsia"/>
          <w:sz w:val="24"/>
        </w:rPr>
        <w:t>元，则可得到</w:t>
      </w:r>
      <w:r w:rsidRPr="00D23FAD">
        <w:rPr>
          <w:rFonts w:hint="eastAsia"/>
          <w:sz w:val="24"/>
        </w:rPr>
        <w:t>100,055.00</w:t>
      </w:r>
      <w:r w:rsidRPr="00D23FAD">
        <w:rPr>
          <w:rFonts w:hint="eastAsia"/>
          <w:sz w:val="24"/>
        </w:rPr>
        <w:t>份</w:t>
      </w:r>
      <w:r w:rsidRPr="00D23FAD">
        <w:rPr>
          <w:rFonts w:hint="eastAsia"/>
          <w:sz w:val="24"/>
        </w:rPr>
        <w:t>A</w:t>
      </w:r>
      <w:r w:rsidRPr="00D23FAD">
        <w:rPr>
          <w:rFonts w:hint="eastAsia"/>
          <w:sz w:val="24"/>
        </w:rPr>
        <w:t>类基金份额。</w:t>
      </w:r>
    </w:p>
    <w:p w:rsidR="00D23FAD" w:rsidRPr="00D23FAD" w:rsidRDefault="00D23FAD" w:rsidP="00D23FAD">
      <w:pPr>
        <w:spacing w:line="360" w:lineRule="auto"/>
        <w:ind w:firstLineChars="200" w:firstLine="480"/>
        <w:rPr>
          <w:rFonts w:hint="eastAsia"/>
          <w:sz w:val="24"/>
        </w:rPr>
      </w:pPr>
      <w:r w:rsidRPr="00D23FAD">
        <w:rPr>
          <w:rFonts w:hint="eastAsia"/>
          <w:sz w:val="24"/>
        </w:rPr>
        <w:t>2</w:t>
      </w:r>
      <w:r w:rsidRPr="00D23FAD">
        <w:rPr>
          <w:rFonts w:hint="eastAsia"/>
          <w:sz w:val="24"/>
        </w:rPr>
        <w:t>）若投资者通过代销机构认购本基金</w:t>
      </w:r>
      <w:r w:rsidRPr="00D23FAD">
        <w:rPr>
          <w:rFonts w:hint="eastAsia"/>
          <w:sz w:val="24"/>
        </w:rPr>
        <w:t>A</w:t>
      </w:r>
      <w:r w:rsidRPr="00D23FAD">
        <w:rPr>
          <w:rFonts w:hint="eastAsia"/>
          <w:sz w:val="24"/>
        </w:rPr>
        <w:t>类基金份额：</w:t>
      </w:r>
    </w:p>
    <w:p w:rsidR="00D23FAD" w:rsidRPr="00D23FAD" w:rsidRDefault="00D23FAD" w:rsidP="00D23FAD">
      <w:pPr>
        <w:spacing w:line="360" w:lineRule="auto"/>
        <w:ind w:firstLineChars="200" w:firstLine="480"/>
        <w:rPr>
          <w:rFonts w:hint="eastAsia"/>
          <w:sz w:val="24"/>
        </w:rPr>
      </w:pPr>
      <w:r w:rsidRPr="00D23FAD">
        <w:rPr>
          <w:rFonts w:hint="eastAsia"/>
          <w:sz w:val="24"/>
        </w:rPr>
        <w:t>基金的认购金额包括认购费用和净认购金额。</w:t>
      </w:r>
    </w:p>
    <w:p w:rsidR="00D23FAD" w:rsidRPr="00D23FAD" w:rsidRDefault="00D23FAD" w:rsidP="00D23FAD">
      <w:pPr>
        <w:spacing w:line="360" w:lineRule="auto"/>
        <w:ind w:firstLineChars="200" w:firstLine="480"/>
        <w:rPr>
          <w:rFonts w:hint="eastAsia"/>
          <w:sz w:val="24"/>
        </w:rPr>
      </w:pPr>
      <w:r w:rsidRPr="00D23FAD">
        <w:rPr>
          <w:rFonts w:hint="eastAsia"/>
          <w:sz w:val="24"/>
        </w:rPr>
        <w:t>当认购费用适用比例费率时，认购份额的计算方法如下：</w:t>
      </w:r>
    </w:p>
    <w:p w:rsidR="00D23FAD" w:rsidRPr="00D23FAD" w:rsidRDefault="00D23FAD" w:rsidP="00D23FAD">
      <w:pPr>
        <w:spacing w:line="360" w:lineRule="auto"/>
        <w:ind w:firstLineChars="200" w:firstLine="480"/>
        <w:rPr>
          <w:rFonts w:hint="eastAsia"/>
          <w:sz w:val="24"/>
        </w:rPr>
      </w:pPr>
      <w:r w:rsidRPr="00D23FAD">
        <w:rPr>
          <w:rFonts w:hint="eastAsia"/>
          <w:sz w:val="24"/>
        </w:rPr>
        <w:t>净认购金额＝认购金额</w:t>
      </w:r>
      <w:r w:rsidRPr="00D23FAD">
        <w:rPr>
          <w:rFonts w:hint="eastAsia"/>
          <w:sz w:val="24"/>
        </w:rPr>
        <w:t>/</w:t>
      </w:r>
      <w:r w:rsidRPr="00D23FAD">
        <w:rPr>
          <w:rFonts w:hint="eastAsia"/>
          <w:sz w:val="24"/>
        </w:rPr>
        <w:t>（</w:t>
      </w:r>
      <w:r w:rsidRPr="00D23FAD">
        <w:rPr>
          <w:rFonts w:hint="eastAsia"/>
          <w:sz w:val="24"/>
        </w:rPr>
        <w:t>1+</w:t>
      </w:r>
      <w:r w:rsidRPr="00D23FAD">
        <w:rPr>
          <w:rFonts w:hint="eastAsia"/>
          <w:sz w:val="24"/>
        </w:rPr>
        <w:t>认购费率）</w:t>
      </w:r>
    </w:p>
    <w:p w:rsidR="00D23FAD" w:rsidRPr="00D23FAD" w:rsidRDefault="00D23FAD" w:rsidP="00D23FAD">
      <w:pPr>
        <w:spacing w:line="360" w:lineRule="auto"/>
        <w:ind w:firstLineChars="200" w:firstLine="480"/>
        <w:rPr>
          <w:rFonts w:hint="eastAsia"/>
          <w:sz w:val="24"/>
        </w:rPr>
      </w:pPr>
      <w:r w:rsidRPr="00D23FAD">
        <w:rPr>
          <w:rFonts w:hint="eastAsia"/>
          <w:sz w:val="24"/>
        </w:rPr>
        <w:t>认购费用＝认购金额－净认购金额</w:t>
      </w:r>
    </w:p>
    <w:p w:rsidR="00D23FAD" w:rsidRPr="00D23FAD" w:rsidRDefault="00D23FAD" w:rsidP="00D23FAD">
      <w:pPr>
        <w:spacing w:line="360" w:lineRule="auto"/>
        <w:ind w:firstLineChars="200" w:firstLine="480"/>
        <w:rPr>
          <w:rFonts w:hint="eastAsia"/>
          <w:sz w:val="24"/>
        </w:rPr>
      </w:pPr>
      <w:r w:rsidRPr="00D23FAD">
        <w:rPr>
          <w:rFonts w:hint="eastAsia"/>
          <w:sz w:val="24"/>
        </w:rPr>
        <w:t>认购份额＝（净认购金额</w:t>
      </w:r>
      <w:r w:rsidRPr="00D23FAD">
        <w:rPr>
          <w:rFonts w:hint="eastAsia"/>
          <w:sz w:val="24"/>
        </w:rPr>
        <w:t>+</w:t>
      </w:r>
      <w:r w:rsidRPr="00D23FAD">
        <w:rPr>
          <w:rFonts w:hint="eastAsia"/>
          <w:sz w:val="24"/>
        </w:rPr>
        <w:t>认购利息）</w:t>
      </w:r>
      <w:r w:rsidRPr="00D23FAD">
        <w:rPr>
          <w:rFonts w:hint="eastAsia"/>
          <w:sz w:val="24"/>
        </w:rPr>
        <w:t>/</w:t>
      </w:r>
      <w:r w:rsidRPr="00D23FAD">
        <w:rPr>
          <w:rFonts w:hint="eastAsia"/>
          <w:sz w:val="24"/>
        </w:rPr>
        <w:t>基金份额发售面值</w:t>
      </w:r>
    </w:p>
    <w:p w:rsidR="00D23FAD" w:rsidRPr="00D23FAD" w:rsidRDefault="00D23FAD" w:rsidP="00D23FAD">
      <w:pPr>
        <w:spacing w:line="360" w:lineRule="auto"/>
        <w:ind w:firstLineChars="200" w:firstLine="480"/>
        <w:rPr>
          <w:rFonts w:hint="eastAsia"/>
          <w:sz w:val="24"/>
        </w:rPr>
      </w:pPr>
      <w:r w:rsidRPr="00D23FAD">
        <w:rPr>
          <w:rFonts w:hint="eastAsia"/>
          <w:sz w:val="24"/>
        </w:rPr>
        <w:t>当认购费用为固定金额时，认购份额的计算方法如下：</w:t>
      </w:r>
    </w:p>
    <w:p w:rsidR="00D23FAD" w:rsidRPr="00D23FAD" w:rsidRDefault="00D23FAD" w:rsidP="00D23FAD">
      <w:pPr>
        <w:spacing w:line="360" w:lineRule="auto"/>
        <w:ind w:firstLineChars="200" w:firstLine="480"/>
        <w:rPr>
          <w:rFonts w:hint="eastAsia"/>
          <w:sz w:val="24"/>
        </w:rPr>
      </w:pPr>
      <w:r w:rsidRPr="00D23FAD">
        <w:rPr>
          <w:rFonts w:hint="eastAsia"/>
          <w:sz w:val="24"/>
        </w:rPr>
        <w:t>认购费用＝固定金额</w:t>
      </w:r>
    </w:p>
    <w:p w:rsidR="00D23FAD" w:rsidRPr="00D23FAD" w:rsidRDefault="00D23FAD" w:rsidP="00D23FAD">
      <w:pPr>
        <w:spacing w:line="360" w:lineRule="auto"/>
        <w:ind w:firstLineChars="200" w:firstLine="480"/>
        <w:rPr>
          <w:rFonts w:hint="eastAsia"/>
          <w:sz w:val="24"/>
        </w:rPr>
      </w:pPr>
      <w:r w:rsidRPr="00D23FAD">
        <w:rPr>
          <w:rFonts w:hint="eastAsia"/>
          <w:sz w:val="24"/>
        </w:rPr>
        <w:t>净认购金额＝认购金额－认购费用</w:t>
      </w:r>
    </w:p>
    <w:p w:rsidR="00D23FAD" w:rsidRPr="00D23FAD" w:rsidRDefault="00D23FAD" w:rsidP="00D23FAD">
      <w:pPr>
        <w:spacing w:line="360" w:lineRule="auto"/>
        <w:ind w:firstLineChars="200" w:firstLine="480"/>
        <w:rPr>
          <w:rFonts w:hint="eastAsia"/>
          <w:sz w:val="24"/>
        </w:rPr>
      </w:pPr>
      <w:r w:rsidRPr="00D23FAD">
        <w:rPr>
          <w:rFonts w:hint="eastAsia"/>
          <w:sz w:val="24"/>
        </w:rPr>
        <w:t>认购份额＝（净认购金额</w:t>
      </w:r>
      <w:r w:rsidRPr="00D23FAD">
        <w:rPr>
          <w:rFonts w:hint="eastAsia"/>
          <w:sz w:val="24"/>
        </w:rPr>
        <w:t>+</w:t>
      </w:r>
      <w:r w:rsidRPr="00D23FAD">
        <w:rPr>
          <w:rFonts w:hint="eastAsia"/>
          <w:sz w:val="24"/>
        </w:rPr>
        <w:t>认购利息）</w:t>
      </w:r>
      <w:r w:rsidRPr="00D23FAD">
        <w:rPr>
          <w:rFonts w:hint="eastAsia"/>
          <w:sz w:val="24"/>
        </w:rPr>
        <w:t>/</w:t>
      </w:r>
      <w:r w:rsidRPr="00D23FAD">
        <w:rPr>
          <w:rFonts w:hint="eastAsia"/>
          <w:sz w:val="24"/>
        </w:rPr>
        <w:t>基金份额发售面值</w:t>
      </w:r>
    </w:p>
    <w:p w:rsidR="00D23FAD" w:rsidRPr="00D23FAD" w:rsidRDefault="00D23FAD" w:rsidP="00D23FAD">
      <w:pPr>
        <w:spacing w:line="360" w:lineRule="auto"/>
        <w:ind w:firstLineChars="200" w:firstLine="480"/>
        <w:rPr>
          <w:rFonts w:hint="eastAsia"/>
          <w:sz w:val="24"/>
        </w:rPr>
      </w:pPr>
      <w:r w:rsidRPr="00D23FAD">
        <w:rPr>
          <w:rFonts w:hint="eastAsia"/>
          <w:sz w:val="24"/>
        </w:rPr>
        <w:t>例：某投资者通过代销机构投资</w:t>
      </w:r>
      <w:r w:rsidRPr="00D23FAD">
        <w:rPr>
          <w:rFonts w:hint="eastAsia"/>
          <w:sz w:val="24"/>
        </w:rPr>
        <w:t>100,000</w:t>
      </w:r>
      <w:r w:rsidRPr="00D23FAD">
        <w:rPr>
          <w:rFonts w:hint="eastAsia"/>
          <w:sz w:val="24"/>
        </w:rPr>
        <w:t>元认购本基金</w:t>
      </w:r>
      <w:r w:rsidRPr="00D23FAD">
        <w:rPr>
          <w:rFonts w:hint="eastAsia"/>
          <w:sz w:val="24"/>
        </w:rPr>
        <w:t>A</w:t>
      </w:r>
      <w:r w:rsidRPr="00D23FAD">
        <w:rPr>
          <w:rFonts w:hint="eastAsia"/>
          <w:sz w:val="24"/>
        </w:rPr>
        <w:t>类基金份额，则对应的认购费率为</w:t>
      </w:r>
      <w:r w:rsidRPr="00D23FAD">
        <w:rPr>
          <w:rFonts w:hint="eastAsia"/>
          <w:sz w:val="24"/>
        </w:rPr>
        <w:t>0.30%</w:t>
      </w:r>
      <w:r w:rsidRPr="00D23FAD">
        <w:rPr>
          <w:rFonts w:hint="eastAsia"/>
          <w:sz w:val="24"/>
        </w:rPr>
        <w:t>，假定募集期产生的利息为</w:t>
      </w:r>
      <w:r w:rsidRPr="00D23FAD">
        <w:rPr>
          <w:rFonts w:hint="eastAsia"/>
          <w:sz w:val="24"/>
        </w:rPr>
        <w:t>55.00</w:t>
      </w:r>
      <w:r w:rsidRPr="00D23FAD">
        <w:rPr>
          <w:rFonts w:hint="eastAsia"/>
          <w:sz w:val="24"/>
        </w:rPr>
        <w:t>元，则可认购</w:t>
      </w:r>
      <w:r w:rsidRPr="00D23FAD">
        <w:rPr>
          <w:rFonts w:hint="eastAsia"/>
          <w:sz w:val="24"/>
        </w:rPr>
        <w:t>A</w:t>
      </w:r>
      <w:r w:rsidRPr="00D23FAD">
        <w:rPr>
          <w:rFonts w:hint="eastAsia"/>
          <w:sz w:val="24"/>
        </w:rPr>
        <w:t>类基金份额为：</w:t>
      </w:r>
    </w:p>
    <w:p w:rsidR="00D23FAD" w:rsidRPr="00D23FAD" w:rsidRDefault="00D23FAD" w:rsidP="00D23FAD">
      <w:pPr>
        <w:spacing w:line="360" w:lineRule="auto"/>
        <w:ind w:firstLineChars="200" w:firstLine="480"/>
        <w:rPr>
          <w:rFonts w:hint="eastAsia"/>
          <w:sz w:val="24"/>
        </w:rPr>
      </w:pPr>
      <w:r w:rsidRPr="00D23FAD">
        <w:rPr>
          <w:rFonts w:hint="eastAsia"/>
          <w:sz w:val="24"/>
        </w:rPr>
        <w:t>净认购金额＝</w:t>
      </w:r>
      <w:r w:rsidRPr="00D23FAD">
        <w:rPr>
          <w:rFonts w:hint="eastAsia"/>
          <w:sz w:val="24"/>
        </w:rPr>
        <w:t>100,000/</w:t>
      </w:r>
      <w:r w:rsidRPr="00D23FAD">
        <w:rPr>
          <w:rFonts w:hint="eastAsia"/>
          <w:sz w:val="24"/>
        </w:rPr>
        <w:t>（</w:t>
      </w:r>
      <w:r w:rsidRPr="00D23FAD">
        <w:rPr>
          <w:rFonts w:hint="eastAsia"/>
          <w:sz w:val="24"/>
        </w:rPr>
        <w:t>1</w:t>
      </w:r>
      <w:r w:rsidRPr="00D23FAD">
        <w:rPr>
          <w:rFonts w:hint="eastAsia"/>
          <w:sz w:val="24"/>
        </w:rPr>
        <w:t>＋</w:t>
      </w:r>
      <w:r w:rsidRPr="00D23FAD">
        <w:rPr>
          <w:rFonts w:hint="eastAsia"/>
          <w:sz w:val="24"/>
        </w:rPr>
        <w:t>0.30%</w:t>
      </w:r>
      <w:r w:rsidRPr="00D23FAD">
        <w:rPr>
          <w:rFonts w:hint="eastAsia"/>
          <w:sz w:val="24"/>
        </w:rPr>
        <w:t>）＝</w:t>
      </w:r>
      <w:r w:rsidRPr="00D23FAD">
        <w:rPr>
          <w:rFonts w:hint="eastAsia"/>
          <w:sz w:val="24"/>
        </w:rPr>
        <w:t>99,700.90</w:t>
      </w:r>
      <w:r w:rsidRPr="00D23FAD">
        <w:rPr>
          <w:rFonts w:hint="eastAsia"/>
          <w:sz w:val="24"/>
        </w:rPr>
        <w:t>元</w:t>
      </w:r>
    </w:p>
    <w:p w:rsidR="00D23FAD" w:rsidRPr="00D23FAD" w:rsidRDefault="00D23FAD" w:rsidP="00D23FAD">
      <w:pPr>
        <w:spacing w:line="360" w:lineRule="auto"/>
        <w:ind w:firstLineChars="200" w:firstLine="480"/>
        <w:rPr>
          <w:rFonts w:hint="eastAsia"/>
          <w:sz w:val="24"/>
        </w:rPr>
      </w:pPr>
      <w:r w:rsidRPr="00D23FAD">
        <w:rPr>
          <w:rFonts w:hint="eastAsia"/>
          <w:sz w:val="24"/>
        </w:rPr>
        <w:t>认购费用＝</w:t>
      </w:r>
      <w:r w:rsidRPr="00D23FAD">
        <w:rPr>
          <w:rFonts w:hint="eastAsia"/>
          <w:sz w:val="24"/>
        </w:rPr>
        <w:t>100,000-99,700.90</w:t>
      </w:r>
      <w:r w:rsidRPr="00D23FAD">
        <w:rPr>
          <w:rFonts w:hint="eastAsia"/>
          <w:sz w:val="24"/>
        </w:rPr>
        <w:t>＝</w:t>
      </w:r>
      <w:r w:rsidRPr="00D23FAD">
        <w:rPr>
          <w:rFonts w:hint="eastAsia"/>
          <w:sz w:val="24"/>
        </w:rPr>
        <w:t>299.10</w:t>
      </w:r>
      <w:r w:rsidRPr="00D23FAD">
        <w:rPr>
          <w:rFonts w:hint="eastAsia"/>
          <w:sz w:val="24"/>
        </w:rPr>
        <w:t>元</w:t>
      </w:r>
    </w:p>
    <w:p w:rsidR="00D23FAD" w:rsidRPr="00D23FAD" w:rsidRDefault="00D23FAD" w:rsidP="00D23FAD">
      <w:pPr>
        <w:spacing w:line="360" w:lineRule="auto"/>
        <w:ind w:firstLineChars="200" w:firstLine="480"/>
        <w:rPr>
          <w:rFonts w:hint="eastAsia"/>
          <w:sz w:val="24"/>
        </w:rPr>
      </w:pPr>
      <w:r w:rsidRPr="00D23FAD">
        <w:rPr>
          <w:rFonts w:hint="eastAsia"/>
          <w:sz w:val="24"/>
        </w:rPr>
        <w:t>认购份额＝（</w:t>
      </w:r>
      <w:r w:rsidRPr="00D23FAD">
        <w:rPr>
          <w:rFonts w:hint="eastAsia"/>
          <w:sz w:val="24"/>
        </w:rPr>
        <w:t>99,700.90</w:t>
      </w:r>
      <w:r w:rsidRPr="00D23FAD">
        <w:rPr>
          <w:rFonts w:hint="eastAsia"/>
          <w:sz w:val="24"/>
        </w:rPr>
        <w:t>＋</w:t>
      </w:r>
      <w:r w:rsidRPr="00D23FAD">
        <w:rPr>
          <w:rFonts w:hint="eastAsia"/>
          <w:sz w:val="24"/>
        </w:rPr>
        <w:t>55.00</w:t>
      </w:r>
      <w:r w:rsidRPr="00D23FAD">
        <w:rPr>
          <w:rFonts w:hint="eastAsia"/>
          <w:sz w:val="24"/>
        </w:rPr>
        <w:t>）</w:t>
      </w:r>
      <w:r w:rsidRPr="00D23FAD">
        <w:rPr>
          <w:rFonts w:hint="eastAsia"/>
          <w:sz w:val="24"/>
        </w:rPr>
        <w:t>/1.00</w:t>
      </w:r>
      <w:r w:rsidRPr="00D23FAD">
        <w:rPr>
          <w:rFonts w:hint="eastAsia"/>
          <w:sz w:val="24"/>
        </w:rPr>
        <w:t>＝</w:t>
      </w:r>
      <w:r w:rsidRPr="00D23FAD">
        <w:rPr>
          <w:rFonts w:hint="eastAsia"/>
          <w:sz w:val="24"/>
        </w:rPr>
        <w:t>99,755.90</w:t>
      </w:r>
      <w:r w:rsidRPr="00D23FAD">
        <w:rPr>
          <w:rFonts w:hint="eastAsia"/>
          <w:sz w:val="24"/>
        </w:rPr>
        <w:t>份</w:t>
      </w:r>
    </w:p>
    <w:p w:rsidR="00D23FAD" w:rsidRPr="00D23FAD" w:rsidRDefault="00D23FAD" w:rsidP="00D23FAD">
      <w:pPr>
        <w:spacing w:line="360" w:lineRule="auto"/>
        <w:ind w:firstLineChars="200" w:firstLine="480"/>
        <w:rPr>
          <w:rFonts w:hint="eastAsia"/>
          <w:sz w:val="24"/>
        </w:rPr>
      </w:pPr>
      <w:r w:rsidRPr="00D23FAD">
        <w:rPr>
          <w:rFonts w:hint="eastAsia"/>
          <w:sz w:val="24"/>
        </w:rPr>
        <w:t>即：该投资者通过代销机构投资</w:t>
      </w:r>
      <w:r w:rsidRPr="00D23FAD">
        <w:rPr>
          <w:rFonts w:hint="eastAsia"/>
          <w:sz w:val="24"/>
        </w:rPr>
        <w:t>100,000</w:t>
      </w:r>
      <w:r w:rsidRPr="00D23FAD">
        <w:rPr>
          <w:rFonts w:hint="eastAsia"/>
          <w:sz w:val="24"/>
        </w:rPr>
        <w:t>元认购本基金</w:t>
      </w:r>
      <w:r w:rsidRPr="00D23FAD">
        <w:rPr>
          <w:rFonts w:hint="eastAsia"/>
          <w:sz w:val="24"/>
        </w:rPr>
        <w:t>A</w:t>
      </w:r>
      <w:r w:rsidRPr="00D23FAD">
        <w:rPr>
          <w:rFonts w:hint="eastAsia"/>
          <w:sz w:val="24"/>
        </w:rPr>
        <w:t>类基金份额，则对应的认购费率为</w:t>
      </w:r>
      <w:r w:rsidRPr="00D23FAD">
        <w:rPr>
          <w:rFonts w:hint="eastAsia"/>
          <w:sz w:val="24"/>
        </w:rPr>
        <w:t>0.30%</w:t>
      </w:r>
      <w:r w:rsidRPr="00D23FAD">
        <w:rPr>
          <w:rFonts w:hint="eastAsia"/>
          <w:sz w:val="24"/>
        </w:rPr>
        <w:t>，假定募集期产生的利息为</w:t>
      </w:r>
      <w:r w:rsidRPr="00D23FAD">
        <w:rPr>
          <w:rFonts w:hint="eastAsia"/>
          <w:sz w:val="24"/>
        </w:rPr>
        <w:t>55.00</w:t>
      </w:r>
      <w:r w:rsidRPr="00D23FAD">
        <w:rPr>
          <w:rFonts w:hint="eastAsia"/>
          <w:sz w:val="24"/>
        </w:rPr>
        <w:t>元，则可得到</w:t>
      </w:r>
      <w:r w:rsidRPr="00D23FAD">
        <w:rPr>
          <w:rFonts w:hint="eastAsia"/>
          <w:sz w:val="24"/>
        </w:rPr>
        <w:t>99,755.90</w:t>
      </w:r>
      <w:r w:rsidRPr="00D23FAD">
        <w:rPr>
          <w:rFonts w:hint="eastAsia"/>
          <w:sz w:val="24"/>
        </w:rPr>
        <w:t>份</w:t>
      </w:r>
      <w:r w:rsidRPr="00D23FAD">
        <w:rPr>
          <w:rFonts w:hint="eastAsia"/>
          <w:sz w:val="24"/>
        </w:rPr>
        <w:t>A</w:t>
      </w:r>
      <w:r w:rsidRPr="00D23FAD">
        <w:rPr>
          <w:rFonts w:hint="eastAsia"/>
          <w:sz w:val="24"/>
        </w:rPr>
        <w:t>类基金份额。</w:t>
      </w:r>
    </w:p>
    <w:p w:rsidR="00D23FAD" w:rsidRPr="00D23FAD" w:rsidRDefault="00D23FAD" w:rsidP="00D23FAD">
      <w:pPr>
        <w:spacing w:line="360" w:lineRule="auto"/>
        <w:ind w:firstLineChars="200" w:firstLine="480"/>
        <w:rPr>
          <w:rFonts w:hint="eastAsia"/>
          <w:sz w:val="24"/>
        </w:rPr>
      </w:pPr>
      <w:r w:rsidRPr="00D23FAD">
        <w:rPr>
          <w:rFonts w:hint="eastAsia"/>
          <w:sz w:val="24"/>
        </w:rPr>
        <w:t>3</w:t>
      </w:r>
      <w:r w:rsidRPr="00D23FAD">
        <w:rPr>
          <w:rFonts w:hint="eastAsia"/>
          <w:sz w:val="24"/>
        </w:rPr>
        <w:t>）认购本基金</w:t>
      </w:r>
      <w:r w:rsidRPr="00D23FAD">
        <w:rPr>
          <w:rFonts w:hint="eastAsia"/>
          <w:sz w:val="24"/>
        </w:rPr>
        <w:t>C</w:t>
      </w:r>
      <w:r w:rsidRPr="00D23FAD">
        <w:rPr>
          <w:rFonts w:hint="eastAsia"/>
          <w:sz w:val="24"/>
        </w:rPr>
        <w:t>类基金份额时不收取认购费用，认购份额的计算方法如下：</w:t>
      </w:r>
    </w:p>
    <w:p w:rsidR="00D23FAD" w:rsidRPr="00D23FAD" w:rsidRDefault="00D23FAD" w:rsidP="00D23FAD">
      <w:pPr>
        <w:spacing w:line="360" w:lineRule="auto"/>
        <w:ind w:firstLineChars="200" w:firstLine="480"/>
        <w:rPr>
          <w:rFonts w:hint="eastAsia"/>
          <w:sz w:val="24"/>
        </w:rPr>
      </w:pPr>
      <w:r w:rsidRPr="00D23FAD">
        <w:rPr>
          <w:rFonts w:hint="eastAsia"/>
          <w:sz w:val="24"/>
        </w:rPr>
        <w:t>认购份额＝（认购金额＋认购利息）</w:t>
      </w:r>
      <w:r w:rsidRPr="00D23FAD">
        <w:rPr>
          <w:rFonts w:hint="eastAsia"/>
          <w:sz w:val="24"/>
        </w:rPr>
        <w:t>/</w:t>
      </w:r>
      <w:r w:rsidRPr="00D23FAD">
        <w:rPr>
          <w:rFonts w:hint="eastAsia"/>
          <w:sz w:val="24"/>
        </w:rPr>
        <w:t>基金份额发售面值</w:t>
      </w:r>
    </w:p>
    <w:p w:rsidR="00D23FAD" w:rsidRPr="00D23FAD" w:rsidRDefault="00D23FAD" w:rsidP="00D23FAD">
      <w:pPr>
        <w:spacing w:line="360" w:lineRule="auto"/>
        <w:ind w:firstLineChars="200" w:firstLine="480"/>
        <w:rPr>
          <w:rFonts w:hint="eastAsia"/>
          <w:sz w:val="24"/>
        </w:rPr>
      </w:pPr>
      <w:r w:rsidRPr="00D23FAD">
        <w:rPr>
          <w:rFonts w:hint="eastAsia"/>
          <w:sz w:val="24"/>
        </w:rPr>
        <w:t>例：某投资者投资</w:t>
      </w:r>
      <w:r w:rsidRPr="00D23FAD">
        <w:rPr>
          <w:rFonts w:hint="eastAsia"/>
          <w:sz w:val="24"/>
        </w:rPr>
        <w:t>10,000</w:t>
      </w:r>
      <w:r w:rsidRPr="00D23FAD">
        <w:rPr>
          <w:rFonts w:hint="eastAsia"/>
          <w:sz w:val="24"/>
        </w:rPr>
        <w:t>元认购本基金</w:t>
      </w:r>
      <w:r w:rsidRPr="00D23FAD">
        <w:rPr>
          <w:rFonts w:hint="eastAsia"/>
          <w:sz w:val="24"/>
        </w:rPr>
        <w:t>C</w:t>
      </w:r>
      <w:r w:rsidRPr="00D23FAD">
        <w:rPr>
          <w:rFonts w:hint="eastAsia"/>
          <w:sz w:val="24"/>
        </w:rPr>
        <w:t>类基金份额，假定募集期产生的利息为</w:t>
      </w:r>
      <w:r w:rsidRPr="00D23FAD">
        <w:rPr>
          <w:rFonts w:hint="eastAsia"/>
          <w:sz w:val="24"/>
        </w:rPr>
        <w:t>3.00</w:t>
      </w:r>
      <w:r w:rsidRPr="00D23FAD">
        <w:rPr>
          <w:rFonts w:hint="eastAsia"/>
          <w:sz w:val="24"/>
        </w:rPr>
        <w:t>元，则可认购</w:t>
      </w:r>
      <w:r w:rsidRPr="00D23FAD">
        <w:rPr>
          <w:rFonts w:hint="eastAsia"/>
          <w:sz w:val="24"/>
        </w:rPr>
        <w:t>C</w:t>
      </w:r>
      <w:r w:rsidRPr="00D23FAD">
        <w:rPr>
          <w:rFonts w:hint="eastAsia"/>
          <w:sz w:val="24"/>
        </w:rPr>
        <w:t>类基金份额为：</w:t>
      </w:r>
    </w:p>
    <w:p w:rsidR="00D23FAD" w:rsidRPr="00D23FAD" w:rsidRDefault="00D23FAD" w:rsidP="00D23FAD">
      <w:pPr>
        <w:spacing w:line="360" w:lineRule="auto"/>
        <w:ind w:firstLineChars="200" w:firstLine="480"/>
        <w:rPr>
          <w:rFonts w:hint="eastAsia"/>
          <w:sz w:val="24"/>
        </w:rPr>
      </w:pPr>
      <w:r w:rsidRPr="00D23FAD">
        <w:rPr>
          <w:rFonts w:hint="eastAsia"/>
          <w:sz w:val="24"/>
        </w:rPr>
        <w:t>认购份额＝（</w:t>
      </w:r>
      <w:r w:rsidRPr="00D23FAD">
        <w:rPr>
          <w:rFonts w:hint="eastAsia"/>
          <w:sz w:val="24"/>
        </w:rPr>
        <w:t>10,000</w:t>
      </w:r>
      <w:r w:rsidRPr="00D23FAD">
        <w:rPr>
          <w:rFonts w:hint="eastAsia"/>
          <w:sz w:val="24"/>
        </w:rPr>
        <w:t>＋</w:t>
      </w:r>
      <w:r w:rsidRPr="00D23FAD">
        <w:rPr>
          <w:rFonts w:hint="eastAsia"/>
          <w:sz w:val="24"/>
        </w:rPr>
        <w:t>3.00</w:t>
      </w:r>
      <w:r w:rsidRPr="00D23FAD">
        <w:rPr>
          <w:rFonts w:hint="eastAsia"/>
          <w:sz w:val="24"/>
        </w:rPr>
        <w:t>）</w:t>
      </w:r>
      <w:r w:rsidRPr="00D23FAD">
        <w:rPr>
          <w:rFonts w:hint="eastAsia"/>
          <w:sz w:val="24"/>
        </w:rPr>
        <w:t>/1.00</w:t>
      </w:r>
      <w:r w:rsidRPr="00D23FAD">
        <w:rPr>
          <w:rFonts w:hint="eastAsia"/>
          <w:sz w:val="24"/>
        </w:rPr>
        <w:t>＝</w:t>
      </w:r>
      <w:r w:rsidRPr="00D23FAD">
        <w:rPr>
          <w:rFonts w:hint="eastAsia"/>
          <w:sz w:val="24"/>
        </w:rPr>
        <w:t>10,003.00</w:t>
      </w:r>
      <w:r w:rsidRPr="00D23FAD">
        <w:rPr>
          <w:rFonts w:hint="eastAsia"/>
          <w:sz w:val="24"/>
        </w:rPr>
        <w:t>份</w:t>
      </w:r>
    </w:p>
    <w:p w:rsidR="00D23FAD" w:rsidRPr="00D23FAD" w:rsidRDefault="00D23FAD" w:rsidP="00D23FAD">
      <w:pPr>
        <w:spacing w:line="360" w:lineRule="auto"/>
        <w:ind w:firstLineChars="200" w:firstLine="480"/>
        <w:rPr>
          <w:rFonts w:hint="eastAsia"/>
          <w:sz w:val="24"/>
        </w:rPr>
      </w:pPr>
      <w:r w:rsidRPr="00D23FAD">
        <w:rPr>
          <w:rFonts w:hint="eastAsia"/>
          <w:sz w:val="24"/>
        </w:rPr>
        <w:t>即：该投资者投资</w:t>
      </w:r>
      <w:r w:rsidRPr="00D23FAD">
        <w:rPr>
          <w:rFonts w:hint="eastAsia"/>
          <w:sz w:val="24"/>
        </w:rPr>
        <w:t>10,000</w:t>
      </w:r>
      <w:r w:rsidRPr="00D23FAD">
        <w:rPr>
          <w:rFonts w:hint="eastAsia"/>
          <w:sz w:val="24"/>
        </w:rPr>
        <w:t>元认购本基金</w:t>
      </w:r>
      <w:r w:rsidRPr="00D23FAD">
        <w:rPr>
          <w:rFonts w:hint="eastAsia"/>
          <w:sz w:val="24"/>
        </w:rPr>
        <w:t>C</w:t>
      </w:r>
      <w:r w:rsidRPr="00D23FAD">
        <w:rPr>
          <w:rFonts w:hint="eastAsia"/>
          <w:sz w:val="24"/>
        </w:rPr>
        <w:t>类基金份额，假定募集期产生的利息为</w:t>
      </w:r>
      <w:r w:rsidRPr="00D23FAD">
        <w:rPr>
          <w:rFonts w:hint="eastAsia"/>
          <w:sz w:val="24"/>
        </w:rPr>
        <w:t>3.00</w:t>
      </w:r>
      <w:r w:rsidRPr="00D23FAD">
        <w:rPr>
          <w:rFonts w:hint="eastAsia"/>
          <w:sz w:val="24"/>
        </w:rPr>
        <w:t>元，则可得到</w:t>
      </w:r>
      <w:r w:rsidRPr="00D23FAD">
        <w:rPr>
          <w:rFonts w:hint="eastAsia"/>
          <w:sz w:val="24"/>
        </w:rPr>
        <w:t>10,003.00</w:t>
      </w:r>
      <w:r w:rsidRPr="00D23FAD">
        <w:rPr>
          <w:rFonts w:hint="eastAsia"/>
          <w:sz w:val="24"/>
        </w:rPr>
        <w:t>份</w:t>
      </w:r>
      <w:r w:rsidRPr="00D23FAD">
        <w:rPr>
          <w:rFonts w:hint="eastAsia"/>
          <w:sz w:val="24"/>
        </w:rPr>
        <w:t>C</w:t>
      </w:r>
      <w:r w:rsidRPr="00D23FAD">
        <w:rPr>
          <w:rFonts w:hint="eastAsia"/>
          <w:sz w:val="24"/>
        </w:rPr>
        <w:t>类基金份额。</w:t>
      </w:r>
    </w:p>
    <w:p w:rsidR="00563D2D" w:rsidRDefault="00D23FAD" w:rsidP="00887638">
      <w:pPr>
        <w:spacing w:line="360" w:lineRule="auto"/>
        <w:ind w:firstLineChars="200" w:firstLine="480"/>
        <w:rPr>
          <w:sz w:val="24"/>
        </w:rPr>
      </w:pPr>
      <w:r w:rsidRPr="00D23FAD">
        <w:rPr>
          <w:rFonts w:hint="eastAsia"/>
          <w:sz w:val="24"/>
        </w:rPr>
        <w:t>4</w:t>
      </w:r>
      <w:r w:rsidRPr="00D23FAD">
        <w:rPr>
          <w:rFonts w:hint="eastAsia"/>
          <w:sz w:val="24"/>
        </w:rPr>
        <w:t>）上述计算结果均按四舍五入方法，保留到小数点后</w:t>
      </w:r>
      <w:r w:rsidRPr="00D23FAD">
        <w:rPr>
          <w:rFonts w:hint="eastAsia"/>
          <w:sz w:val="24"/>
        </w:rPr>
        <w:t>2</w:t>
      </w:r>
      <w:r w:rsidRPr="00D23FAD">
        <w:rPr>
          <w:rFonts w:hint="eastAsia"/>
          <w:sz w:val="24"/>
        </w:rPr>
        <w:t>位，由此产生的收益或损失由基金财产承担。</w:t>
      </w:r>
    </w:p>
    <w:p w:rsidR="00563D2D" w:rsidRDefault="00563D2D">
      <w:pPr>
        <w:spacing w:line="360" w:lineRule="auto"/>
        <w:ind w:firstLineChars="200" w:firstLine="480"/>
        <w:rPr>
          <w:sz w:val="24"/>
        </w:rPr>
      </w:pPr>
      <w:r>
        <w:rPr>
          <w:sz w:val="24"/>
        </w:rPr>
        <w:t>9</w:t>
      </w:r>
      <w:r>
        <w:rPr>
          <w:sz w:val="24"/>
        </w:rPr>
        <w:t>、认购的确认</w:t>
      </w:r>
    </w:p>
    <w:p w:rsidR="00946090" w:rsidRDefault="00563D2D" w:rsidP="00887638">
      <w:pPr>
        <w:spacing w:line="360" w:lineRule="auto"/>
        <w:ind w:firstLineChars="200" w:firstLine="480"/>
        <w:sectPr w:rsidR="00946090">
          <w:footerReference w:type="default" r:id="rId7"/>
          <w:pgSz w:w="11906" w:h="16838"/>
          <w:pgMar w:top="1440" w:right="1800" w:bottom="1440" w:left="1800" w:header="851" w:footer="992" w:gutter="0"/>
          <w:cols w:space="720"/>
          <w:docGrid w:type="lines" w:linePitch="312"/>
        </w:sectPr>
      </w:pPr>
      <w:r w:rsidRPr="00887638">
        <w:rPr>
          <w:sz w:val="24"/>
        </w:rPr>
        <w:t>当日（</w:t>
      </w:r>
      <w:r w:rsidRPr="00887638">
        <w:rPr>
          <w:sz w:val="24"/>
        </w:rPr>
        <w:t>T</w:t>
      </w:r>
      <w:r w:rsidRPr="00887638">
        <w:rPr>
          <w:sz w:val="24"/>
        </w:rPr>
        <w:t>日）在规定时间内提交的申请，投资者通常可在</w:t>
      </w:r>
      <w:r w:rsidRPr="00887638">
        <w:rPr>
          <w:sz w:val="24"/>
        </w:rPr>
        <w:t>T</w:t>
      </w:r>
      <w:r w:rsidRPr="00887638">
        <w:rPr>
          <w:sz w:val="24"/>
        </w:rPr>
        <w:t>＋</w:t>
      </w:r>
      <w:r w:rsidRPr="00887638">
        <w:rPr>
          <w:sz w:val="24"/>
        </w:rPr>
        <w:t>2</w:t>
      </w:r>
      <w:r w:rsidRPr="00887638">
        <w:rPr>
          <w:sz w:val="24"/>
        </w:rPr>
        <w:t>日到网点查询交易情况，在募集截止日后</w:t>
      </w:r>
      <w:r w:rsidRPr="00887638">
        <w:rPr>
          <w:sz w:val="24"/>
        </w:rPr>
        <w:t>4</w:t>
      </w:r>
      <w:r w:rsidRPr="00887638">
        <w:rPr>
          <w:sz w:val="24"/>
        </w:rPr>
        <w:t>个工作日内可以到网点打印交易确认书。</w:t>
      </w:r>
    </w:p>
    <w:p w:rsidR="00563D2D" w:rsidRPr="00E1711D" w:rsidRDefault="00563D2D" w:rsidP="00E1711D">
      <w:pPr>
        <w:pStyle w:val="2"/>
        <w:spacing w:before="156" w:after="156"/>
        <w:rPr>
          <w:szCs w:val="24"/>
        </w:rPr>
      </w:pPr>
      <w:r w:rsidRPr="00946090">
        <w:rPr>
          <w:szCs w:val="24"/>
        </w:rPr>
        <w:t>三、个人投资者的</w:t>
      </w:r>
      <w:bookmarkStart w:id="11" w:name="OLE_LINK48"/>
      <w:bookmarkStart w:id="12" w:name="OLE_LINK49"/>
      <w:r w:rsidRPr="00946090">
        <w:rPr>
          <w:szCs w:val="24"/>
        </w:rPr>
        <w:t>开户与认购</w:t>
      </w:r>
      <w:bookmarkEnd w:id="11"/>
      <w:bookmarkEnd w:id="12"/>
      <w:r w:rsidRPr="00946090">
        <w:rPr>
          <w:szCs w:val="24"/>
        </w:rPr>
        <w:t>程序</w:t>
      </w:r>
    </w:p>
    <w:p w:rsidR="00563D2D" w:rsidRDefault="00563D2D">
      <w:pPr>
        <w:pStyle w:val="af6"/>
        <w:ind w:firstLine="482"/>
        <w:rPr>
          <w:b/>
        </w:rPr>
      </w:pPr>
      <w:r>
        <w:rPr>
          <w:b/>
        </w:rPr>
        <w:t>（一）直销网点</w:t>
      </w:r>
    </w:p>
    <w:p w:rsidR="00563D2D" w:rsidRDefault="00563D2D">
      <w:pPr>
        <w:pStyle w:val="af6"/>
        <w:ind w:firstLine="480"/>
      </w:pPr>
      <w:r>
        <w:t>1</w:t>
      </w:r>
      <w:r>
        <w:t>、个人投资者认购金额在</w:t>
      </w:r>
      <w:r>
        <w:t>50,000</w:t>
      </w:r>
      <w:r>
        <w:t>元（含</w:t>
      </w:r>
      <w:r>
        <w:t>50,000</w:t>
      </w:r>
      <w:r>
        <w:t>元）以上，可以选择到本公司直销中心办理。</w:t>
      </w:r>
    </w:p>
    <w:p w:rsidR="00563D2D" w:rsidRDefault="00563D2D">
      <w:pPr>
        <w:pStyle w:val="af6"/>
        <w:ind w:firstLine="480"/>
      </w:pPr>
      <w:r>
        <w:t>2</w:t>
      </w:r>
      <w:r>
        <w:t>、未在直销中心开立基金账户的个人投资者，应先办理开户后，方可办理认购。个人投资者在直销中心办理开户和认购业务的表单，可登录富国基金官网（</w:t>
      </w:r>
      <w:r>
        <w:t>www.fullgoal.com.cn</w:t>
      </w:r>
      <w:r>
        <w:t>）</w:t>
      </w:r>
      <w:r>
        <w:t>→</w:t>
      </w:r>
      <w:r>
        <w:t>客户服务</w:t>
      </w:r>
      <w:r>
        <w:t>→</w:t>
      </w:r>
      <w:r>
        <w:t>下载中心</w:t>
      </w:r>
      <w:r>
        <w:t>→</w:t>
      </w:r>
      <w:r>
        <w:t>个人客户。</w:t>
      </w:r>
    </w:p>
    <w:p w:rsidR="00563D2D" w:rsidRDefault="00563D2D">
      <w:pPr>
        <w:pStyle w:val="af6"/>
        <w:ind w:firstLine="480"/>
      </w:pPr>
      <w:r>
        <w:t>3</w:t>
      </w:r>
      <w:r>
        <w:t>、业务办理时间：基金发售日的</w:t>
      </w:r>
      <w:r>
        <w:t>9</w:t>
      </w:r>
      <w:r>
        <w:t>：</w:t>
      </w:r>
      <w:r>
        <w:t>00-15</w:t>
      </w:r>
      <w:r>
        <w:t>：</w:t>
      </w:r>
      <w:r>
        <w:t>00</w:t>
      </w:r>
      <w:r>
        <w:t>（周六、周日、节假日不受理）。</w:t>
      </w:r>
    </w:p>
    <w:p w:rsidR="00563D2D" w:rsidRDefault="00563D2D">
      <w:pPr>
        <w:pStyle w:val="af6"/>
        <w:ind w:firstLine="480"/>
      </w:pPr>
      <w:r>
        <w:t>4</w:t>
      </w:r>
      <w:r>
        <w:t>、个人投资者办理开户申请时，应亲赴直销网点，并提供下列资料：</w:t>
      </w:r>
    </w:p>
    <w:p w:rsidR="00563D2D" w:rsidRDefault="00563D2D">
      <w:pPr>
        <w:pStyle w:val="af6"/>
        <w:ind w:firstLine="480"/>
      </w:pPr>
      <w:r>
        <w:t>（</w:t>
      </w:r>
      <w:r>
        <w:t>1</w:t>
      </w:r>
      <w:r>
        <w:t>）投资者有效身份证件（身份证、中国护照等）原件及复印件；</w:t>
      </w:r>
    </w:p>
    <w:p w:rsidR="00563D2D" w:rsidRDefault="00563D2D">
      <w:pPr>
        <w:pStyle w:val="af6"/>
        <w:ind w:firstLine="480"/>
      </w:pPr>
      <w:r>
        <w:t>（</w:t>
      </w:r>
      <w:r>
        <w:t>2</w:t>
      </w:r>
      <w:r>
        <w:t>）指定银行账户的证明原件及复印件；</w:t>
      </w:r>
    </w:p>
    <w:p w:rsidR="00563D2D" w:rsidRDefault="00563D2D">
      <w:pPr>
        <w:pStyle w:val="af6"/>
        <w:ind w:firstLine="480"/>
      </w:pPr>
      <w:r>
        <w:t>（</w:t>
      </w:r>
      <w:r>
        <w:t>3</w:t>
      </w:r>
      <w:r>
        <w:t>）填妥的《个人投资者风险承受能力评估问卷》和《富国基金账户业务申请表（个人版）》。</w:t>
      </w:r>
    </w:p>
    <w:p w:rsidR="00563D2D" w:rsidRDefault="00563D2D">
      <w:pPr>
        <w:pStyle w:val="af6"/>
        <w:ind w:firstLine="480"/>
      </w:pPr>
      <w:r>
        <w:t>注：</w:t>
      </w:r>
      <w:r>
        <w:t>“</w:t>
      </w:r>
      <w:r>
        <w:t>指定银行账户</w:t>
      </w:r>
      <w:r>
        <w:t>”</w:t>
      </w:r>
      <w:r>
        <w:t>是指：在本直销网点认购基金的投资者需指定一银行账户作为投资者赎回、分红等资金结算汇入账户。此账户可为投资者在任一商业银行的存款账户，账户名称必须与投资者名称严格一致。账户证明是指银行存折、借记卡等。</w:t>
      </w:r>
    </w:p>
    <w:p w:rsidR="00563D2D" w:rsidRDefault="00563D2D">
      <w:pPr>
        <w:pStyle w:val="af6"/>
        <w:ind w:firstLine="480"/>
      </w:pPr>
      <w:r>
        <w:t>5</w:t>
      </w:r>
      <w:r>
        <w:t>、认购基金汇款账户信息：</w:t>
      </w:r>
    </w:p>
    <w:tbl>
      <w:tblPr>
        <w:tblW w:w="8931" w:type="dxa"/>
        <w:tblInd w:w="0" w:type="dxa"/>
        <w:tblBorders>
          <w:top w:val="single" w:sz="12" w:space="0" w:color="C0504D"/>
          <w:left w:val="single" w:sz="12" w:space="0" w:color="C0504D"/>
          <w:bottom w:val="single" w:sz="12" w:space="0" w:color="C0504D"/>
          <w:right w:val="single" w:sz="12" w:space="0" w:color="C0504D"/>
          <w:insideH w:val="single" w:sz="6" w:space="0" w:color="C0504D"/>
          <w:insideV w:val="single" w:sz="6" w:space="0" w:color="C0504D"/>
        </w:tblBorders>
        <w:tblLook w:val="0000"/>
      </w:tblPr>
      <w:tblGrid>
        <w:gridCol w:w="2127"/>
        <w:gridCol w:w="6804"/>
      </w:tblGrid>
      <w:tr w:rsidR="00563D2D">
        <w:trPr>
          <w:trHeight w:hRule="exact" w:val="340"/>
        </w:trPr>
        <w:tc>
          <w:tcPr>
            <w:tcW w:w="8931" w:type="dxa"/>
            <w:gridSpan w:val="2"/>
            <w:shd w:val="clear" w:color="auto" w:fill="F2F2F2"/>
            <w:vAlign w:val="center"/>
          </w:tcPr>
          <w:p w:rsidR="00563D2D" w:rsidRDefault="00563D2D">
            <w:pPr>
              <w:spacing w:line="340" w:lineRule="atLeast"/>
              <w:jc w:val="center"/>
              <w:rPr>
                <w:rFonts w:ascii="仿宋" w:eastAsia="仿宋" w:hAnsi="仿宋"/>
                <w:b/>
                <w:sz w:val="22"/>
              </w:rPr>
            </w:pPr>
            <w:r>
              <w:rPr>
                <w:rFonts w:ascii="华文细黑" w:eastAsia="华文细黑" w:hAnsi="华文细黑" w:hint="eastAsia"/>
                <w:b/>
              </w:rPr>
              <w:t>一、中国工商银行</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账户名称</w:t>
            </w:r>
          </w:p>
        </w:tc>
        <w:tc>
          <w:tcPr>
            <w:tcW w:w="6804" w:type="dxa"/>
            <w:vAlign w:val="center"/>
          </w:tcPr>
          <w:p w:rsidR="00563D2D" w:rsidRDefault="00563D2D">
            <w:pPr>
              <w:spacing w:line="340" w:lineRule="atLeast"/>
              <w:ind w:firstLine="440"/>
              <w:jc w:val="center"/>
              <w:rPr>
                <w:rFonts w:ascii="仿宋" w:eastAsia="仿宋" w:hAnsi="仿宋"/>
                <w:b/>
                <w:sz w:val="22"/>
              </w:rPr>
            </w:pPr>
            <w:r>
              <w:rPr>
                <w:rFonts w:ascii="仿宋" w:eastAsia="仿宋" w:hAnsi="仿宋" w:hint="eastAsia"/>
                <w:sz w:val="22"/>
              </w:rPr>
              <w:t>富国基金管理有限公司</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账号</w:t>
            </w:r>
          </w:p>
        </w:tc>
        <w:tc>
          <w:tcPr>
            <w:tcW w:w="6804" w:type="dxa"/>
            <w:vAlign w:val="center"/>
          </w:tcPr>
          <w:p w:rsidR="00563D2D" w:rsidRDefault="00563D2D">
            <w:pPr>
              <w:spacing w:line="340" w:lineRule="atLeast"/>
              <w:ind w:firstLine="442"/>
              <w:jc w:val="center"/>
              <w:rPr>
                <w:rFonts w:ascii="仿宋" w:eastAsia="仿宋" w:hAnsi="仿宋"/>
                <w:b/>
                <w:sz w:val="22"/>
              </w:rPr>
            </w:pPr>
            <w:r>
              <w:rPr>
                <w:rFonts w:ascii="仿宋" w:eastAsia="仿宋" w:hAnsi="仿宋"/>
                <w:b/>
                <w:sz w:val="22"/>
              </w:rPr>
              <w:t>1001</w:t>
            </w:r>
            <w:r>
              <w:rPr>
                <w:rFonts w:ascii="仿宋" w:eastAsia="仿宋" w:hAnsi="仿宋" w:hint="eastAsia"/>
                <w:b/>
                <w:sz w:val="22"/>
              </w:rPr>
              <w:t xml:space="preserve"> </w:t>
            </w:r>
            <w:r>
              <w:rPr>
                <w:rFonts w:ascii="仿宋" w:eastAsia="仿宋" w:hAnsi="仿宋"/>
                <w:b/>
                <w:sz w:val="22"/>
              </w:rPr>
              <w:t>2029</w:t>
            </w:r>
            <w:r>
              <w:rPr>
                <w:rFonts w:ascii="仿宋" w:eastAsia="仿宋" w:hAnsi="仿宋" w:hint="eastAsia"/>
                <w:b/>
                <w:sz w:val="22"/>
              </w:rPr>
              <w:t xml:space="preserve"> </w:t>
            </w:r>
            <w:r>
              <w:rPr>
                <w:rFonts w:ascii="仿宋" w:eastAsia="仿宋" w:hAnsi="仿宋"/>
                <w:b/>
                <w:sz w:val="22"/>
              </w:rPr>
              <w:t>1902</w:t>
            </w:r>
            <w:r>
              <w:rPr>
                <w:rFonts w:ascii="仿宋" w:eastAsia="仿宋" w:hAnsi="仿宋" w:hint="eastAsia"/>
                <w:b/>
                <w:sz w:val="22"/>
              </w:rPr>
              <w:t xml:space="preserve"> </w:t>
            </w:r>
            <w:r>
              <w:rPr>
                <w:rFonts w:ascii="仿宋" w:eastAsia="仿宋" w:hAnsi="仿宋"/>
                <w:b/>
                <w:sz w:val="22"/>
              </w:rPr>
              <w:t>5735</w:t>
            </w:r>
            <w:r>
              <w:rPr>
                <w:rFonts w:ascii="仿宋" w:eastAsia="仿宋" w:hAnsi="仿宋" w:hint="eastAsia"/>
                <w:b/>
                <w:sz w:val="22"/>
              </w:rPr>
              <w:t xml:space="preserve"> </w:t>
            </w:r>
            <w:r>
              <w:rPr>
                <w:rFonts w:ascii="仿宋" w:eastAsia="仿宋" w:hAnsi="仿宋"/>
                <w:b/>
                <w:sz w:val="22"/>
              </w:rPr>
              <w:t>568</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开户行</w:t>
            </w:r>
          </w:p>
        </w:tc>
        <w:tc>
          <w:tcPr>
            <w:tcW w:w="6804" w:type="dxa"/>
            <w:vAlign w:val="center"/>
          </w:tcPr>
          <w:p w:rsidR="00563D2D" w:rsidRDefault="00563D2D">
            <w:pPr>
              <w:spacing w:line="340" w:lineRule="atLeast"/>
              <w:ind w:firstLine="440"/>
              <w:jc w:val="center"/>
              <w:rPr>
                <w:rFonts w:ascii="仿宋" w:eastAsia="仿宋" w:hAnsi="仿宋"/>
                <w:b/>
                <w:sz w:val="22"/>
              </w:rPr>
            </w:pPr>
            <w:r>
              <w:rPr>
                <w:rFonts w:ascii="仿宋" w:eastAsia="仿宋" w:hAnsi="仿宋" w:hint="eastAsia"/>
                <w:sz w:val="22"/>
              </w:rPr>
              <w:t>中国工商银行上海市分行营业部证券专柜</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支付系统行号</w:t>
            </w:r>
          </w:p>
        </w:tc>
        <w:tc>
          <w:tcPr>
            <w:tcW w:w="6804" w:type="dxa"/>
            <w:vAlign w:val="center"/>
          </w:tcPr>
          <w:p w:rsidR="00563D2D" w:rsidRDefault="00563D2D">
            <w:pPr>
              <w:spacing w:line="340" w:lineRule="atLeast"/>
              <w:ind w:firstLine="440"/>
              <w:jc w:val="center"/>
              <w:rPr>
                <w:rFonts w:ascii="仿宋" w:eastAsia="仿宋" w:hAnsi="仿宋"/>
                <w:b/>
                <w:sz w:val="22"/>
              </w:rPr>
            </w:pPr>
            <w:r>
              <w:rPr>
                <w:rFonts w:ascii="仿宋" w:eastAsia="仿宋" w:hAnsi="仿宋"/>
                <w:sz w:val="22"/>
              </w:rPr>
              <w:t>102290020294</w:t>
            </w:r>
          </w:p>
        </w:tc>
      </w:tr>
      <w:tr w:rsidR="00563D2D">
        <w:trPr>
          <w:trHeight w:hRule="exact" w:val="340"/>
        </w:trPr>
        <w:tc>
          <w:tcPr>
            <w:tcW w:w="8931" w:type="dxa"/>
            <w:gridSpan w:val="2"/>
            <w:shd w:val="clear" w:color="auto" w:fill="F2F2F2"/>
            <w:vAlign w:val="center"/>
          </w:tcPr>
          <w:p w:rsidR="00563D2D" w:rsidRDefault="00563D2D">
            <w:pPr>
              <w:spacing w:line="340" w:lineRule="atLeast"/>
              <w:ind w:firstLine="480"/>
              <w:jc w:val="center"/>
              <w:rPr>
                <w:rFonts w:ascii="仿宋" w:eastAsia="仿宋" w:hAnsi="仿宋"/>
                <w:b/>
                <w:sz w:val="22"/>
              </w:rPr>
            </w:pPr>
            <w:r>
              <w:rPr>
                <w:rFonts w:ascii="华文细黑" w:eastAsia="华文细黑" w:hAnsi="华文细黑" w:hint="eastAsia"/>
                <w:b/>
              </w:rPr>
              <w:t>二、中国工商银行（美元账户）</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账户名称</w:t>
            </w:r>
          </w:p>
        </w:tc>
        <w:tc>
          <w:tcPr>
            <w:tcW w:w="6804" w:type="dxa"/>
            <w:vAlign w:val="center"/>
          </w:tcPr>
          <w:p w:rsidR="00563D2D" w:rsidRDefault="00563D2D">
            <w:pPr>
              <w:spacing w:line="340" w:lineRule="atLeast"/>
              <w:ind w:firstLine="440"/>
              <w:jc w:val="center"/>
              <w:rPr>
                <w:rFonts w:ascii="仿宋" w:eastAsia="仿宋" w:hAnsi="仿宋"/>
                <w:sz w:val="22"/>
              </w:rPr>
            </w:pPr>
            <w:r>
              <w:rPr>
                <w:rFonts w:ascii="仿宋" w:eastAsia="仿宋" w:hAnsi="仿宋" w:hint="eastAsia"/>
                <w:sz w:val="22"/>
              </w:rPr>
              <w:t>富国基金管理有限公司</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账号</w:t>
            </w:r>
          </w:p>
        </w:tc>
        <w:tc>
          <w:tcPr>
            <w:tcW w:w="6804" w:type="dxa"/>
            <w:vAlign w:val="center"/>
          </w:tcPr>
          <w:p w:rsidR="00563D2D" w:rsidRDefault="00563D2D">
            <w:pPr>
              <w:spacing w:line="340" w:lineRule="atLeast"/>
              <w:ind w:firstLine="442"/>
              <w:jc w:val="center"/>
              <w:rPr>
                <w:rFonts w:ascii="仿宋" w:eastAsia="仿宋" w:hAnsi="仿宋"/>
                <w:b/>
                <w:sz w:val="22"/>
              </w:rPr>
            </w:pPr>
            <w:r>
              <w:rPr>
                <w:rFonts w:ascii="仿宋" w:eastAsia="仿宋" w:hAnsi="仿宋" w:hint="eastAsia"/>
                <w:b/>
                <w:sz w:val="22"/>
              </w:rPr>
              <w:t>1001 2443 2914 2239 244</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开户行</w:t>
            </w:r>
          </w:p>
        </w:tc>
        <w:tc>
          <w:tcPr>
            <w:tcW w:w="6804" w:type="dxa"/>
            <w:vAlign w:val="center"/>
          </w:tcPr>
          <w:p w:rsidR="00563D2D" w:rsidRDefault="00563D2D">
            <w:pPr>
              <w:spacing w:line="340" w:lineRule="atLeast"/>
              <w:ind w:firstLine="440"/>
              <w:jc w:val="center"/>
              <w:rPr>
                <w:rFonts w:ascii="仿宋" w:eastAsia="仿宋" w:hAnsi="仿宋"/>
                <w:sz w:val="22"/>
              </w:rPr>
            </w:pPr>
            <w:r>
              <w:rPr>
                <w:rFonts w:ascii="仿宋" w:eastAsia="仿宋" w:hAnsi="仿宋" w:hint="eastAsia"/>
                <w:sz w:val="22"/>
              </w:rPr>
              <w:t>中国工商银行上海市分行营业部</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支付系统行号</w:t>
            </w:r>
          </w:p>
        </w:tc>
        <w:tc>
          <w:tcPr>
            <w:tcW w:w="6804" w:type="dxa"/>
            <w:vAlign w:val="center"/>
          </w:tcPr>
          <w:p w:rsidR="00563D2D" w:rsidRDefault="00563D2D">
            <w:pPr>
              <w:spacing w:line="340" w:lineRule="atLeast"/>
              <w:ind w:firstLine="440"/>
              <w:jc w:val="center"/>
              <w:rPr>
                <w:rFonts w:ascii="仿宋" w:eastAsia="仿宋" w:hAnsi="仿宋"/>
                <w:sz w:val="22"/>
              </w:rPr>
            </w:pPr>
            <w:r>
              <w:rPr>
                <w:rFonts w:ascii="仿宋" w:eastAsia="仿宋" w:hAnsi="仿宋"/>
                <w:sz w:val="22"/>
              </w:rPr>
              <w:t>102290024433</w:t>
            </w:r>
          </w:p>
        </w:tc>
      </w:tr>
      <w:tr w:rsidR="00563D2D">
        <w:trPr>
          <w:trHeight w:hRule="exact" w:val="340"/>
        </w:trPr>
        <w:tc>
          <w:tcPr>
            <w:tcW w:w="8931" w:type="dxa"/>
            <w:gridSpan w:val="2"/>
            <w:shd w:val="clear" w:color="auto" w:fill="F2F2F2"/>
            <w:vAlign w:val="center"/>
          </w:tcPr>
          <w:p w:rsidR="00563D2D" w:rsidRDefault="00563D2D">
            <w:pPr>
              <w:spacing w:line="340" w:lineRule="atLeast"/>
              <w:jc w:val="center"/>
              <w:rPr>
                <w:rFonts w:ascii="华文细黑" w:eastAsia="华文细黑" w:hAnsi="华文细黑"/>
                <w:b/>
                <w:sz w:val="22"/>
              </w:rPr>
            </w:pPr>
            <w:r>
              <w:rPr>
                <w:rFonts w:ascii="华文细黑" w:eastAsia="华文细黑" w:hAnsi="华文细黑" w:hint="eastAsia"/>
                <w:b/>
              </w:rPr>
              <w:t>三、中国建设银行</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账户名称</w:t>
            </w:r>
          </w:p>
        </w:tc>
        <w:tc>
          <w:tcPr>
            <w:tcW w:w="6804" w:type="dxa"/>
            <w:vAlign w:val="center"/>
          </w:tcPr>
          <w:p w:rsidR="00563D2D" w:rsidRDefault="00563D2D">
            <w:pPr>
              <w:spacing w:line="340" w:lineRule="atLeast"/>
              <w:ind w:firstLine="440"/>
              <w:jc w:val="center"/>
              <w:rPr>
                <w:rFonts w:ascii="仿宋" w:eastAsia="仿宋" w:hAnsi="仿宋"/>
                <w:b/>
                <w:sz w:val="22"/>
              </w:rPr>
            </w:pPr>
            <w:r>
              <w:rPr>
                <w:rFonts w:ascii="仿宋" w:eastAsia="仿宋" w:hAnsi="仿宋" w:hint="eastAsia"/>
                <w:sz w:val="22"/>
              </w:rPr>
              <w:t>富国基金管理有限公司</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账号</w:t>
            </w:r>
          </w:p>
        </w:tc>
        <w:tc>
          <w:tcPr>
            <w:tcW w:w="6804" w:type="dxa"/>
            <w:vAlign w:val="center"/>
          </w:tcPr>
          <w:p w:rsidR="00563D2D" w:rsidRDefault="00563D2D">
            <w:pPr>
              <w:spacing w:line="340" w:lineRule="atLeast"/>
              <w:ind w:firstLine="442"/>
              <w:jc w:val="center"/>
              <w:rPr>
                <w:rFonts w:ascii="仿宋" w:eastAsia="仿宋" w:hAnsi="仿宋"/>
                <w:b/>
                <w:sz w:val="22"/>
              </w:rPr>
            </w:pPr>
            <w:r>
              <w:rPr>
                <w:rFonts w:ascii="仿宋" w:eastAsia="仿宋" w:hAnsi="仿宋"/>
                <w:b/>
                <w:sz w:val="22"/>
              </w:rPr>
              <w:t>3100</w:t>
            </w:r>
            <w:r>
              <w:rPr>
                <w:rFonts w:ascii="仿宋" w:eastAsia="仿宋" w:hAnsi="仿宋" w:hint="eastAsia"/>
                <w:b/>
                <w:sz w:val="22"/>
              </w:rPr>
              <w:t xml:space="preserve"> </w:t>
            </w:r>
            <w:r>
              <w:rPr>
                <w:rFonts w:ascii="仿宋" w:eastAsia="仿宋" w:hAnsi="仿宋"/>
                <w:b/>
                <w:sz w:val="22"/>
              </w:rPr>
              <w:t>1550</w:t>
            </w:r>
            <w:r>
              <w:rPr>
                <w:rFonts w:ascii="仿宋" w:eastAsia="仿宋" w:hAnsi="仿宋" w:hint="eastAsia"/>
                <w:b/>
                <w:sz w:val="22"/>
              </w:rPr>
              <w:t xml:space="preserve"> </w:t>
            </w:r>
            <w:r>
              <w:rPr>
                <w:rFonts w:ascii="仿宋" w:eastAsia="仿宋" w:hAnsi="仿宋"/>
                <w:b/>
                <w:sz w:val="22"/>
              </w:rPr>
              <w:t>4000</w:t>
            </w:r>
            <w:r>
              <w:rPr>
                <w:rFonts w:ascii="仿宋" w:eastAsia="仿宋" w:hAnsi="仿宋" w:hint="eastAsia"/>
                <w:b/>
                <w:sz w:val="22"/>
              </w:rPr>
              <w:t xml:space="preserve"> </w:t>
            </w:r>
            <w:r>
              <w:rPr>
                <w:rFonts w:ascii="仿宋" w:eastAsia="仿宋" w:hAnsi="仿宋"/>
                <w:b/>
                <w:sz w:val="22"/>
              </w:rPr>
              <w:t>5001</w:t>
            </w:r>
            <w:r>
              <w:rPr>
                <w:rFonts w:ascii="仿宋" w:eastAsia="仿宋" w:hAnsi="仿宋" w:hint="eastAsia"/>
                <w:b/>
                <w:sz w:val="22"/>
              </w:rPr>
              <w:t xml:space="preserve"> </w:t>
            </w:r>
            <w:r>
              <w:rPr>
                <w:rFonts w:ascii="仿宋" w:eastAsia="仿宋" w:hAnsi="仿宋"/>
                <w:b/>
                <w:sz w:val="22"/>
              </w:rPr>
              <w:t>0860</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开户行</w:t>
            </w:r>
          </w:p>
        </w:tc>
        <w:tc>
          <w:tcPr>
            <w:tcW w:w="6804" w:type="dxa"/>
            <w:vAlign w:val="center"/>
          </w:tcPr>
          <w:p w:rsidR="00563D2D" w:rsidRDefault="00563D2D">
            <w:pPr>
              <w:spacing w:line="340" w:lineRule="atLeast"/>
              <w:ind w:firstLine="440"/>
              <w:jc w:val="center"/>
              <w:rPr>
                <w:rFonts w:ascii="仿宋" w:eastAsia="仿宋" w:hAnsi="仿宋"/>
                <w:b/>
                <w:sz w:val="22"/>
              </w:rPr>
            </w:pPr>
            <w:r>
              <w:rPr>
                <w:rFonts w:ascii="仿宋" w:eastAsia="仿宋" w:hAnsi="仿宋" w:hint="eastAsia"/>
                <w:sz w:val="22"/>
              </w:rPr>
              <w:t>中国建设银行股份有限公司上海市分行营业部</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支付系统行号</w:t>
            </w:r>
          </w:p>
        </w:tc>
        <w:tc>
          <w:tcPr>
            <w:tcW w:w="6804" w:type="dxa"/>
            <w:vAlign w:val="center"/>
          </w:tcPr>
          <w:p w:rsidR="00563D2D" w:rsidRDefault="00563D2D">
            <w:pPr>
              <w:spacing w:line="340" w:lineRule="atLeast"/>
              <w:ind w:firstLine="440"/>
              <w:jc w:val="center"/>
              <w:rPr>
                <w:rFonts w:ascii="仿宋" w:eastAsia="仿宋" w:hAnsi="仿宋"/>
                <w:b/>
                <w:sz w:val="22"/>
              </w:rPr>
            </w:pPr>
            <w:r>
              <w:rPr>
                <w:rFonts w:ascii="仿宋" w:eastAsia="仿宋" w:hAnsi="仿宋"/>
                <w:sz w:val="22"/>
              </w:rPr>
              <w:t>105290036005</w:t>
            </w:r>
          </w:p>
        </w:tc>
      </w:tr>
      <w:tr w:rsidR="00563D2D">
        <w:trPr>
          <w:trHeight w:val="340"/>
        </w:trPr>
        <w:tc>
          <w:tcPr>
            <w:tcW w:w="8931" w:type="dxa"/>
            <w:gridSpan w:val="2"/>
            <w:shd w:val="clear" w:color="auto" w:fill="F2F2F2"/>
            <w:vAlign w:val="center"/>
          </w:tcPr>
          <w:p w:rsidR="00563D2D" w:rsidRDefault="00563D2D">
            <w:pPr>
              <w:spacing w:line="340" w:lineRule="atLeast"/>
              <w:jc w:val="center"/>
              <w:rPr>
                <w:rFonts w:ascii="华文细黑" w:eastAsia="华文细黑" w:hAnsi="华文细黑"/>
                <w:b/>
                <w:sz w:val="22"/>
              </w:rPr>
            </w:pPr>
            <w:r>
              <w:rPr>
                <w:rFonts w:ascii="华文细黑" w:eastAsia="华文细黑" w:hAnsi="华文细黑" w:hint="eastAsia"/>
                <w:b/>
              </w:rPr>
              <w:t>四、交通银行</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sz w:val="22"/>
              </w:rPr>
            </w:pPr>
            <w:r>
              <w:rPr>
                <w:rFonts w:ascii="华文细黑" w:eastAsia="华文细黑" w:hAnsi="华文细黑" w:hint="eastAsia"/>
                <w:b/>
                <w:sz w:val="22"/>
              </w:rPr>
              <w:t>账户名称</w:t>
            </w:r>
          </w:p>
        </w:tc>
        <w:tc>
          <w:tcPr>
            <w:tcW w:w="6804" w:type="dxa"/>
            <w:vAlign w:val="center"/>
          </w:tcPr>
          <w:p w:rsidR="00563D2D" w:rsidRDefault="00563D2D">
            <w:pPr>
              <w:spacing w:line="340" w:lineRule="atLeast"/>
              <w:ind w:firstLine="440"/>
              <w:jc w:val="center"/>
              <w:rPr>
                <w:rFonts w:ascii="仿宋" w:eastAsia="仿宋" w:hAnsi="仿宋"/>
                <w:sz w:val="22"/>
              </w:rPr>
            </w:pPr>
            <w:r>
              <w:rPr>
                <w:rFonts w:ascii="仿宋" w:eastAsia="仿宋" w:hAnsi="仿宋" w:hint="eastAsia"/>
                <w:sz w:val="22"/>
              </w:rPr>
              <w:t>富国基金管理有限公司</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账号</w:t>
            </w:r>
          </w:p>
        </w:tc>
        <w:tc>
          <w:tcPr>
            <w:tcW w:w="6804" w:type="dxa"/>
            <w:vAlign w:val="center"/>
          </w:tcPr>
          <w:p w:rsidR="00563D2D" w:rsidRDefault="00563D2D">
            <w:pPr>
              <w:spacing w:line="340" w:lineRule="atLeast"/>
              <w:ind w:firstLine="442"/>
              <w:jc w:val="center"/>
              <w:rPr>
                <w:rFonts w:ascii="仿宋" w:eastAsia="仿宋" w:hAnsi="仿宋"/>
                <w:b/>
                <w:sz w:val="22"/>
              </w:rPr>
            </w:pPr>
            <w:r>
              <w:rPr>
                <w:rFonts w:ascii="仿宋" w:eastAsia="仿宋" w:hAnsi="仿宋"/>
                <w:b/>
                <w:sz w:val="22"/>
              </w:rPr>
              <w:t>3100</w:t>
            </w:r>
            <w:r>
              <w:rPr>
                <w:rFonts w:ascii="仿宋" w:eastAsia="仿宋" w:hAnsi="仿宋" w:hint="eastAsia"/>
                <w:b/>
                <w:sz w:val="22"/>
              </w:rPr>
              <w:t xml:space="preserve"> </w:t>
            </w:r>
            <w:r>
              <w:rPr>
                <w:rFonts w:ascii="仿宋" w:eastAsia="仿宋" w:hAnsi="仿宋"/>
                <w:b/>
                <w:sz w:val="22"/>
              </w:rPr>
              <w:t>6672</w:t>
            </w:r>
            <w:r>
              <w:rPr>
                <w:rFonts w:ascii="仿宋" w:eastAsia="仿宋" w:hAnsi="仿宋" w:hint="eastAsia"/>
                <w:b/>
                <w:sz w:val="22"/>
              </w:rPr>
              <w:t xml:space="preserve"> </w:t>
            </w:r>
            <w:r>
              <w:rPr>
                <w:rFonts w:ascii="仿宋" w:eastAsia="仿宋" w:hAnsi="仿宋"/>
                <w:b/>
                <w:sz w:val="22"/>
              </w:rPr>
              <w:t>6018</w:t>
            </w:r>
            <w:r>
              <w:rPr>
                <w:rFonts w:ascii="仿宋" w:eastAsia="仿宋" w:hAnsi="仿宋" w:hint="eastAsia"/>
                <w:b/>
                <w:sz w:val="22"/>
              </w:rPr>
              <w:t xml:space="preserve"> </w:t>
            </w:r>
            <w:r>
              <w:rPr>
                <w:rFonts w:ascii="仿宋" w:eastAsia="仿宋" w:hAnsi="仿宋"/>
                <w:b/>
                <w:sz w:val="22"/>
              </w:rPr>
              <w:t>1500</w:t>
            </w:r>
            <w:r>
              <w:rPr>
                <w:rFonts w:ascii="仿宋" w:eastAsia="仿宋" w:hAnsi="仿宋" w:hint="eastAsia"/>
                <w:b/>
                <w:sz w:val="22"/>
              </w:rPr>
              <w:t xml:space="preserve"> </w:t>
            </w:r>
            <w:r>
              <w:rPr>
                <w:rFonts w:ascii="仿宋" w:eastAsia="仿宋" w:hAnsi="仿宋"/>
                <w:b/>
                <w:sz w:val="22"/>
              </w:rPr>
              <w:t>1132</w:t>
            </w:r>
            <w:r>
              <w:rPr>
                <w:rFonts w:ascii="仿宋" w:eastAsia="仿宋" w:hAnsi="仿宋" w:hint="eastAsia"/>
                <w:b/>
                <w:sz w:val="22"/>
              </w:rPr>
              <w:t xml:space="preserve"> </w:t>
            </w:r>
            <w:r>
              <w:rPr>
                <w:rFonts w:ascii="仿宋" w:eastAsia="仿宋" w:hAnsi="仿宋"/>
                <w:b/>
                <w:sz w:val="22"/>
              </w:rPr>
              <w:t>5</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sz w:val="22"/>
              </w:rPr>
            </w:pPr>
            <w:r>
              <w:rPr>
                <w:rFonts w:ascii="华文细黑" w:eastAsia="华文细黑" w:hAnsi="华文细黑" w:hint="eastAsia"/>
                <w:b/>
                <w:sz w:val="22"/>
              </w:rPr>
              <w:t>开户行</w:t>
            </w:r>
          </w:p>
        </w:tc>
        <w:tc>
          <w:tcPr>
            <w:tcW w:w="6804" w:type="dxa"/>
            <w:vAlign w:val="center"/>
          </w:tcPr>
          <w:p w:rsidR="00563D2D" w:rsidRDefault="00563D2D">
            <w:pPr>
              <w:spacing w:line="340" w:lineRule="atLeast"/>
              <w:ind w:firstLine="440"/>
              <w:jc w:val="center"/>
              <w:rPr>
                <w:rFonts w:ascii="仿宋" w:eastAsia="仿宋" w:hAnsi="仿宋"/>
                <w:b/>
                <w:sz w:val="22"/>
              </w:rPr>
            </w:pPr>
            <w:r>
              <w:rPr>
                <w:rFonts w:ascii="仿宋" w:eastAsia="仿宋" w:hAnsi="仿宋" w:hint="eastAsia"/>
                <w:sz w:val="22"/>
              </w:rPr>
              <w:t>交通银行上海第一支行</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sz w:val="22"/>
              </w:rPr>
            </w:pPr>
            <w:r>
              <w:rPr>
                <w:rFonts w:ascii="华文细黑" w:eastAsia="华文细黑" w:hAnsi="华文细黑" w:hint="eastAsia"/>
                <w:b/>
                <w:sz w:val="22"/>
              </w:rPr>
              <w:t>支付系统行号</w:t>
            </w:r>
          </w:p>
        </w:tc>
        <w:tc>
          <w:tcPr>
            <w:tcW w:w="6804" w:type="dxa"/>
            <w:vAlign w:val="center"/>
          </w:tcPr>
          <w:p w:rsidR="00563D2D" w:rsidRDefault="00563D2D">
            <w:pPr>
              <w:spacing w:line="340" w:lineRule="atLeast"/>
              <w:ind w:firstLine="440"/>
              <w:jc w:val="center"/>
              <w:rPr>
                <w:rFonts w:ascii="仿宋" w:eastAsia="仿宋" w:hAnsi="仿宋"/>
                <w:sz w:val="22"/>
              </w:rPr>
            </w:pPr>
            <w:r>
              <w:rPr>
                <w:rFonts w:ascii="仿宋" w:eastAsia="仿宋" w:hAnsi="仿宋" w:hint="eastAsia"/>
                <w:sz w:val="22"/>
              </w:rPr>
              <w:t>301290050037</w:t>
            </w:r>
          </w:p>
          <w:p w:rsidR="00563D2D" w:rsidRDefault="00563D2D">
            <w:pPr>
              <w:spacing w:line="340" w:lineRule="atLeast"/>
              <w:ind w:firstLine="442"/>
              <w:jc w:val="center"/>
              <w:rPr>
                <w:rFonts w:ascii="仿宋" w:eastAsia="仿宋" w:hAnsi="仿宋"/>
                <w:b/>
                <w:sz w:val="22"/>
              </w:rPr>
            </w:pPr>
          </w:p>
        </w:tc>
      </w:tr>
      <w:tr w:rsidR="00563D2D">
        <w:trPr>
          <w:trHeight w:hRule="exact" w:val="340"/>
        </w:trPr>
        <w:tc>
          <w:tcPr>
            <w:tcW w:w="8931" w:type="dxa"/>
            <w:gridSpan w:val="2"/>
            <w:shd w:val="clear" w:color="auto" w:fill="F2F2F2"/>
            <w:vAlign w:val="center"/>
          </w:tcPr>
          <w:p w:rsidR="00563D2D" w:rsidRDefault="00563D2D">
            <w:pPr>
              <w:spacing w:line="340" w:lineRule="atLeast"/>
              <w:jc w:val="center"/>
              <w:rPr>
                <w:rFonts w:ascii="华文细黑" w:eastAsia="华文细黑" w:hAnsi="华文细黑"/>
                <w:sz w:val="22"/>
              </w:rPr>
            </w:pPr>
            <w:r>
              <w:rPr>
                <w:rFonts w:ascii="华文细黑" w:eastAsia="华文细黑" w:hAnsi="华文细黑" w:hint="eastAsia"/>
                <w:b/>
              </w:rPr>
              <w:t>五、招商银行</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账户名称</w:t>
            </w:r>
          </w:p>
        </w:tc>
        <w:tc>
          <w:tcPr>
            <w:tcW w:w="6804" w:type="dxa"/>
            <w:vAlign w:val="center"/>
          </w:tcPr>
          <w:p w:rsidR="00563D2D" w:rsidRDefault="00563D2D">
            <w:pPr>
              <w:spacing w:line="340" w:lineRule="atLeast"/>
              <w:ind w:firstLine="440"/>
              <w:jc w:val="center"/>
              <w:rPr>
                <w:rFonts w:ascii="仿宋" w:eastAsia="仿宋" w:hAnsi="仿宋"/>
                <w:sz w:val="22"/>
              </w:rPr>
            </w:pPr>
            <w:r>
              <w:rPr>
                <w:rFonts w:ascii="仿宋" w:eastAsia="仿宋" w:hAnsi="仿宋" w:hint="eastAsia"/>
                <w:sz w:val="22"/>
              </w:rPr>
              <w:t>富国基金管理有限公司</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账号</w:t>
            </w:r>
          </w:p>
        </w:tc>
        <w:tc>
          <w:tcPr>
            <w:tcW w:w="6804" w:type="dxa"/>
            <w:vAlign w:val="center"/>
          </w:tcPr>
          <w:p w:rsidR="00563D2D" w:rsidRDefault="00563D2D">
            <w:pPr>
              <w:spacing w:line="340" w:lineRule="atLeast"/>
              <w:ind w:firstLine="442"/>
              <w:jc w:val="center"/>
              <w:rPr>
                <w:rFonts w:ascii="仿宋" w:eastAsia="仿宋" w:hAnsi="仿宋"/>
                <w:b/>
                <w:sz w:val="22"/>
              </w:rPr>
            </w:pPr>
            <w:r>
              <w:rPr>
                <w:rFonts w:ascii="仿宋" w:eastAsia="仿宋" w:hAnsi="仿宋"/>
                <w:b/>
                <w:sz w:val="22"/>
              </w:rPr>
              <w:t>2160</w:t>
            </w:r>
            <w:r>
              <w:rPr>
                <w:rFonts w:ascii="仿宋" w:eastAsia="仿宋" w:hAnsi="仿宋" w:hint="eastAsia"/>
                <w:b/>
                <w:sz w:val="22"/>
              </w:rPr>
              <w:t xml:space="preserve"> </w:t>
            </w:r>
            <w:r>
              <w:rPr>
                <w:rFonts w:ascii="仿宋" w:eastAsia="仿宋" w:hAnsi="仿宋"/>
                <w:b/>
                <w:sz w:val="22"/>
              </w:rPr>
              <w:t>8921</w:t>
            </w:r>
            <w:r>
              <w:rPr>
                <w:rFonts w:ascii="仿宋" w:eastAsia="仿宋" w:hAnsi="仿宋" w:hint="eastAsia"/>
                <w:b/>
                <w:sz w:val="22"/>
              </w:rPr>
              <w:t xml:space="preserve"> </w:t>
            </w:r>
            <w:r>
              <w:rPr>
                <w:rFonts w:ascii="仿宋" w:eastAsia="仿宋" w:hAnsi="仿宋"/>
                <w:b/>
                <w:sz w:val="22"/>
              </w:rPr>
              <w:t>4310</w:t>
            </w:r>
            <w:r>
              <w:rPr>
                <w:rFonts w:ascii="仿宋" w:eastAsia="仿宋" w:hAnsi="仿宋" w:hint="eastAsia"/>
                <w:b/>
                <w:sz w:val="22"/>
              </w:rPr>
              <w:t xml:space="preserve"> </w:t>
            </w:r>
            <w:r>
              <w:rPr>
                <w:rFonts w:ascii="仿宋" w:eastAsia="仿宋" w:hAnsi="仿宋"/>
                <w:b/>
                <w:sz w:val="22"/>
              </w:rPr>
              <w:t>006</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开户行</w:t>
            </w:r>
          </w:p>
        </w:tc>
        <w:tc>
          <w:tcPr>
            <w:tcW w:w="6804" w:type="dxa"/>
            <w:vAlign w:val="center"/>
          </w:tcPr>
          <w:p w:rsidR="00563D2D" w:rsidRDefault="00563D2D">
            <w:pPr>
              <w:spacing w:line="340" w:lineRule="atLeast"/>
              <w:ind w:firstLine="440"/>
              <w:jc w:val="center"/>
              <w:rPr>
                <w:rFonts w:ascii="仿宋" w:eastAsia="仿宋" w:hAnsi="仿宋"/>
                <w:sz w:val="22"/>
              </w:rPr>
            </w:pPr>
            <w:r>
              <w:rPr>
                <w:rFonts w:ascii="仿宋" w:eastAsia="仿宋" w:hAnsi="仿宋" w:hint="eastAsia"/>
                <w:sz w:val="22"/>
              </w:rPr>
              <w:t>招商银行上海分行营业部</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支付系统行号</w:t>
            </w:r>
          </w:p>
        </w:tc>
        <w:tc>
          <w:tcPr>
            <w:tcW w:w="6804" w:type="dxa"/>
            <w:vAlign w:val="center"/>
          </w:tcPr>
          <w:p w:rsidR="00563D2D" w:rsidRDefault="00563D2D">
            <w:pPr>
              <w:spacing w:line="340" w:lineRule="atLeast"/>
              <w:ind w:firstLine="440"/>
              <w:jc w:val="center"/>
              <w:rPr>
                <w:rFonts w:ascii="仿宋" w:eastAsia="仿宋" w:hAnsi="仿宋"/>
                <w:sz w:val="22"/>
              </w:rPr>
            </w:pPr>
            <w:r>
              <w:rPr>
                <w:rFonts w:ascii="仿宋" w:eastAsia="仿宋" w:hAnsi="仿宋"/>
                <w:sz w:val="22"/>
              </w:rPr>
              <w:t>308290003020</w:t>
            </w:r>
          </w:p>
        </w:tc>
      </w:tr>
      <w:tr w:rsidR="00563D2D">
        <w:trPr>
          <w:trHeight w:hRule="exact" w:val="340"/>
        </w:trPr>
        <w:tc>
          <w:tcPr>
            <w:tcW w:w="8931" w:type="dxa"/>
            <w:gridSpan w:val="2"/>
            <w:shd w:val="clear" w:color="auto" w:fill="F2F2F2"/>
            <w:vAlign w:val="center"/>
          </w:tcPr>
          <w:p w:rsidR="00563D2D" w:rsidRDefault="00563D2D">
            <w:pPr>
              <w:spacing w:line="340" w:lineRule="atLeast"/>
              <w:jc w:val="center"/>
              <w:rPr>
                <w:rFonts w:ascii="华文细黑" w:eastAsia="华文细黑" w:hAnsi="华文细黑"/>
                <w:sz w:val="22"/>
              </w:rPr>
            </w:pPr>
            <w:r>
              <w:rPr>
                <w:rFonts w:ascii="华文细黑" w:eastAsia="华文细黑" w:hAnsi="华文细黑" w:hint="eastAsia"/>
                <w:b/>
              </w:rPr>
              <w:t>六、中国农业银行</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账户名称</w:t>
            </w:r>
          </w:p>
        </w:tc>
        <w:tc>
          <w:tcPr>
            <w:tcW w:w="6804" w:type="dxa"/>
            <w:vAlign w:val="center"/>
          </w:tcPr>
          <w:p w:rsidR="00563D2D" w:rsidRDefault="00563D2D">
            <w:pPr>
              <w:spacing w:line="340" w:lineRule="atLeast"/>
              <w:ind w:firstLine="440"/>
              <w:jc w:val="center"/>
              <w:rPr>
                <w:rFonts w:ascii="仿宋" w:eastAsia="仿宋" w:hAnsi="仿宋"/>
                <w:sz w:val="22"/>
              </w:rPr>
            </w:pPr>
            <w:r>
              <w:rPr>
                <w:rFonts w:ascii="仿宋" w:eastAsia="仿宋" w:hAnsi="仿宋" w:hint="eastAsia"/>
                <w:sz w:val="22"/>
              </w:rPr>
              <w:t>富国基金管理有限公司</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账号</w:t>
            </w:r>
          </w:p>
        </w:tc>
        <w:tc>
          <w:tcPr>
            <w:tcW w:w="6804" w:type="dxa"/>
            <w:vAlign w:val="center"/>
          </w:tcPr>
          <w:p w:rsidR="00563D2D" w:rsidRDefault="00563D2D">
            <w:pPr>
              <w:spacing w:line="340" w:lineRule="atLeast"/>
              <w:ind w:firstLine="442"/>
              <w:jc w:val="center"/>
              <w:rPr>
                <w:rFonts w:ascii="仿宋" w:eastAsia="仿宋" w:hAnsi="仿宋"/>
                <w:b/>
                <w:sz w:val="22"/>
              </w:rPr>
            </w:pPr>
            <w:r>
              <w:rPr>
                <w:rFonts w:ascii="仿宋" w:eastAsia="仿宋" w:hAnsi="仿宋"/>
                <w:b/>
                <w:sz w:val="22"/>
              </w:rPr>
              <w:t>0341</w:t>
            </w:r>
            <w:r>
              <w:rPr>
                <w:rFonts w:ascii="仿宋" w:eastAsia="仿宋" w:hAnsi="仿宋" w:hint="eastAsia"/>
                <w:b/>
                <w:sz w:val="22"/>
              </w:rPr>
              <w:t xml:space="preserve"> </w:t>
            </w:r>
            <w:r>
              <w:rPr>
                <w:rFonts w:ascii="仿宋" w:eastAsia="仿宋" w:hAnsi="仿宋"/>
                <w:b/>
                <w:sz w:val="22"/>
              </w:rPr>
              <w:t>6900</w:t>
            </w:r>
            <w:r>
              <w:rPr>
                <w:rFonts w:ascii="仿宋" w:eastAsia="仿宋" w:hAnsi="仿宋" w:hint="eastAsia"/>
                <w:b/>
                <w:sz w:val="22"/>
              </w:rPr>
              <w:t xml:space="preserve"> </w:t>
            </w:r>
            <w:r>
              <w:rPr>
                <w:rFonts w:ascii="仿宋" w:eastAsia="仿宋" w:hAnsi="仿宋"/>
                <w:b/>
                <w:sz w:val="22"/>
              </w:rPr>
              <w:t>0400</w:t>
            </w:r>
            <w:r>
              <w:rPr>
                <w:rFonts w:ascii="仿宋" w:eastAsia="仿宋" w:hAnsi="仿宋" w:hint="eastAsia"/>
                <w:b/>
                <w:sz w:val="22"/>
              </w:rPr>
              <w:t xml:space="preserve"> </w:t>
            </w:r>
            <w:r>
              <w:rPr>
                <w:rFonts w:ascii="仿宋" w:eastAsia="仿宋" w:hAnsi="仿宋"/>
                <w:b/>
                <w:sz w:val="22"/>
              </w:rPr>
              <w:t>4007</w:t>
            </w:r>
            <w:r>
              <w:rPr>
                <w:rFonts w:ascii="仿宋" w:eastAsia="仿宋" w:hAnsi="仿宋" w:hint="eastAsia"/>
                <w:b/>
                <w:sz w:val="22"/>
              </w:rPr>
              <w:t xml:space="preserve"> </w:t>
            </w:r>
            <w:r>
              <w:rPr>
                <w:rFonts w:ascii="仿宋" w:eastAsia="仿宋" w:hAnsi="仿宋"/>
                <w:b/>
                <w:sz w:val="22"/>
              </w:rPr>
              <w:t>8</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开户行</w:t>
            </w:r>
          </w:p>
        </w:tc>
        <w:tc>
          <w:tcPr>
            <w:tcW w:w="6804" w:type="dxa"/>
            <w:vAlign w:val="center"/>
          </w:tcPr>
          <w:p w:rsidR="00563D2D" w:rsidRDefault="00563D2D">
            <w:pPr>
              <w:spacing w:line="340" w:lineRule="atLeast"/>
              <w:ind w:firstLine="440"/>
              <w:jc w:val="center"/>
              <w:rPr>
                <w:rFonts w:ascii="仿宋" w:eastAsia="仿宋" w:hAnsi="仿宋"/>
                <w:sz w:val="22"/>
              </w:rPr>
            </w:pPr>
            <w:r>
              <w:rPr>
                <w:rFonts w:ascii="仿宋" w:eastAsia="仿宋" w:hAnsi="仿宋" w:hint="eastAsia"/>
                <w:sz w:val="22"/>
              </w:rPr>
              <w:t>中国农业银行股份有限公司上海水清南路支行</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支付系统行号</w:t>
            </w:r>
          </w:p>
        </w:tc>
        <w:tc>
          <w:tcPr>
            <w:tcW w:w="6804" w:type="dxa"/>
            <w:vAlign w:val="center"/>
          </w:tcPr>
          <w:p w:rsidR="00563D2D" w:rsidRDefault="00563D2D">
            <w:pPr>
              <w:spacing w:line="340" w:lineRule="atLeast"/>
              <w:ind w:firstLine="440"/>
              <w:jc w:val="center"/>
              <w:rPr>
                <w:rFonts w:ascii="仿宋" w:eastAsia="仿宋" w:hAnsi="仿宋"/>
                <w:sz w:val="22"/>
              </w:rPr>
            </w:pPr>
            <w:r>
              <w:rPr>
                <w:rFonts w:ascii="仿宋" w:eastAsia="仿宋" w:hAnsi="仿宋"/>
                <w:sz w:val="22"/>
              </w:rPr>
              <w:t>103290003270</w:t>
            </w:r>
          </w:p>
        </w:tc>
      </w:tr>
      <w:tr w:rsidR="00563D2D">
        <w:trPr>
          <w:trHeight w:hRule="exact" w:val="397"/>
        </w:trPr>
        <w:tc>
          <w:tcPr>
            <w:tcW w:w="8931" w:type="dxa"/>
            <w:gridSpan w:val="2"/>
            <w:shd w:val="clear" w:color="auto" w:fill="F2F2F2"/>
            <w:vAlign w:val="center"/>
          </w:tcPr>
          <w:p w:rsidR="00563D2D" w:rsidRDefault="00563D2D">
            <w:pPr>
              <w:spacing w:line="340" w:lineRule="atLeast"/>
              <w:jc w:val="center"/>
              <w:rPr>
                <w:rFonts w:ascii="仿宋" w:eastAsia="仿宋" w:hAnsi="仿宋"/>
                <w:sz w:val="22"/>
              </w:rPr>
            </w:pPr>
            <w:r>
              <w:rPr>
                <w:rFonts w:ascii="华文细黑" w:eastAsia="华文细黑" w:hAnsi="华文细黑" w:hint="eastAsia"/>
                <w:b/>
              </w:rPr>
              <w:t>七、兴业银行</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账户名称</w:t>
            </w:r>
          </w:p>
        </w:tc>
        <w:tc>
          <w:tcPr>
            <w:tcW w:w="6804" w:type="dxa"/>
            <w:vAlign w:val="center"/>
          </w:tcPr>
          <w:p w:rsidR="00563D2D" w:rsidRDefault="00563D2D">
            <w:pPr>
              <w:spacing w:line="340" w:lineRule="atLeast"/>
              <w:ind w:firstLine="440"/>
              <w:jc w:val="center"/>
              <w:rPr>
                <w:rFonts w:ascii="仿宋" w:eastAsia="仿宋" w:hAnsi="仿宋"/>
                <w:sz w:val="22"/>
              </w:rPr>
            </w:pPr>
            <w:r>
              <w:rPr>
                <w:rFonts w:ascii="仿宋" w:eastAsia="仿宋" w:hAnsi="仿宋" w:hint="eastAsia"/>
                <w:sz w:val="22"/>
              </w:rPr>
              <w:t>富国基金管理有限公司</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账号</w:t>
            </w:r>
          </w:p>
        </w:tc>
        <w:tc>
          <w:tcPr>
            <w:tcW w:w="6804" w:type="dxa"/>
            <w:vAlign w:val="center"/>
          </w:tcPr>
          <w:p w:rsidR="00563D2D" w:rsidRDefault="00563D2D">
            <w:pPr>
              <w:spacing w:line="340" w:lineRule="atLeast"/>
              <w:ind w:firstLine="440"/>
              <w:jc w:val="center"/>
              <w:rPr>
                <w:rFonts w:ascii="仿宋" w:eastAsia="仿宋" w:hAnsi="仿宋"/>
                <w:sz w:val="22"/>
              </w:rPr>
            </w:pPr>
            <w:r>
              <w:rPr>
                <w:rFonts w:ascii="仿宋" w:eastAsia="仿宋" w:hAnsi="仿宋" w:hint="eastAsia"/>
                <w:b/>
                <w:sz w:val="22"/>
              </w:rPr>
              <w:t>2162 0010 0101 9266 58</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开户行</w:t>
            </w:r>
          </w:p>
        </w:tc>
        <w:tc>
          <w:tcPr>
            <w:tcW w:w="6804" w:type="dxa"/>
            <w:vAlign w:val="center"/>
          </w:tcPr>
          <w:p w:rsidR="00563D2D" w:rsidRDefault="00563D2D">
            <w:pPr>
              <w:spacing w:line="340" w:lineRule="atLeast"/>
              <w:ind w:firstLine="440"/>
              <w:jc w:val="center"/>
              <w:rPr>
                <w:rFonts w:ascii="仿宋" w:eastAsia="仿宋" w:hAnsi="仿宋"/>
                <w:sz w:val="22"/>
              </w:rPr>
            </w:pPr>
            <w:r>
              <w:rPr>
                <w:rFonts w:ascii="仿宋" w:eastAsia="仿宋" w:hAnsi="仿宋" w:hint="eastAsia"/>
                <w:sz w:val="22"/>
              </w:rPr>
              <w:t>兴业银行股份有限公司上海分行营业部</w:t>
            </w:r>
          </w:p>
        </w:tc>
      </w:tr>
      <w:tr w:rsidR="00563D2D">
        <w:trPr>
          <w:trHeight w:hRule="exact" w:val="397"/>
        </w:trPr>
        <w:tc>
          <w:tcPr>
            <w:tcW w:w="2127" w:type="dxa"/>
            <w:vAlign w:val="center"/>
          </w:tcPr>
          <w:p w:rsidR="00563D2D" w:rsidRDefault="00563D2D">
            <w:pPr>
              <w:spacing w:line="340" w:lineRule="atLeast"/>
              <w:ind w:firstLine="440"/>
              <w:jc w:val="center"/>
              <w:rPr>
                <w:rFonts w:ascii="华文细黑" w:eastAsia="华文细黑" w:hAnsi="华文细黑"/>
                <w:b/>
                <w:sz w:val="22"/>
              </w:rPr>
            </w:pPr>
            <w:r>
              <w:rPr>
                <w:rFonts w:ascii="华文细黑" w:eastAsia="华文细黑" w:hAnsi="华文细黑" w:hint="eastAsia"/>
                <w:b/>
                <w:sz w:val="22"/>
              </w:rPr>
              <w:t>支付系统行号</w:t>
            </w:r>
          </w:p>
        </w:tc>
        <w:tc>
          <w:tcPr>
            <w:tcW w:w="6804" w:type="dxa"/>
            <w:vAlign w:val="center"/>
          </w:tcPr>
          <w:p w:rsidR="00563D2D" w:rsidRDefault="00563D2D">
            <w:pPr>
              <w:spacing w:line="340" w:lineRule="atLeast"/>
              <w:ind w:firstLine="440"/>
              <w:jc w:val="center"/>
              <w:rPr>
                <w:rFonts w:ascii="仿宋" w:eastAsia="仿宋" w:hAnsi="仿宋"/>
                <w:sz w:val="22"/>
              </w:rPr>
            </w:pPr>
            <w:r>
              <w:rPr>
                <w:rFonts w:ascii="仿宋" w:eastAsia="仿宋" w:hAnsi="仿宋" w:hint="eastAsia"/>
                <w:sz w:val="22"/>
              </w:rPr>
              <w:t>309290000107</w:t>
            </w:r>
          </w:p>
        </w:tc>
      </w:tr>
    </w:tbl>
    <w:p w:rsidR="00563D2D" w:rsidRDefault="00563D2D">
      <w:pPr>
        <w:spacing w:line="360" w:lineRule="auto"/>
        <w:ind w:firstLineChars="200" w:firstLine="480"/>
        <w:rPr>
          <w:sz w:val="24"/>
        </w:rPr>
      </w:pPr>
      <w:r>
        <w:rPr>
          <w:sz w:val="24"/>
        </w:rPr>
        <w:t>6</w:t>
      </w:r>
      <w:r>
        <w:rPr>
          <w:sz w:val="24"/>
        </w:rPr>
        <w:t>、个人投资者办理认购申请时，应提供以下资料：</w:t>
      </w:r>
    </w:p>
    <w:p w:rsidR="00563D2D" w:rsidRDefault="00563D2D">
      <w:pPr>
        <w:spacing w:line="360" w:lineRule="auto"/>
        <w:ind w:firstLineChars="200" w:firstLine="480"/>
        <w:rPr>
          <w:sz w:val="24"/>
        </w:rPr>
      </w:pPr>
      <w:r>
        <w:rPr>
          <w:sz w:val="24"/>
        </w:rPr>
        <w:t>（</w:t>
      </w:r>
      <w:r>
        <w:rPr>
          <w:sz w:val="24"/>
        </w:rPr>
        <w:t>1</w:t>
      </w:r>
      <w:r>
        <w:rPr>
          <w:sz w:val="24"/>
        </w:rPr>
        <w:t>）有效身份证件原件；</w:t>
      </w:r>
    </w:p>
    <w:p w:rsidR="00563D2D" w:rsidRDefault="00563D2D">
      <w:pPr>
        <w:spacing w:line="360" w:lineRule="auto"/>
        <w:ind w:firstLineChars="200" w:firstLine="480"/>
        <w:rPr>
          <w:sz w:val="24"/>
        </w:rPr>
      </w:pPr>
      <w:r>
        <w:rPr>
          <w:sz w:val="24"/>
        </w:rPr>
        <w:t>（</w:t>
      </w:r>
      <w:r>
        <w:rPr>
          <w:sz w:val="24"/>
        </w:rPr>
        <w:t>2</w:t>
      </w:r>
      <w:r>
        <w:rPr>
          <w:sz w:val="24"/>
        </w:rPr>
        <w:t>）填妥的《个人投资者产品风险确认单》和《富国基金交易业务申请表》。</w:t>
      </w:r>
    </w:p>
    <w:p w:rsidR="00563D2D" w:rsidRDefault="00563D2D">
      <w:pPr>
        <w:spacing w:line="360" w:lineRule="auto"/>
        <w:ind w:firstLineChars="200" w:firstLine="482"/>
        <w:rPr>
          <w:b/>
          <w:sz w:val="24"/>
        </w:rPr>
      </w:pPr>
      <w:r>
        <w:rPr>
          <w:b/>
          <w:sz w:val="24"/>
        </w:rPr>
        <w:t>（二）本公司网上交易系统</w:t>
      </w:r>
    </w:p>
    <w:p w:rsidR="00563D2D" w:rsidRDefault="00563D2D">
      <w:pPr>
        <w:spacing w:line="360" w:lineRule="auto"/>
        <w:ind w:firstLineChars="200" w:firstLine="480"/>
        <w:rPr>
          <w:sz w:val="24"/>
        </w:rPr>
      </w:pPr>
      <w:r>
        <w:rPr>
          <w:sz w:val="24"/>
        </w:rPr>
        <w:t>个人投资者可登陆本公司网站（</w:t>
      </w:r>
      <w:r>
        <w:rPr>
          <w:sz w:val="24"/>
        </w:rPr>
        <w:t>www.fullgoal.com.cn</w:t>
      </w:r>
      <w:r>
        <w:rPr>
          <w:sz w:val="24"/>
        </w:rPr>
        <w:t>），在与本公司达成网上交易的相关协议、接受本公司有关服务条款、了解有关基金网上交易的具体业务规则后，通过本公司网上交易系统办理开户认购等业务。</w:t>
      </w:r>
    </w:p>
    <w:p w:rsidR="00563D2D" w:rsidRDefault="00563D2D">
      <w:pPr>
        <w:spacing w:line="360" w:lineRule="auto"/>
        <w:ind w:firstLineChars="200" w:firstLine="480"/>
        <w:rPr>
          <w:sz w:val="24"/>
        </w:rPr>
      </w:pPr>
      <w:r>
        <w:rPr>
          <w:sz w:val="24"/>
        </w:rPr>
        <w:t>本公司网上交易系统在</w:t>
      </w:r>
      <w:r w:rsidR="00BB5BB9">
        <w:rPr>
          <w:rFonts w:hint="eastAsia"/>
          <w:sz w:val="24"/>
        </w:rPr>
        <w:t>2026</w:t>
      </w:r>
      <w:r w:rsidR="00BB5BB9">
        <w:rPr>
          <w:rFonts w:hint="eastAsia"/>
          <w:sz w:val="24"/>
        </w:rPr>
        <w:t>年</w:t>
      </w:r>
      <w:r w:rsidR="00BB5BB9">
        <w:rPr>
          <w:rFonts w:hint="eastAsia"/>
          <w:sz w:val="24"/>
        </w:rPr>
        <w:t>4</w:t>
      </w:r>
      <w:r w:rsidR="00BB5BB9">
        <w:rPr>
          <w:rFonts w:hint="eastAsia"/>
          <w:sz w:val="24"/>
        </w:rPr>
        <w:t>月</w:t>
      </w:r>
      <w:r w:rsidR="00BB5BB9">
        <w:rPr>
          <w:rFonts w:hint="eastAsia"/>
          <w:sz w:val="24"/>
        </w:rPr>
        <w:t>27</w:t>
      </w:r>
      <w:r w:rsidR="00BB5BB9">
        <w:rPr>
          <w:rFonts w:hint="eastAsia"/>
          <w:sz w:val="24"/>
        </w:rPr>
        <w:t>日至</w:t>
      </w:r>
      <w:r w:rsidR="00BB5BB9">
        <w:rPr>
          <w:rFonts w:hint="eastAsia"/>
          <w:sz w:val="24"/>
        </w:rPr>
        <w:t>2026</w:t>
      </w:r>
      <w:r w:rsidR="00BB5BB9">
        <w:rPr>
          <w:rFonts w:hint="eastAsia"/>
          <w:sz w:val="24"/>
        </w:rPr>
        <w:t>年</w:t>
      </w:r>
      <w:r w:rsidR="00BB5BB9">
        <w:rPr>
          <w:rFonts w:hint="eastAsia"/>
          <w:sz w:val="24"/>
        </w:rPr>
        <w:t>5</w:t>
      </w:r>
      <w:r w:rsidR="00BB5BB9">
        <w:rPr>
          <w:rFonts w:hint="eastAsia"/>
          <w:sz w:val="24"/>
        </w:rPr>
        <w:t>月</w:t>
      </w:r>
      <w:r w:rsidR="00BB5BB9">
        <w:rPr>
          <w:rFonts w:hint="eastAsia"/>
          <w:sz w:val="24"/>
        </w:rPr>
        <w:t>15</w:t>
      </w:r>
      <w:r w:rsidR="00BB5BB9">
        <w:rPr>
          <w:rFonts w:hint="eastAsia"/>
          <w:sz w:val="24"/>
        </w:rPr>
        <w:t>日</w:t>
      </w:r>
      <w:r>
        <w:rPr>
          <w:sz w:val="24"/>
        </w:rPr>
        <w:t>15:00</w:t>
      </w:r>
      <w:r>
        <w:rPr>
          <w:sz w:val="24"/>
        </w:rPr>
        <w:t>前受理投资者对本基金的认购申请。</w:t>
      </w:r>
    </w:p>
    <w:p w:rsidR="00563D2D" w:rsidRDefault="00563D2D">
      <w:pPr>
        <w:spacing w:line="360" w:lineRule="auto"/>
        <w:ind w:firstLineChars="200" w:firstLine="482"/>
        <w:rPr>
          <w:b/>
          <w:sz w:val="24"/>
        </w:rPr>
      </w:pPr>
      <w:r>
        <w:rPr>
          <w:b/>
          <w:sz w:val="24"/>
        </w:rPr>
        <w:t>（三）其他销售机构</w:t>
      </w:r>
    </w:p>
    <w:p w:rsidR="00563D2D" w:rsidRDefault="00563D2D">
      <w:pPr>
        <w:spacing w:line="360" w:lineRule="auto"/>
        <w:ind w:firstLineChars="200" w:firstLine="480"/>
        <w:rPr>
          <w:sz w:val="24"/>
        </w:rPr>
      </w:pPr>
      <w:r>
        <w:rPr>
          <w:sz w:val="24"/>
        </w:rPr>
        <w:t>个人投资者在其他销售机构的开户及认购手续以各销售机构的规定为准。</w:t>
      </w:r>
    </w:p>
    <w:p w:rsidR="00563D2D" w:rsidRDefault="00563D2D">
      <w:pPr>
        <w:pStyle w:val="2"/>
        <w:spacing w:before="156" w:after="156"/>
        <w:rPr>
          <w:szCs w:val="24"/>
        </w:rPr>
      </w:pPr>
      <w:r>
        <w:br w:type="page"/>
      </w:r>
      <w:r>
        <w:rPr>
          <w:szCs w:val="24"/>
        </w:rPr>
        <w:t>四、机构投资者的开户与认购程序</w:t>
      </w:r>
    </w:p>
    <w:p w:rsidR="00563D2D" w:rsidRDefault="00563D2D">
      <w:pPr>
        <w:pStyle w:val="af6"/>
        <w:ind w:firstLine="482"/>
        <w:rPr>
          <w:b/>
          <w:szCs w:val="24"/>
        </w:rPr>
      </w:pPr>
      <w:r>
        <w:rPr>
          <w:b/>
          <w:szCs w:val="24"/>
        </w:rPr>
        <w:t>（一）直销网点</w:t>
      </w:r>
    </w:p>
    <w:p w:rsidR="00563D2D" w:rsidRDefault="00563D2D">
      <w:pPr>
        <w:pStyle w:val="af6"/>
        <w:ind w:firstLine="480"/>
      </w:pPr>
      <w:r>
        <w:t>1</w:t>
      </w:r>
      <w:r>
        <w:t>、如果机构投资者认购金额在</w:t>
      </w:r>
      <w:r>
        <w:t>50,000</w:t>
      </w:r>
      <w:r>
        <w:t>元（含</w:t>
      </w:r>
      <w:r>
        <w:t>50,000</w:t>
      </w:r>
      <w:r>
        <w:t>元）以上，可以选择到本公司直销中心办理。</w:t>
      </w:r>
    </w:p>
    <w:p w:rsidR="00563D2D" w:rsidRDefault="00563D2D">
      <w:pPr>
        <w:pStyle w:val="af6"/>
        <w:ind w:firstLine="480"/>
      </w:pPr>
      <w:r>
        <w:t>2</w:t>
      </w:r>
      <w:r>
        <w:t>、未在直销中心开立基金账户的机构投资者，应先办理开户，开户流程详见富国基金官网</w:t>
      </w:r>
      <w:r>
        <w:t>www.fullgoal.com.cn→</w:t>
      </w:r>
      <w:r w:rsidR="00E1711D" w:rsidRPr="00E1711D">
        <w:rPr>
          <w:rFonts w:hint="eastAsia"/>
        </w:rPr>
        <w:t>机构服务→操作指南与表单下载→操作指南→富国基金账户业务操作指南（机构及产品）</w:t>
      </w:r>
      <w:r>
        <w:t>。</w:t>
      </w:r>
    </w:p>
    <w:p w:rsidR="00563D2D" w:rsidRDefault="00563D2D">
      <w:pPr>
        <w:pStyle w:val="af6"/>
        <w:ind w:firstLine="480"/>
      </w:pPr>
      <w:r>
        <w:t>3</w:t>
      </w:r>
      <w:r>
        <w:t>、已在直销中心开立基金账户的机构投资者，可直接办理认购。</w:t>
      </w:r>
    </w:p>
    <w:p w:rsidR="00563D2D" w:rsidRDefault="00563D2D">
      <w:pPr>
        <w:pStyle w:val="af6"/>
        <w:ind w:firstLine="480"/>
      </w:pPr>
      <w:r>
        <w:t>4</w:t>
      </w:r>
      <w:r>
        <w:t>、机构投资者办理认购的业务表单，可登录富国基金官网</w:t>
      </w:r>
      <w:r>
        <w:t>www.fullgoal.com.cn→</w:t>
      </w:r>
      <w:r w:rsidR="00E1711D" w:rsidRPr="00E1711D">
        <w:rPr>
          <w:rFonts w:hint="eastAsia"/>
        </w:rPr>
        <w:t>机构服务→操作指南与表单下载→表单下载</w:t>
      </w:r>
      <w:r>
        <w:t>。</w:t>
      </w:r>
    </w:p>
    <w:p w:rsidR="00563D2D" w:rsidRDefault="00563D2D">
      <w:pPr>
        <w:pStyle w:val="af6"/>
        <w:ind w:firstLine="480"/>
      </w:pPr>
      <w:r>
        <w:t>5</w:t>
      </w:r>
      <w:r>
        <w:t>、业务办理时间：基金发售日的</w:t>
      </w:r>
      <w:r>
        <w:t>9</w:t>
      </w:r>
      <w:r>
        <w:t>：</w:t>
      </w:r>
      <w:r>
        <w:t>00-15</w:t>
      </w:r>
      <w:r>
        <w:t>：</w:t>
      </w:r>
      <w:r>
        <w:t>00</w:t>
      </w:r>
      <w:r>
        <w:t>（周六、周日、节假日不受理）。</w:t>
      </w:r>
    </w:p>
    <w:p w:rsidR="00563D2D" w:rsidRDefault="00563D2D">
      <w:pPr>
        <w:pStyle w:val="af6"/>
        <w:ind w:firstLine="480"/>
      </w:pPr>
      <w:r>
        <w:t>6</w:t>
      </w:r>
      <w:r>
        <w:t>、认购基金汇款账户信息，同个人投资者，请见</w:t>
      </w:r>
      <w:r>
        <w:t>“</w:t>
      </w:r>
      <w:r>
        <w:t>三、个人投资者的开户与认购程序</w:t>
      </w:r>
      <w:r>
        <w:t>/5</w:t>
      </w:r>
      <w:r>
        <w:t>、认购基金汇款账户信息</w:t>
      </w:r>
      <w:r>
        <w:t>”</w:t>
      </w:r>
      <w:r>
        <w:t>。</w:t>
      </w:r>
    </w:p>
    <w:p w:rsidR="00563D2D" w:rsidRDefault="00563D2D">
      <w:pPr>
        <w:pStyle w:val="af6"/>
        <w:ind w:firstLine="480"/>
      </w:pPr>
      <w:r>
        <w:t>7</w:t>
      </w:r>
      <w:r>
        <w:t>、机构投资者办理认购申请时，应提供以下资料：</w:t>
      </w:r>
    </w:p>
    <w:p w:rsidR="00563D2D" w:rsidRDefault="00563D2D">
      <w:pPr>
        <w:pStyle w:val="af6"/>
        <w:ind w:firstLine="480"/>
      </w:pPr>
      <w:r>
        <w:t>填妥的《富国基金交易业务申请表》，并加盖预留印鉴章。</w:t>
      </w:r>
    </w:p>
    <w:p w:rsidR="00563D2D" w:rsidRDefault="00563D2D">
      <w:pPr>
        <w:pStyle w:val="af6"/>
        <w:ind w:firstLine="482"/>
        <w:rPr>
          <w:b/>
        </w:rPr>
      </w:pPr>
      <w:r>
        <w:rPr>
          <w:b/>
          <w:szCs w:val="24"/>
        </w:rPr>
        <w:t>（二）</w:t>
      </w:r>
      <w:r>
        <w:rPr>
          <w:b/>
        </w:rPr>
        <w:t>其他销售机构</w:t>
      </w:r>
    </w:p>
    <w:p w:rsidR="00563D2D" w:rsidRDefault="00563D2D">
      <w:pPr>
        <w:pStyle w:val="af6"/>
        <w:ind w:firstLine="480"/>
      </w:pPr>
      <w:r>
        <w:t>机构投资者在其他销售机构的开户及认购手续以各销售机构的规定为准。</w:t>
      </w:r>
    </w:p>
    <w:p w:rsidR="00563D2D" w:rsidRDefault="00563D2D">
      <w:pPr>
        <w:pStyle w:val="2"/>
        <w:spacing w:before="156" w:after="156"/>
        <w:rPr>
          <w:szCs w:val="24"/>
        </w:rPr>
      </w:pPr>
      <w:r>
        <w:br w:type="page"/>
      </w:r>
      <w:r>
        <w:rPr>
          <w:szCs w:val="24"/>
        </w:rPr>
        <w:t>五、清算与交割</w:t>
      </w:r>
    </w:p>
    <w:p w:rsidR="00563D2D" w:rsidRDefault="00563D2D">
      <w:pPr>
        <w:pStyle w:val="af6"/>
        <w:ind w:firstLine="480"/>
      </w:pPr>
      <w:r>
        <w:t>1</w:t>
      </w:r>
      <w:r>
        <w:t>、基金合同生效前，全部认购资金将被冻结在本公司的本基金的募集专户中，有效认购款项在</w:t>
      </w:r>
      <w:r>
        <w:rPr>
          <w:rFonts w:hint="eastAsia"/>
        </w:rPr>
        <w:t>募集期间</w:t>
      </w:r>
      <w:r>
        <w:t>产生的利息将折算为相应类别的基金份额归基金份额持有人所有，其中利息</w:t>
      </w:r>
      <w:r>
        <w:rPr>
          <w:rFonts w:hint="eastAsia"/>
          <w:bCs w:val="0"/>
          <w:color w:val="000000"/>
        </w:rPr>
        <w:t>转份额的具体数额</w:t>
      </w:r>
      <w:r>
        <w:t>以登记机构的记录为准。利息折成基金认购份额不收取认购费、不受最低认购份额限制。</w:t>
      </w:r>
    </w:p>
    <w:p w:rsidR="00563D2D" w:rsidRDefault="00563D2D">
      <w:pPr>
        <w:pStyle w:val="af6"/>
        <w:ind w:firstLine="480"/>
      </w:pPr>
      <w:r>
        <w:t>2</w:t>
      </w:r>
      <w:r>
        <w:t>、本基金权益登记由登记机构（富国基金管理有限公司）在募集期结束后完成。</w:t>
      </w:r>
    </w:p>
    <w:p w:rsidR="00563D2D" w:rsidRDefault="00563D2D">
      <w:pPr>
        <w:pStyle w:val="2"/>
        <w:spacing w:before="156" w:after="156"/>
        <w:rPr>
          <w:szCs w:val="24"/>
        </w:rPr>
      </w:pPr>
      <w:r>
        <w:br w:type="page"/>
      </w:r>
      <w:r>
        <w:rPr>
          <w:szCs w:val="24"/>
        </w:rPr>
        <w:t>六、退款</w:t>
      </w:r>
    </w:p>
    <w:p w:rsidR="00563D2D" w:rsidRDefault="00563D2D">
      <w:pPr>
        <w:pStyle w:val="af6"/>
        <w:ind w:firstLine="480"/>
      </w:pPr>
      <w:r>
        <w:t>1</w:t>
      </w:r>
      <w:r>
        <w:t>、个人及机构投资者认购失败（指投资者的认购申请未得到登记机构的确认）时，其认购资金将于基金合同生效之日起</w:t>
      </w:r>
      <w:r>
        <w:t>5</w:t>
      </w:r>
      <w:r>
        <w:t>个工作日内向投资者指定银行账户划出。</w:t>
      </w:r>
    </w:p>
    <w:p w:rsidR="00563D2D" w:rsidRDefault="00563D2D">
      <w:pPr>
        <w:pStyle w:val="af6"/>
        <w:ind w:firstLine="480"/>
      </w:pPr>
      <w:r>
        <w:t>2</w:t>
      </w:r>
      <w:r>
        <w:t>、如果募集期限届满，未满足基金备案条件，基金管理人将以其固有财产承担因募集行为而产生的债务和费用，</w:t>
      </w:r>
      <w:r w:rsidR="00E1711D">
        <w:t>并</w:t>
      </w:r>
      <w:r>
        <w:rPr>
          <w:rFonts w:hint="eastAsia"/>
        </w:rPr>
        <w:t>在基金募集期限届满后</w:t>
      </w:r>
      <w:r>
        <w:rPr>
          <w:rFonts w:hint="eastAsia"/>
        </w:rPr>
        <w:t>30</w:t>
      </w:r>
      <w:r>
        <w:rPr>
          <w:rFonts w:hint="eastAsia"/>
        </w:rPr>
        <w:t>日内返还投资者已交纳的款项，并加计银行同期活期存款利息。</w:t>
      </w:r>
    </w:p>
    <w:p w:rsidR="00563D2D" w:rsidRDefault="00563D2D">
      <w:pPr>
        <w:pStyle w:val="2"/>
        <w:spacing w:before="156" w:after="156"/>
      </w:pPr>
      <w:r>
        <w:br w:type="page"/>
      </w:r>
      <w:r>
        <w:t>七、基金的验资与基金合同的生效</w:t>
      </w:r>
    </w:p>
    <w:p w:rsidR="00563D2D" w:rsidRDefault="00563D2D">
      <w:pPr>
        <w:pStyle w:val="af6"/>
        <w:ind w:firstLine="480"/>
      </w:pPr>
      <w:r>
        <w:t>本基金募集期满，达到基金合同规定的条件，基金合同方可生效。</w:t>
      </w:r>
    </w:p>
    <w:p w:rsidR="00563D2D" w:rsidRDefault="00563D2D">
      <w:pPr>
        <w:pStyle w:val="af6"/>
        <w:ind w:firstLine="480"/>
      </w:pPr>
      <w:r>
        <w:t>1</w:t>
      </w:r>
      <w:r>
        <w:t>、募集期截止后，由银行出具基金募集专户存款证明，由基金管理人委托具有资格的会计师事务所对认购资金进行验资；</w:t>
      </w:r>
    </w:p>
    <w:p w:rsidR="00563D2D" w:rsidRDefault="00563D2D">
      <w:pPr>
        <w:pStyle w:val="af6"/>
        <w:ind w:firstLine="480"/>
      </w:pPr>
      <w:r>
        <w:t>2</w:t>
      </w:r>
      <w:r>
        <w:t>、销售机构根据登记机构确认数据将基金的有效认购资金和认购资金在认购期所生利息扣除认购费用后一并划入基金存款账户。由基金存款账户开户行出具基金存款证明后，基金管理人委托具有资格的会计师事务所对基金资产进行验资并出具报告，登记机构出具认购户数证明；</w:t>
      </w:r>
    </w:p>
    <w:p w:rsidR="00563D2D" w:rsidRDefault="00563D2D">
      <w:pPr>
        <w:pStyle w:val="af6"/>
        <w:ind w:firstLine="480"/>
      </w:pPr>
      <w:r>
        <w:t>3</w:t>
      </w:r>
      <w:r>
        <w:t>、基金管理人发布基金合同生效公告。</w:t>
      </w:r>
    </w:p>
    <w:p w:rsidR="00563D2D" w:rsidRDefault="00563D2D">
      <w:pPr>
        <w:pStyle w:val="2"/>
        <w:spacing w:before="156" w:after="156"/>
        <w:rPr>
          <w:szCs w:val="24"/>
        </w:rPr>
      </w:pPr>
      <w:r>
        <w:br w:type="page"/>
      </w:r>
      <w:r>
        <w:rPr>
          <w:szCs w:val="24"/>
        </w:rPr>
        <w:t>八、基金合同生效前的费用处理</w:t>
      </w:r>
    </w:p>
    <w:p w:rsidR="00563D2D" w:rsidRDefault="00563D2D">
      <w:pPr>
        <w:pStyle w:val="af6"/>
        <w:ind w:firstLine="480"/>
      </w:pPr>
      <w:r>
        <w:t>基金合同生效前与基金相关的会计师费、律师费、信息披露费</w:t>
      </w:r>
      <w:r w:rsidR="00E1711D" w:rsidRPr="00E1711D">
        <w:rPr>
          <w:rFonts w:hint="eastAsia"/>
        </w:rPr>
        <w:t>由基金管理人承担</w:t>
      </w:r>
      <w:r>
        <w:t>，不在基金资产中列支。</w:t>
      </w:r>
    </w:p>
    <w:p w:rsidR="00563D2D" w:rsidRDefault="00563D2D">
      <w:pPr>
        <w:pStyle w:val="2"/>
        <w:spacing w:before="156" w:after="156"/>
        <w:rPr>
          <w:szCs w:val="24"/>
        </w:rPr>
      </w:pPr>
      <w:r>
        <w:br w:type="page"/>
      </w:r>
      <w:r>
        <w:rPr>
          <w:szCs w:val="24"/>
        </w:rPr>
        <w:t>九、本次募集当事人或中介机构</w:t>
      </w:r>
    </w:p>
    <w:p w:rsidR="00563D2D" w:rsidRDefault="00563D2D">
      <w:pPr>
        <w:spacing w:line="360" w:lineRule="auto"/>
        <w:ind w:firstLineChars="200" w:firstLine="480"/>
        <w:rPr>
          <w:sz w:val="24"/>
        </w:rPr>
      </w:pPr>
      <w:r>
        <w:rPr>
          <w:sz w:val="24"/>
        </w:rPr>
        <w:t>（一）基金管理人</w:t>
      </w:r>
    </w:p>
    <w:p w:rsidR="00563D2D" w:rsidRDefault="00563D2D">
      <w:pPr>
        <w:spacing w:line="360" w:lineRule="auto"/>
        <w:ind w:firstLineChars="200" w:firstLine="480"/>
        <w:rPr>
          <w:rFonts w:hint="eastAsia"/>
          <w:sz w:val="24"/>
        </w:rPr>
      </w:pPr>
      <w:r>
        <w:rPr>
          <w:rFonts w:hint="eastAsia"/>
          <w:sz w:val="24"/>
        </w:rPr>
        <w:t>名称：富国基金管理有限公司</w:t>
      </w:r>
    </w:p>
    <w:p w:rsidR="00563D2D" w:rsidRDefault="00563D2D">
      <w:pPr>
        <w:spacing w:line="360" w:lineRule="auto"/>
        <w:ind w:firstLineChars="200" w:firstLine="480"/>
        <w:rPr>
          <w:rFonts w:hint="eastAsia"/>
          <w:sz w:val="24"/>
        </w:rPr>
      </w:pPr>
      <w:r>
        <w:rPr>
          <w:rFonts w:hint="eastAsia"/>
          <w:sz w:val="24"/>
        </w:rPr>
        <w:t>注册地址：中国（上海）自由贸易试验区世纪大道</w:t>
      </w:r>
      <w:r>
        <w:rPr>
          <w:rFonts w:hint="eastAsia"/>
          <w:sz w:val="24"/>
        </w:rPr>
        <w:t>1196</w:t>
      </w:r>
      <w:r>
        <w:rPr>
          <w:rFonts w:hint="eastAsia"/>
          <w:sz w:val="24"/>
        </w:rPr>
        <w:t>号世纪汇办公楼二座</w:t>
      </w:r>
      <w:r>
        <w:rPr>
          <w:rFonts w:hint="eastAsia"/>
          <w:sz w:val="24"/>
        </w:rPr>
        <w:t>27-30</w:t>
      </w:r>
      <w:r>
        <w:rPr>
          <w:rFonts w:hint="eastAsia"/>
          <w:sz w:val="24"/>
        </w:rPr>
        <w:t>层</w:t>
      </w:r>
    </w:p>
    <w:p w:rsidR="00563D2D" w:rsidRDefault="00563D2D">
      <w:pPr>
        <w:spacing w:line="360" w:lineRule="auto"/>
        <w:ind w:firstLineChars="200" w:firstLine="480"/>
        <w:rPr>
          <w:rFonts w:hint="eastAsia"/>
          <w:sz w:val="24"/>
        </w:rPr>
      </w:pPr>
      <w:r>
        <w:rPr>
          <w:rFonts w:hint="eastAsia"/>
          <w:sz w:val="24"/>
        </w:rPr>
        <w:t>办公地址：上海市浦东新区世纪大道</w:t>
      </w:r>
      <w:r>
        <w:rPr>
          <w:rFonts w:hint="eastAsia"/>
          <w:sz w:val="24"/>
        </w:rPr>
        <w:t>1196</w:t>
      </w:r>
      <w:r>
        <w:rPr>
          <w:rFonts w:hint="eastAsia"/>
          <w:sz w:val="24"/>
        </w:rPr>
        <w:t>号世纪汇二座</w:t>
      </w:r>
      <w:r>
        <w:rPr>
          <w:rFonts w:hint="eastAsia"/>
          <w:sz w:val="24"/>
        </w:rPr>
        <w:t>27-30</w:t>
      </w:r>
      <w:r>
        <w:rPr>
          <w:rFonts w:hint="eastAsia"/>
          <w:sz w:val="24"/>
        </w:rPr>
        <w:t>层</w:t>
      </w:r>
    </w:p>
    <w:p w:rsidR="00563D2D" w:rsidRDefault="00563D2D">
      <w:pPr>
        <w:spacing w:line="360" w:lineRule="auto"/>
        <w:ind w:firstLineChars="200" w:firstLine="480"/>
        <w:rPr>
          <w:rFonts w:hint="eastAsia"/>
          <w:sz w:val="24"/>
        </w:rPr>
      </w:pPr>
      <w:r>
        <w:rPr>
          <w:rFonts w:hint="eastAsia"/>
          <w:sz w:val="24"/>
        </w:rPr>
        <w:t>法定代表人：裴长江</w:t>
      </w:r>
    </w:p>
    <w:p w:rsidR="00563D2D" w:rsidRDefault="00563D2D">
      <w:pPr>
        <w:spacing w:line="360" w:lineRule="auto"/>
        <w:ind w:firstLineChars="200" w:firstLine="480"/>
        <w:rPr>
          <w:rFonts w:hint="eastAsia"/>
          <w:sz w:val="24"/>
        </w:rPr>
      </w:pPr>
      <w:r>
        <w:rPr>
          <w:rFonts w:hint="eastAsia"/>
          <w:sz w:val="24"/>
        </w:rPr>
        <w:t>总经理：陈戈</w:t>
      </w:r>
    </w:p>
    <w:p w:rsidR="00563D2D" w:rsidRDefault="00563D2D">
      <w:pPr>
        <w:spacing w:line="360" w:lineRule="auto"/>
        <w:ind w:firstLineChars="200" w:firstLine="480"/>
        <w:rPr>
          <w:rFonts w:hint="eastAsia"/>
          <w:sz w:val="24"/>
        </w:rPr>
      </w:pPr>
      <w:r>
        <w:rPr>
          <w:rFonts w:hint="eastAsia"/>
          <w:sz w:val="24"/>
        </w:rPr>
        <w:t>成立日期：</w:t>
      </w:r>
      <w:r>
        <w:rPr>
          <w:rFonts w:hint="eastAsia"/>
          <w:sz w:val="24"/>
        </w:rPr>
        <w:t>1999</w:t>
      </w:r>
      <w:r>
        <w:rPr>
          <w:rFonts w:hint="eastAsia"/>
          <w:sz w:val="24"/>
        </w:rPr>
        <w:t>年</w:t>
      </w:r>
      <w:r>
        <w:rPr>
          <w:rFonts w:hint="eastAsia"/>
          <w:sz w:val="24"/>
        </w:rPr>
        <w:t>4</w:t>
      </w:r>
      <w:r>
        <w:rPr>
          <w:rFonts w:hint="eastAsia"/>
          <w:sz w:val="24"/>
        </w:rPr>
        <w:t>月</w:t>
      </w:r>
      <w:r>
        <w:rPr>
          <w:rFonts w:hint="eastAsia"/>
          <w:sz w:val="24"/>
        </w:rPr>
        <w:t>13</w:t>
      </w:r>
      <w:r>
        <w:rPr>
          <w:rFonts w:hint="eastAsia"/>
          <w:sz w:val="24"/>
        </w:rPr>
        <w:t>日</w:t>
      </w:r>
    </w:p>
    <w:p w:rsidR="00563D2D" w:rsidRDefault="00563D2D">
      <w:pPr>
        <w:spacing w:line="360" w:lineRule="auto"/>
        <w:ind w:firstLineChars="200" w:firstLine="480"/>
        <w:rPr>
          <w:rFonts w:hint="eastAsia"/>
          <w:sz w:val="24"/>
        </w:rPr>
      </w:pPr>
      <w:r>
        <w:rPr>
          <w:rFonts w:hint="eastAsia"/>
          <w:sz w:val="24"/>
        </w:rPr>
        <w:t>电话：（</w:t>
      </w:r>
      <w:r>
        <w:rPr>
          <w:rFonts w:hint="eastAsia"/>
          <w:sz w:val="24"/>
        </w:rPr>
        <w:t>021</w:t>
      </w:r>
      <w:r>
        <w:rPr>
          <w:rFonts w:hint="eastAsia"/>
          <w:sz w:val="24"/>
        </w:rPr>
        <w:t>）</w:t>
      </w:r>
      <w:r>
        <w:rPr>
          <w:rFonts w:hint="eastAsia"/>
          <w:sz w:val="24"/>
        </w:rPr>
        <w:t>20361818</w:t>
      </w:r>
    </w:p>
    <w:p w:rsidR="00563D2D" w:rsidRDefault="00563D2D">
      <w:pPr>
        <w:spacing w:line="360" w:lineRule="auto"/>
        <w:ind w:firstLineChars="200" w:firstLine="480"/>
        <w:rPr>
          <w:rFonts w:hint="eastAsia"/>
          <w:sz w:val="24"/>
        </w:rPr>
      </w:pPr>
      <w:r>
        <w:rPr>
          <w:rFonts w:hint="eastAsia"/>
          <w:sz w:val="24"/>
        </w:rPr>
        <w:t>传真：（</w:t>
      </w:r>
      <w:r>
        <w:rPr>
          <w:rFonts w:hint="eastAsia"/>
          <w:sz w:val="24"/>
        </w:rPr>
        <w:t>021</w:t>
      </w:r>
      <w:r>
        <w:rPr>
          <w:rFonts w:hint="eastAsia"/>
          <w:sz w:val="24"/>
        </w:rPr>
        <w:t>）</w:t>
      </w:r>
      <w:r>
        <w:rPr>
          <w:rFonts w:hint="eastAsia"/>
          <w:sz w:val="24"/>
        </w:rPr>
        <w:t>20361616</w:t>
      </w:r>
    </w:p>
    <w:p w:rsidR="00563D2D" w:rsidRDefault="00563D2D">
      <w:pPr>
        <w:spacing w:line="360" w:lineRule="auto"/>
        <w:ind w:firstLineChars="200" w:firstLine="480"/>
        <w:rPr>
          <w:rFonts w:hint="eastAsia"/>
          <w:sz w:val="24"/>
        </w:rPr>
      </w:pPr>
      <w:r>
        <w:rPr>
          <w:rFonts w:hint="eastAsia"/>
          <w:sz w:val="24"/>
        </w:rPr>
        <w:t>联系人：赵瑛</w:t>
      </w:r>
    </w:p>
    <w:p w:rsidR="00563D2D" w:rsidRDefault="00563D2D">
      <w:pPr>
        <w:spacing w:line="360" w:lineRule="auto"/>
        <w:ind w:firstLineChars="200" w:firstLine="480"/>
        <w:rPr>
          <w:rFonts w:hint="eastAsia"/>
          <w:sz w:val="24"/>
        </w:rPr>
      </w:pPr>
      <w:r>
        <w:rPr>
          <w:rFonts w:hint="eastAsia"/>
          <w:sz w:val="24"/>
        </w:rPr>
        <w:t>注册资本：</w:t>
      </w:r>
      <w:r>
        <w:rPr>
          <w:rFonts w:hint="eastAsia"/>
          <w:sz w:val="24"/>
        </w:rPr>
        <w:t>5.2</w:t>
      </w:r>
      <w:r>
        <w:rPr>
          <w:rFonts w:hint="eastAsia"/>
          <w:sz w:val="24"/>
        </w:rPr>
        <w:t>亿元人民币</w:t>
      </w:r>
    </w:p>
    <w:p w:rsidR="00563D2D" w:rsidRDefault="00563D2D">
      <w:pPr>
        <w:spacing w:line="360" w:lineRule="auto"/>
        <w:ind w:firstLineChars="200" w:firstLine="480"/>
        <w:rPr>
          <w:sz w:val="24"/>
        </w:rPr>
      </w:pPr>
      <w:r>
        <w:rPr>
          <w:sz w:val="24"/>
        </w:rPr>
        <w:t>（二）基金托管人</w:t>
      </w:r>
    </w:p>
    <w:p w:rsidR="009A5A57" w:rsidRPr="009A5A57" w:rsidRDefault="009A5A57" w:rsidP="009A5A57">
      <w:pPr>
        <w:spacing w:line="360" w:lineRule="auto"/>
        <w:ind w:firstLineChars="200" w:firstLine="480"/>
        <w:rPr>
          <w:rFonts w:hint="eastAsia"/>
          <w:sz w:val="24"/>
        </w:rPr>
      </w:pPr>
      <w:r w:rsidRPr="009A5A57">
        <w:rPr>
          <w:rFonts w:hint="eastAsia"/>
          <w:sz w:val="24"/>
        </w:rPr>
        <w:t>名称：兴业银行股份有限公司（以下简称“兴业银行”）</w:t>
      </w:r>
    </w:p>
    <w:p w:rsidR="009A5A57" w:rsidRPr="009A5A57" w:rsidRDefault="009A5A57" w:rsidP="009A5A57">
      <w:pPr>
        <w:spacing w:line="360" w:lineRule="auto"/>
        <w:ind w:firstLineChars="200" w:firstLine="480"/>
        <w:rPr>
          <w:rFonts w:hint="eastAsia"/>
          <w:sz w:val="24"/>
        </w:rPr>
      </w:pPr>
      <w:r w:rsidRPr="009A5A57">
        <w:rPr>
          <w:rFonts w:hint="eastAsia"/>
          <w:sz w:val="24"/>
        </w:rPr>
        <w:t>注册地址：福建省福州市台江区江滨中大道</w:t>
      </w:r>
      <w:r w:rsidRPr="009A5A57">
        <w:rPr>
          <w:rFonts w:hint="eastAsia"/>
          <w:sz w:val="24"/>
        </w:rPr>
        <w:t>398</w:t>
      </w:r>
      <w:r w:rsidRPr="009A5A57">
        <w:rPr>
          <w:rFonts w:hint="eastAsia"/>
          <w:sz w:val="24"/>
        </w:rPr>
        <w:t>号兴业银行大厦</w:t>
      </w:r>
    </w:p>
    <w:p w:rsidR="009A5A57" w:rsidRPr="009A5A57" w:rsidRDefault="009A5A57" w:rsidP="009A5A57">
      <w:pPr>
        <w:spacing w:line="360" w:lineRule="auto"/>
        <w:ind w:firstLineChars="200" w:firstLine="480"/>
        <w:rPr>
          <w:rFonts w:hint="eastAsia"/>
          <w:sz w:val="24"/>
        </w:rPr>
      </w:pPr>
      <w:r w:rsidRPr="009A5A57">
        <w:rPr>
          <w:rFonts w:hint="eastAsia"/>
          <w:sz w:val="24"/>
        </w:rPr>
        <w:t>办公地址：上海市银城路</w:t>
      </w:r>
      <w:r w:rsidRPr="009A5A57">
        <w:rPr>
          <w:rFonts w:hint="eastAsia"/>
          <w:sz w:val="24"/>
        </w:rPr>
        <w:t>167</w:t>
      </w:r>
      <w:r w:rsidRPr="009A5A57">
        <w:rPr>
          <w:rFonts w:hint="eastAsia"/>
          <w:sz w:val="24"/>
        </w:rPr>
        <w:t>号</w:t>
      </w:r>
    </w:p>
    <w:p w:rsidR="009A5A57" w:rsidRPr="009A5A57" w:rsidRDefault="009A5A57" w:rsidP="009A5A57">
      <w:pPr>
        <w:spacing w:line="360" w:lineRule="auto"/>
        <w:ind w:firstLineChars="200" w:firstLine="480"/>
        <w:rPr>
          <w:rFonts w:hint="eastAsia"/>
          <w:sz w:val="24"/>
        </w:rPr>
      </w:pPr>
      <w:r w:rsidRPr="009A5A57">
        <w:rPr>
          <w:rFonts w:hint="eastAsia"/>
          <w:sz w:val="24"/>
        </w:rPr>
        <w:t>邮政编码：</w:t>
      </w:r>
      <w:r w:rsidRPr="009A5A57">
        <w:rPr>
          <w:rFonts w:hint="eastAsia"/>
          <w:sz w:val="24"/>
        </w:rPr>
        <w:t>200120</w:t>
      </w:r>
    </w:p>
    <w:p w:rsidR="009A5A57" w:rsidRPr="009A5A57" w:rsidRDefault="009A5A57" w:rsidP="009A5A57">
      <w:pPr>
        <w:spacing w:line="360" w:lineRule="auto"/>
        <w:ind w:firstLineChars="200" w:firstLine="480"/>
        <w:rPr>
          <w:rFonts w:hint="eastAsia"/>
          <w:sz w:val="24"/>
        </w:rPr>
      </w:pPr>
      <w:r w:rsidRPr="009A5A57">
        <w:rPr>
          <w:rFonts w:hint="eastAsia"/>
          <w:sz w:val="24"/>
        </w:rPr>
        <w:t>法定代表人：吕家进</w:t>
      </w:r>
      <w:r w:rsidRPr="009A5A57">
        <w:rPr>
          <w:rFonts w:hint="eastAsia"/>
          <w:sz w:val="24"/>
        </w:rPr>
        <w:t xml:space="preserve"> </w:t>
      </w:r>
    </w:p>
    <w:p w:rsidR="009A5A57" w:rsidRPr="009A5A57" w:rsidRDefault="009A5A57" w:rsidP="009A5A57">
      <w:pPr>
        <w:spacing w:line="360" w:lineRule="auto"/>
        <w:ind w:firstLineChars="200" w:firstLine="480"/>
        <w:rPr>
          <w:rFonts w:hint="eastAsia"/>
          <w:sz w:val="24"/>
        </w:rPr>
      </w:pPr>
      <w:r w:rsidRPr="009A5A57">
        <w:rPr>
          <w:rFonts w:hint="eastAsia"/>
          <w:sz w:val="24"/>
        </w:rPr>
        <w:t>成立日期：</w:t>
      </w:r>
      <w:r w:rsidRPr="009A5A57">
        <w:rPr>
          <w:rFonts w:hint="eastAsia"/>
          <w:sz w:val="24"/>
        </w:rPr>
        <w:t>1988</w:t>
      </w:r>
      <w:r w:rsidRPr="009A5A57">
        <w:rPr>
          <w:rFonts w:hint="eastAsia"/>
          <w:sz w:val="24"/>
        </w:rPr>
        <w:t>年</w:t>
      </w:r>
      <w:r w:rsidRPr="009A5A57">
        <w:rPr>
          <w:rFonts w:hint="eastAsia"/>
          <w:sz w:val="24"/>
        </w:rPr>
        <w:t>8</w:t>
      </w:r>
      <w:r w:rsidRPr="009A5A57">
        <w:rPr>
          <w:rFonts w:hint="eastAsia"/>
          <w:sz w:val="24"/>
        </w:rPr>
        <w:t>月</w:t>
      </w:r>
      <w:r w:rsidRPr="009A5A57">
        <w:rPr>
          <w:rFonts w:hint="eastAsia"/>
          <w:sz w:val="24"/>
        </w:rPr>
        <w:t>22</w:t>
      </w:r>
      <w:r w:rsidRPr="009A5A57">
        <w:rPr>
          <w:rFonts w:hint="eastAsia"/>
          <w:sz w:val="24"/>
        </w:rPr>
        <w:t>日</w:t>
      </w:r>
    </w:p>
    <w:p w:rsidR="009A5A57" w:rsidRPr="009A5A57" w:rsidRDefault="009A5A57" w:rsidP="009A5A57">
      <w:pPr>
        <w:spacing w:line="360" w:lineRule="auto"/>
        <w:ind w:firstLineChars="200" w:firstLine="480"/>
        <w:rPr>
          <w:rFonts w:hint="eastAsia"/>
          <w:sz w:val="24"/>
        </w:rPr>
      </w:pPr>
      <w:r w:rsidRPr="009A5A57">
        <w:rPr>
          <w:rFonts w:hint="eastAsia"/>
          <w:sz w:val="24"/>
        </w:rPr>
        <w:t>批准设立机关和批准设立文号：中国人民银行总行，银复</w:t>
      </w:r>
      <w:r w:rsidRPr="009A5A57">
        <w:rPr>
          <w:rFonts w:hint="eastAsia"/>
          <w:sz w:val="24"/>
        </w:rPr>
        <w:t>[1988]347</w:t>
      </w:r>
      <w:r w:rsidRPr="009A5A57">
        <w:rPr>
          <w:rFonts w:hint="eastAsia"/>
          <w:sz w:val="24"/>
        </w:rPr>
        <w:t>号</w:t>
      </w:r>
    </w:p>
    <w:p w:rsidR="009A5A57" w:rsidRPr="009A5A57" w:rsidRDefault="009A5A57" w:rsidP="009A5A57">
      <w:pPr>
        <w:spacing w:line="360" w:lineRule="auto"/>
        <w:ind w:firstLineChars="200" w:firstLine="480"/>
        <w:rPr>
          <w:rFonts w:hint="eastAsia"/>
          <w:sz w:val="24"/>
        </w:rPr>
      </w:pPr>
      <w:r w:rsidRPr="009A5A57">
        <w:rPr>
          <w:rFonts w:hint="eastAsia"/>
          <w:sz w:val="24"/>
        </w:rPr>
        <w:t>基金托管业务批准文号：中国证监会证监基金字</w:t>
      </w:r>
      <w:r w:rsidRPr="009A5A57">
        <w:rPr>
          <w:rFonts w:hint="eastAsia"/>
          <w:sz w:val="24"/>
        </w:rPr>
        <w:t>[2005]74</w:t>
      </w:r>
      <w:r w:rsidRPr="009A5A57">
        <w:rPr>
          <w:rFonts w:hint="eastAsia"/>
          <w:sz w:val="24"/>
        </w:rPr>
        <w:t>号</w:t>
      </w:r>
    </w:p>
    <w:p w:rsidR="009A5A57" w:rsidRPr="009A5A57" w:rsidRDefault="009A5A57" w:rsidP="009A5A57">
      <w:pPr>
        <w:spacing w:line="360" w:lineRule="auto"/>
        <w:ind w:firstLineChars="200" w:firstLine="480"/>
        <w:rPr>
          <w:rFonts w:hint="eastAsia"/>
          <w:sz w:val="24"/>
        </w:rPr>
      </w:pPr>
      <w:r w:rsidRPr="009A5A57">
        <w:rPr>
          <w:rFonts w:hint="eastAsia"/>
          <w:sz w:val="24"/>
        </w:rPr>
        <w:t>组织形式：股份有限公司</w:t>
      </w:r>
    </w:p>
    <w:p w:rsidR="009A5A57" w:rsidRPr="009A5A57" w:rsidRDefault="009A5A57" w:rsidP="009A5A57">
      <w:pPr>
        <w:spacing w:line="360" w:lineRule="auto"/>
        <w:ind w:firstLineChars="200" w:firstLine="480"/>
        <w:rPr>
          <w:rFonts w:hint="eastAsia"/>
          <w:sz w:val="24"/>
        </w:rPr>
      </w:pPr>
      <w:r w:rsidRPr="009A5A57">
        <w:rPr>
          <w:rFonts w:hint="eastAsia"/>
          <w:sz w:val="24"/>
        </w:rPr>
        <w:t>注册资本：</w:t>
      </w:r>
      <w:r w:rsidRPr="009A5A57">
        <w:rPr>
          <w:rFonts w:hint="eastAsia"/>
          <w:sz w:val="24"/>
        </w:rPr>
        <w:t>207.74</w:t>
      </w:r>
      <w:r w:rsidRPr="009A5A57">
        <w:rPr>
          <w:rFonts w:hint="eastAsia"/>
          <w:sz w:val="24"/>
        </w:rPr>
        <w:t>亿元人民币</w:t>
      </w:r>
    </w:p>
    <w:p w:rsidR="00563D2D" w:rsidRDefault="009A5A57" w:rsidP="00FA2CB8">
      <w:pPr>
        <w:spacing w:line="360" w:lineRule="auto"/>
        <w:ind w:firstLineChars="200" w:firstLine="480"/>
        <w:rPr>
          <w:sz w:val="24"/>
        </w:rPr>
      </w:pPr>
      <w:r w:rsidRPr="009A5A57">
        <w:rPr>
          <w:rFonts w:hint="eastAsia"/>
          <w:sz w:val="24"/>
        </w:rPr>
        <w:t>存续期间：持续经营</w:t>
      </w:r>
    </w:p>
    <w:p w:rsidR="00563D2D" w:rsidRDefault="00563D2D">
      <w:pPr>
        <w:spacing w:line="360" w:lineRule="auto"/>
        <w:ind w:firstLineChars="200" w:firstLine="480"/>
        <w:rPr>
          <w:sz w:val="24"/>
        </w:rPr>
      </w:pPr>
      <w:r>
        <w:rPr>
          <w:sz w:val="24"/>
        </w:rPr>
        <w:t>（三）销售机构</w:t>
      </w:r>
    </w:p>
    <w:p w:rsidR="00563D2D" w:rsidRDefault="00563D2D">
      <w:pPr>
        <w:spacing w:line="360" w:lineRule="auto"/>
        <w:ind w:firstLineChars="200" w:firstLine="480"/>
        <w:rPr>
          <w:rFonts w:hint="eastAsia"/>
          <w:sz w:val="24"/>
        </w:rPr>
      </w:pPr>
      <w:r>
        <w:rPr>
          <w:sz w:val="24"/>
        </w:rPr>
        <w:t>1</w:t>
      </w:r>
      <w:r>
        <w:rPr>
          <w:sz w:val="24"/>
        </w:rPr>
        <w:t>、直销机构</w:t>
      </w:r>
    </w:p>
    <w:p w:rsidR="00E1711D" w:rsidRDefault="00563D2D" w:rsidP="00E1711D">
      <w:pPr>
        <w:spacing w:line="360" w:lineRule="auto"/>
        <w:ind w:firstLineChars="200" w:firstLine="480"/>
        <w:rPr>
          <w:sz w:val="24"/>
        </w:rPr>
      </w:pPr>
      <w:r>
        <w:rPr>
          <w:rFonts w:hint="eastAsia"/>
          <w:sz w:val="24"/>
        </w:rPr>
        <w:t>名称</w:t>
      </w:r>
      <w:r>
        <w:rPr>
          <w:sz w:val="24"/>
        </w:rPr>
        <w:t>：富国基金管理有限公司</w:t>
      </w:r>
    </w:p>
    <w:p w:rsidR="00E1711D" w:rsidRPr="00E1711D" w:rsidRDefault="00E1711D" w:rsidP="00E1711D">
      <w:pPr>
        <w:spacing w:line="360" w:lineRule="auto"/>
        <w:ind w:firstLineChars="200" w:firstLine="480"/>
        <w:rPr>
          <w:rFonts w:hint="eastAsia"/>
          <w:sz w:val="24"/>
        </w:rPr>
      </w:pPr>
      <w:r w:rsidRPr="00E1711D">
        <w:rPr>
          <w:rFonts w:hint="eastAsia"/>
          <w:sz w:val="24"/>
        </w:rPr>
        <w:t>住所：中国（上海）自由贸易试验区世纪大道</w:t>
      </w:r>
      <w:r w:rsidRPr="00E1711D">
        <w:rPr>
          <w:rFonts w:hint="eastAsia"/>
          <w:sz w:val="24"/>
        </w:rPr>
        <w:t>1196</w:t>
      </w:r>
      <w:r w:rsidRPr="00E1711D">
        <w:rPr>
          <w:rFonts w:hint="eastAsia"/>
          <w:sz w:val="24"/>
        </w:rPr>
        <w:t>号世纪汇办公楼二座</w:t>
      </w:r>
      <w:r w:rsidRPr="00E1711D">
        <w:rPr>
          <w:rFonts w:hint="eastAsia"/>
          <w:sz w:val="24"/>
        </w:rPr>
        <w:t>27-30</w:t>
      </w:r>
      <w:r w:rsidRPr="00E1711D">
        <w:rPr>
          <w:rFonts w:hint="eastAsia"/>
          <w:sz w:val="24"/>
        </w:rPr>
        <w:t>层</w:t>
      </w:r>
    </w:p>
    <w:p w:rsidR="00E1711D" w:rsidRPr="00E1711D" w:rsidRDefault="00E1711D" w:rsidP="00E1711D">
      <w:pPr>
        <w:spacing w:line="360" w:lineRule="auto"/>
        <w:ind w:firstLineChars="200" w:firstLine="480"/>
        <w:rPr>
          <w:rFonts w:hint="eastAsia"/>
          <w:sz w:val="24"/>
        </w:rPr>
      </w:pPr>
      <w:r w:rsidRPr="00E1711D">
        <w:rPr>
          <w:rFonts w:hint="eastAsia"/>
          <w:sz w:val="24"/>
        </w:rPr>
        <w:t>办公地址：中国（上海）自由贸易试验区世纪大道</w:t>
      </w:r>
      <w:r w:rsidRPr="00E1711D">
        <w:rPr>
          <w:rFonts w:hint="eastAsia"/>
          <w:sz w:val="24"/>
        </w:rPr>
        <w:t>1196</w:t>
      </w:r>
      <w:r w:rsidRPr="00E1711D">
        <w:rPr>
          <w:rFonts w:hint="eastAsia"/>
          <w:sz w:val="24"/>
        </w:rPr>
        <w:t>号世纪汇办公楼二座</w:t>
      </w:r>
      <w:r w:rsidRPr="00E1711D">
        <w:rPr>
          <w:rFonts w:hint="eastAsia"/>
          <w:sz w:val="24"/>
        </w:rPr>
        <w:t>27-30</w:t>
      </w:r>
      <w:r w:rsidRPr="00E1711D">
        <w:rPr>
          <w:rFonts w:hint="eastAsia"/>
          <w:sz w:val="24"/>
        </w:rPr>
        <w:t>层</w:t>
      </w:r>
    </w:p>
    <w:p w:rsidR="00E1711D" w:rsidRPr="00E1711D" w:rsidRDefault="00E1711D" w:rsidP="00E1711D">
      <w:pPr>
        <w:spacing w:line="360" w:lineRule="auto"/>
        <w:ind w:firstLineChars="200" w:firstLine="480"/>
        <w:rPr>
          <w:rFonts w:hint="eastAsia"/>
          <w:sz w:val="24"/>
        </w:rPr>
      </w:pPr>
      <w:r w:rsidRPr="00E1711D">
        <w:rPr>
          <w:rFonts w:hint="eastAsia"/>
          <w:sz w:val="24"/>
        </w:rPr>
        <w:t>法定代表人：裴长江</w:t>
      </w:r>
    </w:p>
    <w:p w:rsidR="00E1711D" w:rsidRPr="00E1711D" w:rsidRDefault="00E1711D" w:rsidP="00E1711D">
      <w:pPr>
        <w:spacing w:line="360" w:lineRule="auto"/>
        <w:ind w:firstLineChars="200" w:firstLine="480"/>
        <w:rPr>
          <w:rFonts w:hint="eastAsia"/>
          <w:sz w:val="24"/>
        </w:rPr>
      </w:pPr>
      <w:r w:rsidRPr="00E1711D">
        <w:rPr>
          <w:rFonts w:hint="eastAsia"/>
          <w:sz w:val="24"/>
        </w:rPr>
        <w:t>总经理：陈戈</w:t>
      </w:r>
    </w:p>
    <w:p w:rsidR="00E1711D" w:rsidRPr="00E1711D" w:rsidRDefault="00E1711D" w:rsidP="00E1711D">
      <w:pPr>
        <w:spacing w:line="360" w:lineRule="auto"/>
        <w:ind w:firstLineChars="200" w:firstLine="480"/>
        <w:rPr>
          <w:rFonts w:hint="eastAsia"/>
          <w:sz w:val="24"/>
        </w:rPr>
      </w:pPr>
      <w:r w:rsidRPr="00E1711D">
        <w:rPr>
          <w:rFonts w:hint="eastAsia"/>
          <w:sz w:val="24"/>
        </w:rPr>
        <w:t>成立日期：</w:t>
      </w:r>
      <w:r w:rsidRPr="00E1711D">
        <w:rPr>
          <w:rFonts w:hint="eastAsia"/>
          <w:sz w:val="24"/>
        </w:rPr>
        <w:t>1999</w:t>
      </w:r>
      <w:r w:rsidRPr="00E1711D">
        <w:rPr>
          <w:rFonts w:hint="eastAsia"/>
          <w:sz w:val="24"/>
        </w:rPr>
        <w:t>年</w:t>
      </w:r>
      <w:r w:rsidRPr="00E1711D">
        <w:rPr>
          <w:rFonts w:hint="eastAsia"/>
          <w:sz w:val="24"/>
        </w:rPr>
        <w:t>4</w:t>
      </w:r>
      <w:r w:rsidRPr="00E1711D">
        <w:rPr>
          <w:rFonts w:hint="eastAsia"/>
          <w:sz w:val="24"/>
        </w:rPr>
        <w:t>月</w:t>
      </w:r>
      <w:r w:rsidRPr="00E1711D">
        <w:rPr>
          <w:rFonts w:hint="eastAsia"/>
          <w:sz w:val="24"/>
        </w:rPr>
        <w:t>13</w:t>
      </w:r>
      <w:r w:rsidRPr="00E1711D">
        <w:rPr>
          <w:rFonts w:hint="eastAsia"/>
          <w:sz w:val="24"/>
        </w:rPr>
        <w:t>日</w:t>
      </w:r>
    </w:p>
    <w:p w:rsidR="00E1711D" w:rsidRPr="00E1711D" w:rsidRDefault="00E1711D" w:rsidP="00E1711D">
      <w:pPr>
        <w:spacing w:line="360" w:lineRule="auto"/>
        <w:ind w:firstLineChars="200" w:firstLine="480"/>
        <w:rPr>
          <w:rFonts w:hint="eastAsia"/>
          <w:sz w:val="24"/>
        </w:rPr>
      </w:pPr>
      <w:r w:rsidRPr="00E1711D">
        <w:rPr>
          <w:rFonts w:hint="eastAsia"/>
          <w:sz w:val="24"/>
        </w:rPr>
        <w:t>直销网点：直销中心</w:t>
      </w:r>
    </w:p>
    <w:p w:rsidR="00E1711D" w:rsidRPr="00E1711D" w:rsidRDefault="00E1711D" w:rsidP="00E1711D">
      <w:pPr>
        <w:spacing w:line="360" w:lineRule="auto"/>
        <w:ind w:firstLineChars="200" w:firstLine="480"/>
        <w:rPr>
          <w:rFonts w:hint="eastAsia"/>
          <w:sz w:val="24"/>
        </w:rPr>
      </w:pPr>
      <w:r w:rsidRPr="00E1711D">
        <w:rPr>
          <w:rFonts w:hint="eastAsia"/>
          <w:sz w:val="24"/>
        </w:rPr>
        <w:t>直销中心地址：上海市浦东新区世纪大道</w:t>
      </w:r>
      <w:r w:rsidRPr="00E1711D">
        <w:rPr>
          <w:rFonts w:hint="eastAsia"/>
          <w:sz w:val="24"/>
        </w:rPr>
        <w:t>1196</w:t>
      </w:r>
      <w:r w:rsidRPr="00E1711D">
        <w:rPr>
          <w:rFonts w:hint="eastAsia"/>
          <w:sz w:val="24"/>
        </w:rPr>
        <w:t>号世纪汇二座</w:t>
      </w:r>
      <w:r w:rsidRPr="00E1711D">
        <w:rPr>
          <w:rFonts w:hint="eastAsia"/>
          <w:sz w:val="24"/>
        </w:rPr>
        <w:t>27</w:t>
      </w:r>
      <w:r w:rsidRPr="00E1711D">
        <w:rPr>
          <w:rFonts w:hint="eastAsia"/>
          <w:sz w:val="24"/>
        </w:rPr>
        <w:t>层</w:t>
      </w:r>
    </w:p>
    <w:p w:rsidR="00E1711D" w:rsidRPr="00E1711D" w:rsidRDefault="00E1711D" w:rsidP="00E1711D">
      <w:pPr>
        <w:spacing w:line="360" w:lineRule="auto"/>
        <w:ind w:firstLineChars="200" w:firstLine="480"/>
        <w:rPr>
          <w:rFonts w:hint="eastAsia"/>
          <w:sz w:val="24"/>
        </w:rPr>
      </w:pPr>
      <w:r w:rsidRPr="00E1711D">
        <w:rPr>
          <w:rFonts w:hint="eastAsia"/>
          <w:sz w:val="24"/>
        </w:rPr>
        <w:t>客户服务统一咨询电话：</w:t>
      </w:r>
      <w:r w:rsidRPr="00E1711D">
        <w:rPr>
          <w:rFonts w:hint="eastAsia"/>
          <w:sz w:val="24"/>
        </w:rPr>
        <w:t>95105686</w:t>
      </w:r>
      <w:r w:rsidRPr="00E1711D">
        <w:rPr>
          <w:rFonts w:hint="eastAsia"/>
          <w:sz w:val="24"/>
        </w:rPr>
        <w:t>、</w:t>
      </w:r>
      <w:r w:rsidRPr="00E1711D">
        <w:rPr>
          <w:rFonts w:hint="eastAsia"/>
          <w:sz w:val="24"/>
        </w:rPr>
        <w:t>4008880688</w:t>
      </w:r>
      <w:r w:rsidRPr="00E1711D">
        <w:rPr>
          <w:rFonts w:hint="eastAsia"/>
          <w:sz w:val="24"/>
        </w:rPr>
        <w:t>（全国统一，免长途话费）</w:t>
      </w:r>
    </w:p>
    <w:p w:rsidR="00E1711D" w:rsidRPr="00E1711D" w:rsidRDefault="00E1711D" w:rsidP="00E1711D">
      <w:pPr>
        <w:spacing w:line="360" w:lineRule="auto"/>
        <w:ind w:firstLineChars="200" w:firstLine="480"/>
        <w:rPr>
          <w:rFonts w:hint="eastAsia"/>
          <w:sz w:val="24"/>
        </w:rPr>
      </w:pPr>
      <w:r w:rsidRPr="00E1711D">
        <w:rPr>
          <w:rFonts w:hint="eastAsia"/>
          <w:sz w:val="24"/>
        </w:rPr>
        <w:t>传真：</w:t>
      </w:r>
      <w:r w:rsidRPr="00E1711D">
        <w:rPr>
          <w:rFonts w:hint="eastAsia"/>
          <w:sz w:val="24"/>
        </w:rPr>
        <w:t>021-20513177</w:t>
      </w:r>
    </w:p>
    <w:p w:rsidR="00E1711D" w:rsidRPr="00E1711D" w:rsidRDefault="00E1711D" w:rsidP="00E1711D">
      <w:pPr>
        <w:spacing w:line="360" w:lineRule="auto"/>
        <w:ind w:firstLineChars="200" w:firstLine="480"/>
        <w:rPr>
          <w:rFonts w:hint="eastAsia"/>
          <w:sz w:val="24"/>
        </w:rPr>
      </w:pPr>
      <w:r w:rsidRPr="00E1711D">
        <w:rPr>
          <w:rFonts w:hint="eastAsia"/>
          <w:sz w:val="24"/>
        </w:rPr>
        <w:t>联系人：吕铭泽</w:t>
      </w:r>
    </w:p>
    <w:p w:rsidR="00E1711D" w:rsidRPr="00E1711D" w:rsidRDefault="00E1711D" w:rsidP="00E1711D">
      <w:pPr>
        <w:spacing w:line="360" w:lineRule="auto"/>
        <w:ind w:firstLineChars="200" w:firstLine="480"/>
        <w:rPr>
          <w:rFonts w:hint="eastAsia"/>
          <w:sz w:val="24"/>
        </w:rPr>
      </w:pPr>
      <w:r w:rsidRPr="00E1711D">
        <w:rPr>
          <w:rFonts w:hint="eastAsia"/>
          <w:sz w:val="24"/>
        </w:rPr>
        <w:t>公司网站：</w:t>
      </w:r>
      <w:r w:rsidRPr="00E1711D">
        <w:rPr>
          <w:rFonts w:hint="eastAsia"/>
          <w:sz w:val="24"/>
        </w:rPr>
        <w:t>www.fullgoal.com.cn</w:t>
      </w:r>
    </w:p>
    <w:p w:rsidR="00563D2D" w:rsidRDefault="00E1711D" w:rsidP="00E1711D">
      <w:pPr>
        <w:spacing w:line="360" w:lineRule="auto"/>
        <w:ind w:firstLineChars="200" w:firstLine="480"/>
        <w:rPr>
          <w:sz w:val="24"/>
        </w:rPr>
      </w:pPr>
      <w:r w:rsidRPr="00E1711D">
        <w:rPr>
          <w:rFonts w:hint="eastAsia"/>
          <w:sz w:val="24"/>
        </w:rPr>
        <w:t>本公司直销中心和网上直销系统销售本基金</w:t>
      </w:r>
      <w:r w:rsidRPr="00E1711D">
        <w:rPr>
          <w:rFonts w:hint="eastAsia"/>
          <w:sz w:val="24"/>
        </w:rPr>
        <w:t>A</w:t>
      </w:r>
      <w:r w:rsidRPr="00E1711D">
        <w:rPr>
          <w:rFonts w:hint="eastAsia"/>
          <w:sz w:val="24"/>
        </w:rPr>
        <w:t>类基金份额，若后续销售本基金</w:t>
      </w:r>
      <w:r w:rsidRPr="00E1711D">
        <w:rPr>
          <w:rFonts w:hint="eastAsia"/>
          <w:sz w:val="24"/>
        </w:rPr>
        <w:t>C</w:t>
      </w:r>
      <w:r w:rsidRPr="00E1711D">
        <w:rPr>
          <w:rFonts w:hint="eastAsia"/>
          <w:sz w:val="24"/>
        </w:rPr>
        <w:t>类基金份额，将另行公告，网点具体信息详见本公司网站。</w:t>
      </w:r>
    </w:p>
    <w:p w:rsidR="00563D2D" w:rsidRDefault="00563D2D">
      <w:pPr>
        <w:spacing w:line="360" w:lineRule="auto"/>
        <w:ind w:firstLineChars="200" w:firstLine="480"/>
        <w:rPr>
          <w:sz w:val="24"/>
        </w:rPr>
      </w:pPr>
      <w:r>
        <w:rPr>
          <w:rFonts w:hint="eastAsia"/>
          <w:sz w:val="24"/>
        </w:rPr>
        <w:t>2</w:t>
      </w:r>
      <w:r>
        <w:rPr>
          <w:rFonts w:hint="eastAsia"/>
          <w:sz w:val="24"/>
        </w:rPr>
        <w:t>、其他销售机构</w:t>
      </w:r>
    </w:p>
    <w:p w:rsidR="00563D2D" w:rsidRDefault="00563D2D">
      <w:pPr>
        <w:spacing w:line="360" w:lineRule="auto"/>
        <w:ind w:firstLineChars="200" w:firstLine="480"/>
        <w:rPr>
          <w:rFonts w:hint="eastAsia"/>
          <w:sz w:val="24"/>
        </w:rPr>
      </w:pPr>
      <w:r>
        <w:rPr>
          <w:rFonts w:hint="eastAsia"/>
          <w:sz w:val="24"/>
        </w:rPr>
        <w:t>基金管理人可根据情况，变更或增减基金销售机构，或选择其他符合要求的机构代理销售本基金，并在基金管理人网站公示。</w:t>
      </w:r>
    </w:p>
    <w:p w:rsidR="00563D2D" w:rsidRDefault="00563D2D">
      <w:pPr>
        <w:spacing w:line="360" w:lineRule="auto"/>
        <w:ind w:firstLineChars="200" w:firstLine="480"/>
        <w:rPr>
          <w:rFonts w:hint="eastAsia"/>
          <w:sz w:val="24"/>
        </w:rPr>
      </w:pPr>
      <w:bookmarkStart w:id="13" w:name="_GoBack"/>
      <w:bookmarkEnd w:id="13"/>
      <w:r>
        <w:rPr>
          <w:sz w:val="24"/>
        </w:rPr>
        <w:t>（四）登记机构</w:t>
      </w:r>
    </w:p>
    <w:p w:rsidR="00563D2D" w:rsidRDefault="00563D2D">
      <w:pPr>
        <w:spacing w:line="360" w:lineRule="auto"/>
        <w:ind w:firstLineChars="200" w:firstLine="480"/>
        <w:rPr>
          <w:sz w:val="24"/>
        </w:rPr>
      </w:pPr>
      <w:r>
        <w:rPr>
          <w:sz w:val="24"/>
        </w:rPr>
        <w:t>名称：富国基金管理有限公司</w:t>
      </w:r>
    </w:p>
    <w:p w:rsidR="00563D2D" w:rsidRDefault="00563D2D">
      <w:pPr>
        <w:spacing w:line="360" w:lineRule="auto"/>
        <w:ind w:firstLineChars="200" w:firstLine="480"/>
        <w:rPr>
          <w:sz w:val="24"/>
        </w:rPr>
      </w:pPr>
      <w:r>
        <w:rPr>
          <w:sz w:val="24"/>
        </w:rPr>
        <w:t>住所：</w:t>
      </w:r>
      <w:r>
        <w:rPr>
          <w:rFonts w:hint="eastAsia"/>
          <w:sz w:val="24"/>
        </w:rPr>
        <w:t>中国（上海）自由贸易试验区世纪大道</w:t>
      </w:r>
      <w:r>
        <w:rPr>
          <w:rFonts w:hint="eastAsia"/>
          <w:sz w:val="24"/>
        </w:rPr>
        <w:t>1196</w:t>
      </w:r>
      <w:r>
        <w:rPr>
          <w:rFonts w:hint="eastAsia"/>
          <w:sz w:val="24"/>
        </w:rPr>
        <w:t>号世纪汇办公楼二座</w:t>
      </w:r>
      <w:r>
        <w:rPr>
          <w:rFonts w:hint="eastAsia"/>
          <w:sz w:val="24"/>
        </w:rPr>
        <w:t>27-30</w:t>
      </w:r>
      <w:r>
        <w:rPr>
          <w:rFonts w:hint="eastAsia"/>
          <w:sz w:val="24"/>
        </w:rPr>
        <w:t>层</w:t>
      </w:r>
    </w:p>
    <w:p w:rsidR="00563D2D" w:rsidRDefault="00563D2D">
      <w:pPr>
        <w:spacing w:line="360" w:lineRule="auto"/>
        <w:ind w:firstLineChars="200" w:firstLine="480"/>
        <w:rPr>
          <w:sz w:val="24"/>
        </w:rPr>
      </w:pPr>
      <w:r>
        <w:rPr>
          <w:sz w:val="24"/>
        </w:rPr>
        <w:t>办公地址：</w:t>
      </w:r>
      <w:r>
        <w:rPr>
          <w:rFonts w:hint="eastAsia"/>
          <w:sz w:val="24"/>
        </w:rPr>
        <w:t>中国（上海）自由贸易试验区世纪大道</w:t>
      </w:r>
      <w:r>
        <w:rPr>
          <w:rFonts w:hint="eastAsia"/>
          <w:sz w:val="24"/>
        </w:rPr>
        <w:t>1196</w:t>
      </w:r>
      <w:r>
        <w:rPr>
          <w:rFonts w:hint="eastAsia"/>
          <w:sz w:val="24"/>
        </w:rPr>
        <w:t>号世纪汇办公楼二座</w:t>
      </w:r>
      <w:r>
        <w:rPr>
          <w:rFonts w:hint="eastAsia"/>
          <w:sz w:val="24"/>
        </w:rPr>
        <w:t>27-30</w:t>
      </w:r>
      <w:r>
        <w:rPr>
          <w:rFonts w:hint="eastAsia"/>
          <w:sz w:val="24"/>
        </w:rPr>
        <w:t>层</w:t>
      </w:r>
    </w:p>
    <w:p w:rsidR="00563D2D" w:rsidRDefault="00563D2D">
      <w:pPr>
        <w:spacing w:line="360" w:lineRule="auto"/>
        <w:ind w:firstLineChars="200" w:firstLine="480"/>
        <w:rPr>
          <w:sz w:val="24"/>
        </w:rPr>
      </w:pPr>
      <w:r>
        <w:rPr>
          <w:sz w:val="24"/>
        </w:rPr>
        <w:t>法定代表人：</w:t>
      </w:r>
      <w:r>
        <w:rPr>
          <w:rFonts w:hint="eastAsia"/>
          <w:sz w:val="24"/>
        </w:rPr>
        <w:t>裴长江</w:t>
      </w:r>
    </w:p>
    <w:p w:rsidR="00563D2D" w:rsidRDefault="00563D2D">
      <w:pPr>
        <w:spacing w:line="360" w:lineRule="auto"/>
        <w:ind w:firstLineChars="200" w:firstLine="480"/>
        <w:rPr>
          <w:sz w:val="24"/>
        </w:rPr>
      </w:pPr>
      <w:r>
        <w:rPr>
          <w:sz w:val="24"/>
        </w:rPr>
        <w:t>成立日期：</w:t>
      </w:r>
      <w:r>
        <w:rPr>
          <w:sz w:val="24"/>
        </w:rPr>
        <w:t>1999</w:t>
      </w:r>
      <w:r>
        <w:rPr>
          <w:sz w:val="24"/>
        </w:rPr>
        <w:t>年</w:t>
      </w:r>
      <w:r>
        <w:rPr>
          <w:sz w:val="24"/>
        </w:rPr>
        <w:t>4</w:t>
      </w:r>
      <w:r>
        <w:rPr>
          <w:sz w:val="24"/>
        </w:rPr>
        <w:t>月</w:t>
      </w:r>
      <w:r>
        <w:rPr>
          <w:sz w:val="24"/>
        </w:rPr>
        <w:t>13</w:t>
      </w:r>
      <w:r>
        <w:rPr>
          <w:sz w:val="24"/>
        </w:rPr>
        <w:t>日</w:t>
      </w:r>
    </w:p>
    <w:p w:rsidR="00563D2D" w:rsidRDefault="00563D2D">
      <w:pPr>
        <w:spacing w:line="360" w:lineRule="auto"/>
        <w:ind w:firstLineChars="200" w:firstLine="480"/>
        <w:rPr>
          <w:sz w:val="24"/>
        </w:rPr>
      </w:pPr>
      <w:r>
        <w:rPr>
          <w:sz w:val="24"/>
        </w:rPr>
        <w:t>电话：（</w:t>
      </w:r>
      <w:r>
        <w:rPr>
          <w:sz w:val="24"/>
        </w:rPr>
        <w:t>021</w:t>
      </w:r>
      <w:r>
        <w:rPr>
          <w:sz w:val="24"/>
        </w:rPr>
        <w:t>）</w:t>
      </w:r>
      <w:r>
        <w:rPr>
          <w:sz w:val="24"/>
        </w:rPr>
        <w:t>20361818</w:t>
      </w:r>
    </w:p>
    <w:p w:rsidR="00563D2D" w:rsidRDefault="00563D2D">
      <w:pPr>
        <w:spacing w:line="360" w:lineRule="auto"/>
        <w:ind w:firstLineChars="200" w:firstLine="480"/>
        <w:rPr>
          <w:sz w:val="24"/>
        </w:rPr>
      </w:pPr>
      <w:r>
        <w:rPr>
          <w:sz w:val="24"/>
        </w:rPr>
        <w:t>传真：（</w:t>
      </w:r>
      <w:r>
        <w:rPr>
          <w:sz w:val="24"/>
        </w:rPr>
        <w:t>021</w:t>
      </w:r>
      <w:r>
        <w:rPr>
          <w:sz w:val="24"/>
        </w:rPr>
        <w:t>）</w:t>
      </w:r>
      <w:r>
        <w:rPr>
          <w:sz w:val="24"/>
        </w:rPr>
        <w:t>20361616</w:t>
      </w:r>
    </w:p>
    <w:p w:rsidR="00563D2D" w:rsidRDefault="00563D2D">
      <w:pPr>
        <w:spacing w:line="360" w:lineRule="auto"/>
        <w:ind w:firstLineChars="200" w:firstLine="480"/>
        <w:rPr>
          <w:sz w:val="24"/>
        </w:rPr>
      </w:pPr>
      <w:r>
        <w:rPr>
          <w:sz w:val="24"/>
        </w:rPr>
        <w:t>联系人：徐慧</w:t>
      </w:r>
    </w:p>
    <w:p w:rsidR="00563D2D" w:rsidRDefault="00563D2D">
      <w:pPr>
        <w:spacing w:line="360" w:lineRule="auto"/>
        <w:ind w:firstLineChars="200" w:firstLine="480"/>
        <w:rPr>
          <w:sz w:val="24"/>
        </w:rPr>
      </w:pPr>
      <w:r>
        <w:rPr>
          <w:sz w:val="24"/>
        </w:rPr>
        <w:t>（五）律师事务所和经办律师</w:t>
      </w:r>
    </w:p>
    <w:p w:rsidR="00EE6DAA" w:rsidRPr="00EE6DAA" w:rsidRDefault="00EE6DAA" w:rsidP="00EE6DAA">
      <w:pPr>
        <w:spacing w:line="360" w:lineRule="auto"/>
        <w:ind w:firstLineChars="200" w:firstLine="480"/>
        <w:rPr>
          <w:rFonts w:hint="eastAsia"/>
          <w:sz w:val="24"/>
        </w:rPr>
      </w:pPr>
      <w:r w:rsidRPr="00EE6DAA">
        <w:rPr>
          <w:rFonts w:hint="eastAsia"/>
          <w:sz w:val="24"/>
        </w:rPr>
        <w:t>名称：上海市通力律师事务所</w:t>
      </w:r>
    </w:p>
    <w:p w:rsidR="00EE6DAA" w:rsidRPr="00EE6DAA" w:rsidRDefault="00EE6DAA" w:rsidP="00EE6DAA">
      <w:pPr>
        <w:spacing w:line="360" w:lineRule="auto"/>
        <w:ind w:firstLineChars="200" w:firstLine="480"/>
        <w:rPr>
          <w:rFonts w:hint="eastAsia"/>
          <w:sz w:val="24"/>
        </w:rPr>
      </w:pPr>
      <w:r w:rsidRPr="00EE6DAA">
        <w:rPr>
          <w:rFonts w:hint="eastAsia"/>
          <w:sz w:val="24"/>
        </w:rPr>
        <w:t>住所：上海市银城中路</w:t>
      </w:r>
      <w:r w:rsidRPr="00EE6DAA">
        <w:rPr>
          <w:rFonts w:hint="eastAsia"/>
          <w:sz w:val="24"/>
        </w:rPr>
        <w:t>68</w:t>
      </w:r>
      <w:r w:rsidRPr="00EE6DAA">
        <w:rPr>
          <w:rFonts w:hint="eastAsia"/>
          <w:sz w:val="24"/>
        </w:rPr>
        <w:t>号时代金融中心</w:t>
      </w:r>
      <w:r w:rsidRPr="00EE6DAA">
        <w:rPr>
          <w:rFonts w:hint="eastAsia"/>
          <w:sz w:val="24"/>
        </w:rPr>
        <w:t>19</w:t>
      </w:r>
      <w:r w:rsidRPr="00EE6DAA">
        <w:rPr>
          <w:rFonts w:hint="eastAsia"/>
          <w:sz w:val="24"/>
        </w:rPr>
        <w:t>楼</w:t>
      </w:r>
    </w:p>
    <w:p w:rsidR="00EE6DAA" w:rsidRPr="00EE6DAA" w:rsidRDefault="00EE6DAA" w:rsidP="00EE6DAA">
      <w:pPr>
        <w:spacing w:line="360" w:lineRule="auto"/>
        <w:ind w:firstLineChars="200" w:firstLine="480"/>
        <w:rPr>
          <w:rFonts w:hint="eastAsia"/>
          <w:sz w:val="24"/>
        </w:rPr>
      </w:pPr>
      <w:r w:rsidRPr="00EE6DAA">
        <w:rPr>
          <w:rFonts w:hint="eastAsia"/>
          <w:sz w:val="24"/>
        </w:rPr>
        <w:t>办公地址：上海市银城中路</w:t>
      </w:r>
      <w:r w:rsidRPr="00EE6DAA">
        <w:rPr>
          <w:rFonts w:hint="eastAsia"/>
          <w:sz w:val="24"/>
        </w:rPr>
        <w:t>68</w:t>
      </w:r>
      <w:r w:rsidRPr="00EE6DAA">
        <w:rPr>
          <w:rFonts w:hint="eastAsia"/>
          <w:sz w:val="24"/>
        </w:rPr>
        <w:t>号时代金融中心</w:t>
      </w:r>
      <w:r w:rsidRPr="00EE6DAA">
        <w:rPr>
          <w:rFonts w:hint="eastAsia"/>
          <w:sz w:val="24"/>
        </w:rPr>
        <w:t>19</w:t>
      </w:r>
      <w:r w:rsidRPr="00EE6DAA">
        <w:rPr>
          <w:rFonts w:hint="eastAsia"/>
          <w:sz w:val="24"/>
        </w:rPr>
        <w:t>楼</w:t>
      </w:r>
    </w:p>
    <w:p w:rsidR="00EE6DAA" w:rsidRPr="00EE6DAA" w:rsidRDefault="00EE6DAA" w:rsidP="00EE6DAA">
      <w:pPr>
        <w:spacing w:line="360" w:lineRule="auto"/>
        <w:ind w:firstLineChars="200" w:firstLine="480"/>
        <w:rPr>
          <w:rFonts w:hint="eastAsia"/>
          <w:sz w:val="24"/>
        </w:rPr>
      </w:pPr>
      <w:r w:rsidRPr="00EE6DAA">
        <w:rPr>
          <w:rFonts w:hint="eastAsia"/>
          <w:sz w:val="24"/>
        </w:rPr>
        <w:t>负责人：韩炯</w:t>
      </w:r>
    </w:p>
    <w:p w:rsidR="00EE6DAA" w:rsidRPr="00EE6DAA" w:rsidRDefault="00EE6DAA" w:rsidP="00EE6DAA">
      <w:pPr>
        <w:spacing w:line="360" w:lineRule="auto"/>
        <w:ind w:firstLineChars="200" w:firstLine="480"/>
        <w:rPr>
          <w:rFonts w:hint="eastAsia"/>
          <w:sz w:val="24"/>
        </w:rPr>
      </w:pPr>
      <w:r w:rsidRPr="00EE6DAA">
        <w:rPr>
          <w:rFonts w:hint="eastAsia"/>
          <w:sz w:val="24"/>
        </w:rPr>
        <w:t>电话：（</w:t>
      </w:r>
      <w:r w:rsidRPr="00EE6DAA">
        <w:rPr>
          <w:rFonts w:hint="eastAsia"/>
          <w:sz w:val="24"/>
        </w:rPr>
        <w:t>021</w:t>
      </w:r>
      <w:r w:rsidRPr="00EE6DAA">
        <w:rPr>
          <w:rFonts w:hint="eastAsia"/>
          <w:sz w:val="24"/>
        </w:rPr>
        <w:t>）</w:t>
      </w:r>
      <w:r w:rsidRPr="00EE6DAA">
        <w:rPr>
          <w:rFonts w:hint="eastAsia"/>
          <w:sz w:val="24"/>
        </w:rPr>
        <w:t>31358666</w:t>
      </w:r>
    </w:p>
    <w:p w:rsidR="00EE6DAA" w:rsidRPr="00EE6DAA" w:rsidRDefault="00EE6DAA" w:rsidP="00EE6DAA">
      <w:pPr>
        <w:spacing w:line="360" w:lineRule="auto"/>
        <w:ind w:firstLineChars="200" w:firstLine="480"/>
        <w:rPr>
          <w:rFonts w:hint="eastAsia"/>
          <w:sz w:val="24"/>
        </w:rPr>
      </w:pPr>
      <w:r w:rsidRPr="00EE6DAA">
        <w:rPr>
          <w:rFonts w:hint="eastAsia"/>
          <w:sz w:val="24"/>
        </w:rPr>
        <w:t>传真：（</w:t>
      </w:r>
      <w:r w:rsidRPr="00EE6DAA">
        <w:rPr>
          <w:rFonts w:hint="eastAsia"/>
          <w:sz w:val="24"/>
        </w:rPr>
        <w:t>021</w:t>
      </w:r>
      <w:r w:rsidRPr="00EE6DAA">
        <w:rPr>
          <w:rFonts w:hint="eastAsia"/>
          <w:sz w:val="24"/>
        </w:rPr>
        <w:t>）</w:t>
      </w:r>
      <w:r w:rsidRPr="00EE6DAA">
        <w:rPr>
          <w:rFonts w:hint="eastAsia"/>
          <w:sz w:val="24"/>
        </w:rPr>
        <w:t>31358600</w:t>
      </w:r>
    </w:p>
    <w:p w:rsidR="00EE6DAA" w:rsidRPr="00EE6DAA" w:rsidRDefault="00EE6DAA" w:rsidP="00EE6DAA">
      <w:pPr>
        <w:spacing w:line="360" w:lineRule="auto"/>
        <w:ind w:firstLineChars="200" w:firstLine="480"/>
        <w:rPr>
          <w:rFonts w:hint="eastAsia"/>
          <w:sz w:val="24"/>
        </w:rPr>
      </w:pPr>
      <w:r w:rsidRPr="00EE6DAA">
        <w:rPr>
          <w:rFonts w:hint="eastAsia"/>
          <w:sz w:val="24"/>
        </w:rPr>
        <w:t>联系人：陈颖华</w:t>
      </w:r>
    </w:p>
    <w:p w:rsidR="00EE6DAA" w:rsidRDefault="00EE6DAA">
      <w:pPr>
        <w:spacing w:line="360" w:lineRule="auto"/>
        <w:ind w:firstLineChars="200" w:firstLine="480"/>
        <w:rPr>
          <w:sz w:val="24"/>
        </w:rPr>
      </w:pPr>
      <w:r w:rsidRPr="00EE6DAA">
        <w:rPr>
          <w:rFonts w:hint="eastAsia"/>
          <w:sz w:val="24"/>
        </w:rPr>
        <w:t>经办律师：陈颖华、王健</w:t>
      </w:r>
    </w:p>
    <w:p w:rsidR="00563D2D" w:rsidRDefault="00563D2D">
      <w:pPr>
        <w:spacing w:line="360" w:lineRule="auto"/>
        <w:ind w:firstLineChars="200" w:firstLine="480"/>
        <w:rPr>
          <w:sz w:val="24"/>
        </w:rPr>
      </w:pPr>
      <w:r>
        <w:rPr>
          <w:sz w:val="24"/>
        </w:rPr>
        <w:t>（六）会计师事务所和经办注册会计师</w:t>
      </w:r>
    </w:p>
    <w:p w:rsidR="00E07E6D" w:rsidRPr="00E07E6D" w:rsidRDefault="00E07E6D" w:rsidP="00E07E6D">
      <w:pPr>
        <w:spacing w:line="360" w:lineRule="auto"/>
        <w:ind w:firstLineChars="200" w:firstLine="480"/>
        <w:rPr>
          <w:rFonts w:hint="eastAsia"/>
          <w:sz w:val="24"/>
        </w:rPr>
      </w:pPr>
      <w:r w:rsidRPr="00E07E6D">
        <w:rPr>
          <w:rFonts w:hint="eastAsia"/>
          <w:sz w:val="24"/>
        </w:rPr>
        <w:t>名称：德勤华永会计师事务所（特殊普通合伙）</w:t>
      </w:r>
    </w:p>
    <w:p w:rsidR="00E07E6D" w:rsidRPr="00E07E6D" w:rsidRDefault="00E07E6D" w:rsidP="00E07E6D">
      <w:pPr>
        <w:spacing w:line="360" w:lineRule="auto"/>
        <w:ind w:firstLineChars="200" w:firstLine="480"/>
        <w:rPr>
          <w:rFonts w:hint="eastAsia"/>
          <w:sz w:val="24"/>
        </w:rPr>
      </w:pPr>
      <w:r w:rsidRPr="00E07E6D">
        <w:rPr>
          <w:rFonts w:hint="eastAsia"/>
          <w:sz w:val="24"/>
        </w:rPr>
        <w:t>注册地址：上海市黄浦区延安东路</w:t>
      </w:r>
      <w:r w:rsidRPr="00E07E6D">
        <w:rPr>
          <w:rFonts w:hint="eastAsia"/>
          <w:sz w:val="24"/>
        </w:rPr>
        <w:t>222</w:t>
      </w:r>
      <w:r w:rsidRPr="00E07E6D">
        <w:rPr>
          <w:rFonts w:hint="eastAsia"/>
          <w:sz w:val="24"/>
        </w:rPr>
        <w:t>号</w:t>
      </w:r>
      <w:r w:rsidRPr="00E07E6D">
        <w:rPr>
          <w:rFonts w:hint="eastAsia"/>
          <w:sz w:val="24"/>
        </w:rPr>
        <w:t>30</w:t>
      </w:r>
      <w:r w:rsidRPr="00E07E6D">
        <w:rPr>
          <w:rFonts w:hint="eastAsia"/>
          <w:sz w:val="24"/>
        </w:rPr>
        <w:t>楼</w:t>
      </w:r>
    </w:p>
    <w:p w:rsidR="00E07E6D" w:rsidRPr="00E07E6D" w:rsidRDefault="00E07E6D" w:rsidP="00E07E6D">
      <w:pPr>
        <w:spacing w:line="360" w:lineRule="auto"/>
        <w:ind w:firstLineChars="200" w:firstLine="480"/>
        <w:rPr>
          <w:rFonts w:hint="eastAsia"/>
          <w:sz w:val="24"/>
        </w:rPr>
      </w:pPr>
      <w:r w:rsidRPr="00E07E6D">
        <w:rPr>
          <w:rFonts w:hint="eastAsia"/>
          <w:sz w:val="24"/>
        </w:rPr>
        <w:t>办公地址：上海市黄浦区延安东路</w:t>
      </w:r>
      <w:r w:rsidRPr="00E07E6D">
        <w:rPr>
          <w:rFonts w:hint="eastAsia"/>
          <w:sz w:val="24"/>
        </w:rPr>
        <w:t>222</w:t>
      </w:r>
      <w:r w:rsidRPr="00E07E6D">
        <w:rPr>
          <w:rFonts w:hint="eastAsia"/>
          <w:sz w:val="24"/>
        </w:rPr>
        <w:t>号</w:t>
      </w:r>
      <w:r w:rsidRPr="00E07E6D">
        <w:rPr>
          <w:rFonts w:hint="eastAsia"/>
          <w:sz w:val="24"/>
        </w:rPr>
        <w:t>30</w:t>
      </w:r>
      <w:r w:rsidRPr="00E07E6D">
        <w:rPr>
          <w:rFonts w:hint="eastAsia"/>
          <w:sz w:val="24"/>
        </w:rPr>
        <w:t>楼</w:t>
      </w:r>
    </w:p>
    <w:p w:rsidR="00E07E6D" w:rsidRPr="00E07E6D" w:rsidRDefault="00E07E6D" w:rsidP="00E07E6D">
      <w:pPr>
        <w:spacing w:line="360" w:lineRule="auto"/>
        <w:ind w:firstLineChars="200" w:firstLine="480"/>
        <w:rPr>
          <w:rFonts w:hint="eastAsia"/>
          <w:sz w:val="24"/>
        </w:rPr>
      </w:pPr>
      <w:r w:rsidRPr="00E07E6D">
        <w:rPr>
          <w:rFonts w:hint="eastAsia"/>
          <w:sz w:val="24"/>
        </w:rPr>
        <w:t>执行事务合伙人：唐恋炯</w:t>
      </w:r>
    </w:p>
    <w:p w:rsidR="00E07E6D" w:rsidRPr="00E07E6D" w:rsidRDefault="00E07E6D" w:rsidP="00E07E6D">
      <w:pPr>
        <w:spacing w:line="360" w:lineRule="auto"/>
        <w:ind w:firstLineChars="200" w:firstLine="480"/>
        <w:rPr>
          <w:rFonts w:hint="eastAsia"/>
          <w:sz w:val="24"/>
        </w:rPr>
      </w:pPr>
      <w:r w:rsidRPr="00E07E6D">
        <w:rPr>
          <w:rFonts w:hint="eastAsia"/>
          <w:sz w:val="24"/>
        </w:rPr>
        <w:t>联系电话：</w:t>
      </w:r>
      <w:r w:rsidRPr="00E07E6D">
        <w:rPr>
          <w:rFonts w:hint="eastAsia"/>
          <w:sz w:val="24"/>
        </w:rPr>
        <w:t>+86 21 61418888</w:t>
      </w:r>
    </w:p>
    <w:p w:rsidR="00E07E6D" w:rsidRPr="00E07E6D" w:rsidRDefault="00E07E6D" w:rsidP="00E07E6D">
      <w:pPr>
        <w:spacing w:line="360" w:lineRule="auto"/>
        <w:ind w:firstLineChars="200" w:firstLine="480"/>
        <w:rPr>
          <w:rFonts w:hint="eastAsia"/>
          <w:sz w:val="24"/>
        </w:rPr>
      </w:pPr>
      <w:r w:rsidRPr="00E07E6D">
        <w:rPr>
          <w:rFonts w:hint="eastAsia"/>
          <w:sz w:val="24"/>
        </w:rPr>
        <w:t>传真：</w:t>
      </w:r>
      <w:r w:rsidRPr="00E07E6D">
        <w:rPr>
          <w:rFonts w:hint="eastAsia"/>
          <w:sz w:val="24"/>
        </w:rPr>
        <w:t>+86 21 63350003</w:t>
      </w:r>
    </w:p>
    <w:p w:rsidR="00E07E6D" w:rsidRPr="00E07E6D" w:rsidRDefault="00E07E6D" w:rsidP="00E07E6D">
      <w:pPr>
        <w:spacing w:line="360" w:lineRule="auto"/>
        <w:ind w:firstLineChars="200" w:firstLine="480"/>
        <w:rPr>
          <w:rFonts w:hint="eastAsia"/>
          <w:sz w:val="24"/>
        </w:rPr>
      </w:pPr>
      <w:r w:rsidRPr="00E07E6D">
        <w:rPr>
          <w:rFonts w:hint="eastAsia"/>
          <w:sz w:val="24"/>
        </w:rPr>
        <w:t>联系人：汪芳、冯适</w:t>
      </w:r>
    </w:p>
    <w:p w:rsidR="00563D2D" w:rsidRDefault="00E07E6D" w:rsidP="00313772">
      <w:pPr>
        <w:spacing w:line="360" w:lineRule="auto"/>
        <w:ind w:firstLineChars="200" w:firstLine="480"/>
        <w:rPr>
          <w:rFonts w:hint="eastAsia"/>
          <w:sz w:val="24"/>
        </w:rPr>
      </w:pPr>
      <w:r w:rsidRPr="00E07E6D">
        <w:rPr>
          <w:rFonts w:hint="eastAsia"/>
          <w:sz w:val="24"/>
        </w:rPr>
        <w:t>经办注册会计师：汪芳、冯适</w:t>
      </w:r>
    </w:p>
    <w:p w:rsidR="00E07E6D" w:rsidRDefault="00E07E6D">
      <w:pPr>
        <w:pStyle w:val="af6"/>
        <w:ind w:firstLine="480"/>
        <w:jc w:val="right"/>
      </w:pPr>
    </w:p>
    <w:p w:rsidR="00563D2D" w:rsidRDefault="00563D2D">
      <w:pPr>
        <w:pStyle w:val="af6"/>
        <w:ind w:firstLine="480"/>
        <w:jc w:val="right"/>
      </w:pPr>
      <w:r>
        <w:t>富国基金管理有限公司</w:t>
      </w:r>
    </w:p>
    <w:p w:rsidR="00563D2D" w:rsidRDefault="00FA2CB8">
      <w:pPr>
        <w:spacing w:line="360" w:lineRule="auto"/>
        <w:jc w:val="right"/>
        <w:rPr>
          <w:sz w:val="24"/>
        </w:rPr>
      </w:pPr>
      <w:r>
        <w:rPr>
          <w:sz w:val="24"/>
        </w:rPr>
        <w:t>2026</w:t>
      </w:r>
      <w:r w:rsidR="00563D2D">
        <w:rPr>
          <w:sz w:val="24"/>
        </w:rPr>
        <w:t>年</w:t>
      </w:r>
      <w:r>
        <w:rPr>
          <w:sz w:val="24"/>
        </w:rPr>
        <w:t>4</w:t>
      </w:r>
      <w:r w:rsidR="00563D2D">
        <w:rPr>
          <w:sz w:val="24"/>
        </w:rPr>
        <w:t>月</w:t>
      </w:r>
      <w:r>
        <w:rPr>
          <w:sz w:val="24"/>
        </w:rPr>
        <w:t>23</w:t>
      </w:r>
      <w:r w:rsidR="00563D2D">
        <w:rPr>
          <w:sz w:val="24"/>
        </w:rPr>
        <w:t>日</w:t>
      </w:r>
    </w:p>
    <w:p w:rsidR="00563D2D" w:rsidRDefault="00563D2D"/>
    <w:sectPr w:rsidR="00563D2D">
      <w:pgSz w:w="11906" w:h="16838"/>
      <w:pgMar w:top="1440" w:right="1800" w:bottom="1440" w:left="1800" w:header="851" w:footer="992" w:gutter="0"/>
      <w:cols w:space="720"/>
      <w:docGrid w:type="lines" w:linePitch="312"/>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317F59" w:rsidRDefault="00317F59">
      <w:r>
        <w:separator/>
      </w:r>
    </w:p>
  </w:endnote>
  <w:endnote w:type="continuationSeparator" w:id="0">
    <w:p w:rsidR="00317F59" w:rsidRDefault="00317F59">
      <w:r>
        <w:continuationSeparator/>
      </w:r>
    </w:p>
  </w:endnote>
</w:endnotes>
</file>

<file path=word/fontTable.xml><?xml version="1.0" encoding="utf-8"?>
<w:fonts xmlns:r="http://schemas.openxmlformats.org/officeDocument/2006/relationships" xmlns:w="http://schemas.openxmlformats.org/wordprocessingml/2006/main">
  <w:font w:name="楷体_GB2312">
    <w:panose1 w:val="02010609030101010101"/>
    <w:charset w:val="86"/>
    <w:family w:val="modern"/>
    <w:pitch w:val="fixed"/>
    <w:sig w:usb0="00000001" w:usb1="080E0000" w:usb2="00000010" w:usb3="00000000" w:csb0="00040000" w:csb1="00000000"/>
  </w:font>
  <w:font w:name="@楷体_GB2312">
    <w:panose1 w:val="02010609030101010101"/>
    <w:charset w:val="86"/>
    <w:family w:val="modern"/>
    <w:pitch w:val="fixed"/>
    <w:sig w:usb0="00000001" w:usb1="080E0000" w:usb2="00000010" w:usb3="00000000" w:csb0="00040000" w:csb1="00000000"/>
  </w:font>
  <w:font w:name="Times New Roman">
    <w:panose1 w:val="02020603050405020304"/>
    <w:charset w:val="00"/>
    <w:family w:val="roman"/>
    <w:pitch w:val="variable"/>
    <w:sig w:usb0="20002A87" w:usb1="80000000" w:usb2="00000008" w:usb3="00000000" w:csb0="000001FF" w:csb1="00000000"/>
  </w:font>
  <w:font w:name="Calibri">
    <w:panose1 w:val="020F0502020204030204"/>
    <w:charset w:val="00"/>
    <w:family w:val="swiss"/>
    <w:pitch w:val="variable"/>
    <w:sig w:usb0="A00002EF" w:usb1="4000207B" w:usb2="00000000" w:usb3="00000000" w:csb0="0000009F" w:csb1="00000000"/>
  </w:font>
  <w:font w:name="宋体">
    <w:altName w:val="SimSun"/>
    <w:panose1 w:val="02010600030101010101"/>
    <w:charset w:val="86"/>
    <w:family w:val="auto"/>
    <w:pitch w:val="variable"/>
    <w:sig w:usb0="00000003" w:usb1="080E0000" w:usb2="00000010" w:usb3="00000000" w:csb0="00040001" w:csb1="00000000"/>
  </w:font>
  <w:font w:name="Arial">
    <w:panose1 w:val="020B0604020202020204"/>
    <w:charset w:val="00"/>
    <w:family w:val="swiss"/>
    <w:pitch w:val="variable"/>
    <w:sig w:usb0="20002A87" w:usb1="80000000" w:usb2="00000008" w:usb3="00000000" w:csb0="000001FF" w:csb1="00000000"/>
  </w:font>
  <w:font w:name="黑体">
    <w:altName w:val="SimHei"/>
    <w:panose1 w:val="02010600030101010101"/>
    <w:charset w:val="86"/>
    <w:family w:val="auto"/>
    <w:pitch w:val="variable"/>
    <w:sig w:usb0="00000001" w:usb1="080E0000" w:usb2="00000010" w:usb3="00000000" w:csb0="00040000" w:csb1="00000000"/>
  </w:font>
  <w:font w:name="PMingLiU">
    <w:altName w:val="新細明體"/>
    <w:panose1 w:val="02020300000000000000"/>
    <w:charset w:val="88"/>
    <w:family w:val="roman"/>
    <w:pitch w:val="variable"/>
    <w:sig w:usb0="00000003" w:usb1="080E0000" w:usb2="00000016" w:usb3="00000000" w:csb0="00100001" w:csb1="00000000"/>
  </w:font>
  <w:font w:name="Courier New">
    <w:panose1 w:val="02070309020205020404"/>
    <w:charset w:val="00"/>
    <w:family w:val="modern"/>
    <w:pitch w:val="fixed"/>
    <w:sig w:usb0="20002A87" w:usb1="80000000" w:usb2="00000008" w:usb3="00000000" w:csb0="000001FF" w:csb1="00000000"/>
  </w:font>
  <w:font w:name="Arial Unicode MS">
    <w:panose1 w:val="020B0604020202020204"/>
    <w:charset w:val="86"/>
    <w:family w:val="swiss"/>
    <w:pitch w:val="variable"/>
    <w:sig w:usb0="F7FFAFFF" w:usb1="E9DFFFFF" w:usb2="0000003F" w:usb3="00000000" w:csb0="003F01FF" w:csb1="00000000"/>
  </w:font>
  <w:font w:name="华文细黑">
    <w:panose1 w:val="02010600040101010101"/>
    <w:charset w:val="86"/>
    <w:family w:val="auto"/>
    <w:pitch w:val="variable"/>
    <w:sig w:usb0="00000287" w:usb1="080F0000" w:usb2="00000010" w:usb3="00000000" w:csb0="0004009F" w:csb1="00000000"/>
  </w:font>
  <w:font w:name="仿宋">
    <w:altName w:val="Arial Unicode MS"/>
    <w:charset w:val="86"/>
    <w:family w:val="modern"/>
    <w:pitch w:val="fixed"/>
    <w:sig w:usb0="00000000" w:usb1="38CF7CFA" w:usb2="00000016" w:usb3="00000000" w:csb0="00040001" w:csb1="00000000"/>
  </w:font>
  <w:font w:name="Cambria">
    <w:panose1 w:val="02040503050406030204"/>
    <w:charset w:val="00"/>
    <w:family w:val="roman"/>
    <w:pitch w:val="variable"/>
    <w:sig w:usb0="A00002EF" w:usb1="4000004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563D2D" w:rsidRDefault="00563D2D">
    <w:pPr>
      <w:pStyle w:val="ac"/>
      <w:jc w:val="center"/>
    </w:pPr>
    <w:fldSimple w:instr="PAGE   \* MERGEFORMAT">
      <w:r w:rsidR="00B56474" w:rsidRPr="00B56474">
        <w:rPr>
          <w:noProof/>
          <w:lang w:val="zh-CN" w:eastAsia="zh-CN"/>
        </w:rPr>
        <w:t>1</w:t>
      </w:r>
    </w:fldSimple>
  </w:p>
  <w:p w:rsidR="00563D2D" w:rsidRDefault="00563D2D">
    <w:pPr>
      <w:pStyle w:val="ac"/>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317F59" w:rsidRDefault="00317F59">
      <w:r>
        <w:separator/>
      </w:r>
    </w:p>
  </w:footnote>
  <w:footnote w:type="continuationSeparator" w:id="0">
    <w:p w:rsidR="00317F59" w:rsidRDefault="00317F5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FFFFFF7F"/>
    <w:multiLevelType w:val="singleLevel"/>
    <w:tmpl w:val="FFFFFF7F"/>
    <w:lvl w:ilvl="0">
      <w:start w:val="1"/>
      <w:numFmt w:val="decimal"/>
      <w:lvlText w:val="%1."/>
      <w:lvlJc w:val="left"/>
      <w:pPr>
        <w:tabs>
          <w:tab w:val="num" w:pos="780"/>
        </w:tabs>
        <w:ind w:left="780" w:hanging="360"/>
      </w:pPr>
    </w:lvl>
  </w:abstractNum>
  <w:abstractNum w:abstractNumId="1">
    <w:nsid w:val="48DC602A"/>
    <w:multiLevelType w:val="multilevel"/>
    <w:tmpl w:val="48DC602A"/>
    <w:lvl w:ilvl="0">
      <w:start w:val="1"/>
      <w:numFmt w:val="none"/>
      <w:suff w:val="nothing"/>
      <w:lvlText w:val=""/>
      <w:lvlJc w:val="left"/>
      <w:pPr>
        <w:ind w:left="0" w:firstLine="0"/>
      </w:pPr>
      <w:rPr>
        <w:rFonts w:ascii="楷体_GB2312" w:eastAsia="@楷体_GB2312" w:hint="eastAsia"/>
        <w:b/>
        <w:i w:val="0"/>
        <w:sz w:val="30"/>
      </w:rPr>
    </w:lvl>
    <w:lvl w:ilvl="1">
      <w:start w:val="1"/>
      <w:numFmt w:val="chineseCountingThousand"/>
      <w:suff w:val="nothing"/>
      <w:lvlText w:val="第%2章"/>
      <w:lvlJc w:val="left"/>
      <w:pPr>
        <w:ind w:left="0" w:firstLine="0"/>
      </w:pPr>
      <w:rPr>
        <w:rFonts w:ascii="楷体_GB2312" w:eastAsia="@楷体_GB2312" w:hint="eastAsia"/>
        <w:b/>
        <w:i w:val="0"/>
        <w:sz w:val="30"/>
      </w:rPr>
    </w:lvl>
    <w:lvl w:ilvl="2">
      <w:start w:val="1"/>
      <w:numFmt w:val="chineseCountingThousand"/>
      <w:suff w:val="nothing"/>
      <w:lvlText w:val="%3、"/>
      <w:lvlJc w:val="left"/>
      <w:pPr>
        <w:ind w:left="0" w:firstLine="0"/>
      </w:pPr>
      <w:rPr>
        <w:rFonts w:ascii="楷体_GB2312" w:eastAsia="@楷体_GB2312" w:hint="eastAsia"/>
        <w:b w:val="0"/>
        <w:i w:val="0"/>
        <w:sz w:val="28"/>
      </w:rPr>
    </w:lvl>
    <w:lvl w:ilvl="3">
      <w:start w:val="1"/>
      <w:numFmt w:val="chineseCountingThousand"/>
      <w:suff w:val="nothing"/>
      <w:lvlText w:val="（%4）"/>
      <w:lvlJc w:val="left"/>
      <w:pPr>
        <w:ind w:left="0" w:firstLine="0"/>
      </w:pPr>
      <w:rPr>
        <w:rFonts w:ascii="楷体_GB2312" w:eastAsia="@楷体_GB2312" w:hint="eastAsia"/>
        <w:b w:val="0"/>
        <w:i w:val="0"/>
        <w:sz w:val="24"/>
      </w:rPr>
    </w:lvl>
    <w:lvl w:ilvl="4">
      <w:start w:val="1"/>
      <w:numFmt w:val="decimal"/>
      <w:suff w:val="nothing"/>
      <w:lvlText w:val="%5、"/>
      <w:lvlJc w:val="left"/>
      <w:pPr>
        <w:ind w:left="0" w:firstLine="0"/>
      </w:pPr>
      <w:rPr>
        <w:rFonts w:ascii="Times New Roman" w:hAnsi="Times New Roman" w:hint="default"/>
        <w:b w:val="0"/>
        <w:i w:val="0"/>
        <w:sz w:val="24"/>
      </w:rPr>
    </w:lvl>
    <w:lvl w:ilvl="5">
      <w:start w:val="1"/>
      <w:numFmt w:val="decimal"/>
      <w:suff w:val="nothing"/>
      <w:lvlText w:val="（%6）"/>
      <w:lvlJc w:val="left"/>
      <w:pPr>
        <w:ind w:left="0" w:firstLine="0"/>
      </w:pPr>
      <w:rPr>
        <w:rFonts w:ascii="Times New Roman" w:hAnsi="Times New Roman" w:hint="default"/>
        <w:b w:val="0"/>
        <w:i w:val="0"/>
        <w:sz w:val="24"/>
      </w:rPr>
    </w:lvl>
    <w:lvl w:ilvl="6">
      <w:start w:val="1"/>
      <w:numFmt w:val="none"/>
      <w:suff w:val="nothing"/>
      <w:lvlText w:val=""/>
      <w:lvlJc w:val="left"/>
      <w:pPr>
        <w:ind w:left="0" w:firstLine="0"/>
      </w:pPr>
      <w:rPr>
        <w:rFonts w:hint="eastAsia"/>
      </w:rPr>
    </w:lvl>
    <w:lvl w:ilvl="7">
      <w:start w:val="1"/>
      <w:numFmt w:val="none"/>
      <w:suff w:val="nothing"/>
      <w:lvlText w:val=""/>
      <w:lvlJc w:val="left"/>
      <w:pPr>
        <w:ind w:left="0" w:firstLine="0"/>
      </w:pPr>
      <w:rPr>
        <w:rFonts w:hint="eastAsia"/>
      </w:rPr>
    </w:lvl>
    <w:lvl w:ilvl="8">
      <w:start w:val="1"/>
      <w:numFmt w:val="none"/>
      <w:suff w:val="nothing"/>
      <w:lvlText w:val=""/>
      <w:lvlJc w:val="left"/>
      <w:pPr>
        <w:ind w:left="0" w:firstLine="0"/>
      </w:pPr>
      <w:rPr>
        <w:rFonts w:hint="eastAsia"/>
      </w:rPr>
    </w:lvl>
  </w:abstractNum>
  <w:num w:numId="1">
    <w:abstractNumId w:val="0"/>
  </w:num>
  <w:num w:numId="2">
    <w:abstractNumId w:val="1"/>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bordersDoNotSurroundHeader/>
  <w:bordersDoNotSurroundFooter/>
  <w:trackRevisions/>
  <w:doNotTrackMoves/>
  <w:defaultTabStop w:val="420"/>
  <w:drawingGridVerticalSpacing w:val="156"/>
  <w:displayHorizontalDrawingGridEvery w:val="0"/>
  <w:displayVerticalDrawingGridEvery w:val="2"/>
  <w:characterSpacingControl w:val="compressPunctuation"/>
  <w:hdrShapeDefaults>
    <o:shapedefaults v:ext="edit" spidmax="3074"/>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
  <w:rsids>
    <w:rsidRoot w:val="003E0E8D"/>
    <w:rsid w:val="00001F26"/>
    <w:rsid w:val="000029B2"/>
    <w:rsid w:val="00003863"/>
    <w:rsid w:val="00003A57"/>
    <w:rsid w:val="0000662D"/>
    <w:rsid w:val="00007EA2"/>
    <w:rsid w:val="000101F1"/>
    <w:rsid w:val="00010437"/>
    <w:rsid w:val="00010C1F"/>
    <w:rsid w:val="000115ED"/>
    <w:rsid w:val="00013703"/>
    <w:rsid w:val="00013B44"/>
    <w:rsid w:val="00013FC8"/>
    <w:rsid w:val="00015205"/>
    <w:rsid w:val="0001691B"/>
    <w:rsid w:val="00017634"/>
    <w:rsid w:val="00020429"/>
    <w:rsid w:val="0002196B"/>
    <w:rsid w:val="000226D2"/>
    <w:rsid w:val="000278CC"/>
    <w:rsid w:val="00033691"/>
    <w:rsid w:val="000343F0"/>
    <w:rsid w:val="00035F0F"/>
    <w:rsid w:val="00036DAB"/>
    <w:rsid w:val="00037523"/>
    <w:rsid w:val="00037A18"/>
    <w:rsid w:val="00041001"/>
    <w:rsid w:val="00041311"/>
    <w:rsid w:val="0004313C"/>
    <w:rsid w:val="00043CB4"/>
    <w:rsid w:val="00043CBA"/>
    <w:rsid w:val="00045E3B"/>
    <w:rsid w:val="000469AE"/>
    <w:rsid w:val="0005030E"/>
    <w:rsid w:val="00050C1C"/>
    <w:rsid w:val="00051875"/>
    <w:rsid w:val="00051C38"/>
    <w:rsid w:val="000537D9"/>
    <w:rsid w:val="00057686"/>
    <w:rsid w:val="00057917"/>
    <w:rsid w:val="00057DAD"/>
    <w:rsid w:val="0006084D"/>
    <w:rsid w:val="0006199A"/>
    <w:rsid w:val="00064B39"/>
    <w:rsid w:val="00064EE4"/>
    <w:rsid w:val="00066A2C"/>
    <w:rsid w:val="00067271"/>
    <w:rsid w:val="000706AD"/>
    <w:rsid w:val="00070FC4"/>
    <w:rsid w:val="00071FE4"/>
    <w:rsid w:val="00072018"/>
    <w:rsid w:val="00074A75"/>
    <w:rsid w:val="000771C8"/>
    <w:rsid w:val="00077B13"/>
    <w:rsid w:val="000803E9"/>
    <w:rsid w:val="000804E3"/>
    <w:rsid w:val="00083EE1"/>
    <w:rsid w:val="0008504A"/>
    <w:rsid w:val="000865A9"/>
    <w:rsid w:val="00086878"/>
    <w:rsid w:val="00086D9B"/>
    <w:rsid w:val="000871DC"/>
    <w:rsid w:val="00087B1B"/>
    <w:rsid w:val="00087CDE"/>
    <w:rsid w:val="00091910"/>
    <w:rsid w:val="00092CB2"/>
    <w:rsid w:val="00093187"/>
    <w:rsid w:val="00093B9F"/>
    <w:rsid w:val="0009450D"/>
    <w:rsid w:val="00095319"/>
    <w:rsid w:val="0009587E"/>
    <w:rsid w:val="00095C7E"/>
    <w:rsid w:val="00095ED0"/>
    <w:rsid w:val="00096B3E"/>
    <w:rsid w:val="00097F05"/>
    <w:rsid w:val="000A1029"/>
    <w:rsid w:val="000A1310"/>
    <w:rsid w:val="000A385A"/>
    <w:rsid w:val="000A3B56"/>
    <w:rsid w:val="000A475A"/>
    <w:rsid w:val="000A59C7"/>
    <w:rsid w:val="000A7126"/>
    <w:rsid w:val="000B09A0"/>
    <w:rsid w:val="000B3ED1"/>
    <w:rsid w:val="000B5449"/>
    <w:rsid w:val="000C2E60"/>
    <w:rsid w:val="000C3562"/>
    <w:rsid w:val="000C5852"/>
    <w:rsid w:val="000C5865"/>
    <w:rsid w:val="000C62E0"/>
    <w:rsid w:val="000C6BA6"/>
    <w:rsid w:val="000C7DB4"/>
    <w:rsid w:val="000D028F"/>
    <w:rsid w:val="000D12F5"/>
    <w:rsid w:val="000D2242"/>
    <w:rsid w:val="000D2C78"/>
    <w:rsid w:val="000D32E8"/>
    <w:rsid w:val="000D4433"/>
    <w:rsid w:val="000D64E7"/>
    <w:rsid w:val="000D682A"/>
    <w:rsid w:val="000E01EB"/>
    <w:rsid w:val="000E1D53"/>
    <w:rsid w:val="000E3BA4"/>
    <w:rsid w:val="000E4055"/>
    <w:rsid w:val="000E4299"/>
    <w:rsid w:val="000E42B5"/>
    <w:rsid w:val="000E45F1"/>
    <w:rsid w:val="000E4D9B"/>
    <w:rsid w:val="000E4FF0"/>
    <w:rsid w:val="000E7102"/>
    <w:rsid w:val="000F14CE"/>
    <w:rsid w:val="000F1A34"/>
    <w:rsid w:val="000F382D"/>
    <w:rsid w:val="000F3C35"/>
    <w:rsid w:val="000F44D6"/>
    <w:rsid w:val="000F682E"/>
    <w:rsid w:val="000F6842"/>
    <w:rsid w:val="0010038B"/>
    <w:rsid w:val="00104861"/>
    <w:rsid w:val="00110398"/>
    <w:rsid w:val="0011078C"/>
    <w:rsid w:val="00110CB4"/>
    <w:rsid w:val="0011266B"/>
    <w:rsid w:val="00115D1A"/>
    <w:rsid w:val="0011603B"/>
    <w:rsid w:val="001202AA"/>
    <w:rsid w:val="00121CD9"/>
    <w:rsid w:val="001226A0"/>
    <w:rsid w:val="00123908"/>
    <w:rsid w:val="0012489A"/>
    <w:rsid w:val="001251E1"/>
    <w:rsid w:val="00125DBE"/>
    <w:rsid w:val="00130EE7"/>
    <w:rsid w:val="00132247"/>
    <w:rsid w:val="0013455F"/>
    <w:rsid w:val="0013464C"/>
    <w:rsid w:val="00134766"/>
    <w:rsid w:val="00135020"/>
    <w:rsid w:val="001359CB"/>
    <w:rsid w:val="00135EE9"/>
    <w:rsid w:val="00137DFE"/>
    <w:rsid w:val="0014233E"/>
    <w:rsid w:val="00142A97"/>
    <w:rsid w:val="00144D1F"/>
    <w:rsid w:val="00146DC8"/>
    <w:rsid w:val="00150A90"/>
    <w:rsid w:val="001535C3"/>
    <w:rsid w:val="001536CF"/>
    <w:rsid w:val="001537D9"/>
    <w:rsid w:val="001574F2"/>
    <w:rsid w:val="00160C6F"/>
    <w:rsid w:val="0016267F"/>
    <w:rsid w:val="00162D9E"/>
    <w:rsid w:val="00162DDA"/>
    <w:rsid w:val="00162EC8"/>
    <w:rsid w:val="00165B2B"/>
    <w:rsid w:val="00165DA9"/>
    <w:rsid w:val="001702FB"/>
    <w:rsid w:val="00172FD6"/>
    <w:rsid w:val="00173FC0"/>
    <w:rsid w:val="001769B6"/>
    <w:rsid w:val="00177E17"/>
    <w:rsid w:val="001821C6"/>
    <w:rsid w:val="0018226A"/>
    <w:rsid w:val="00183DF6"/>
    <w:rsid w:val="00186D20"/>
    <w:rsid w:val="00187B83"/>
    <w:rsid w:val="00190264"/>
    <w:rsid w:val="00195044"/>
    <w:rsid w:val="001959C7"/>
    <w:rsid w:val="00195E5B"/>
    <w:rsid w:val="001A3333"/>
    <w:rsid w:val="001A41FE"/>
    <w:rsid w:val="001A4C04"/>
    <w:rsid w:val="001A55D8"/>
    <w:rsid w:val="001A6F3E"/>
    <w:rsid w:val="001A7AF2"/>
    <w:rsid w:val="001A7E6A"/>
    <w:rsid w:val="001B0025"/>
    <w:rsid w:val="001B050E"/>
    <w:rsid w:val="001B26AE"/>
    <w:rsid w:val="001B2EFE"/>
    <w:rsid w:val="001B2F3C"/>
    <w:rsid w:val="001B477E"/>
    <w:rsid w:val="001B5D6D"/>
    <w:rsid w:val="001B736C"/>
    <w:rsid w:val="001C0615"/>
    <w:rsid w:val="001C15FA"/>
    <w:rsid w:val="001C16C2"/>
    <w:rsid w:val="001C1E3C"/>
    <w:rsid w:val="001C3015"/>
    <w:rsid w:val="001C3236"/>
    <w:rsid w:val="001C3B51"/>
    <w:rsid w:val="001C52D7"/>
    <w:rsid w:val="001D06B8"/>
    <w:rsid w:val="001D1642"/>
    <w:rsid w:val="001D206B"/>
    <w:rsid w:val="001D2DAF"/>
    <w:rsid w:val="001D3C56"/>
    <w:rsid w:val="001D3FD5"/>
    <w:rsid w:val="001D4DF4"/>
    <w:rsid w:val="001E1EAF"/>
    <w:rsid w:val="001E228B"/>
    <w:rsid w:val="001E2993"/>
    <w:rsid w:val="001F0D6F"/>
    <w:rsid w:val="001F10FA"/>
    <w:rsid w:val="001F1C99"/>
    <w:rsid w:val="001F3205"/>
    <w:rsid w:val="001F3B49"/>
    <w:rsid w:val="001F40A1"/>
    <w:rsid w:val="001F7017"/>
    <w:rsid w:val="001F72D1"/>
    <w:rsid w:val="002021AD"/>
    <w:rsid w:val="00202F2B"/>
    <w:rsid w:val="002030DF"/>
    <w:rsid w:val="002045B6"/>
    <w:rsid w:val="00204A8D"/>
    <w:rsid w:val="0020635E"/>
    <w:rsid w:val="002063FA"/>
    <w:rsid w:val="002078C5"/>
    <w:rsid w:val="0021087A"/>
    <w:rsid w:val="00211E3B"/>
    <w:rsid w:val="00213790"/>
    <w:rsid w:val="002159E4"/>
    <w:rsid w:val="00217DED"/>
    <w:rsid w:val="002206B8"/>
    <w:rsid w:val="002208B2"/>
    <w:rsid w:val="00221467"/>
    <w:rsid w:val="00225219"/>
    <w:rsid w:val="00225523"/>
    <w:rsid w:val="00226BAF"/>
    <w:rsid w:val="002273CA"/>
    <w:rsid w:val="00233469"/>
    <w:rsid w:val="00233BD2"/>
    <w:rsid w:val="00235B0B"/>
    <w:rsid w:val="00236AB2"/>
    <w:rsid w:val="00236AB5"/>
    <w:rsid w:val="00240C60"/>
    <w:rsid w:val="00241867"/>
    <w:rsid w:val="002420B4"/>
    <w:rsid w:val="002424A5"/>
    <w:rsid w:val="00244B0A"/>
    <w:rsid w:val="00244B1D"/>
    <w:rsid w:val="00246D48"/>
    <w:rsid w:val="002502EE"/>
    <w:rsid w:val="00251EBA"/>
    <w:rsid w:val="00252362"/>
    <w:rsid w:val="0025372C"/>
    <w:rsid w:val="002541E3"/>
    <w:rsid w:val="002556F6"/>
    <w:rsid w:val="0025578B"/>
    <w:rsid w:val="00255C9E"/>
    <w:rsid w:val="002564B7"/>
    <w:rsid w:val="0026026F"/>
    <w:rsid w:val="002608CD"/>
    <w:rsid w:val="002613F1"/>
    <w:rsid w:val="002622D9"/>
    <w:rsid w:val="002648C2"/>
    <w:rsid w:val="00264AC9"/>
    <w:rsid w:val="00270FFF"/>
    <w:rsid w:val="00276626"/>
    <w:rsid w:val="00282E38"/>
    <w:rsid w:val="00283EE0"/>
    <w:rsid w:val="00284A55"/>
    <w:rsid w:val="0028518E"/>
    <w:rsid w:val="0028784C"/>
    <w:rsid w:val="00287EEC"/>
    <w:rsid w:val="002923D2"/>
    <w:rsid w:val="00293AFE"/>
    <w:rsid w:val="00293E5A"/>
    <w:rsid w:val="00295B6C"/>
    <w:rsid w:val="002973AD"/>
    <w:rsid w:val="0029754D"/>
    <w:rsid w:val="002A15A4"/>
    <w:rsid w:val="002A2A06"/>
    <w:rsid w:val="002A3DF4"/>
    <w:rsid w:val="002A4552"/>
    <w:rsid w:val="002B0296"/>
    <w:rsid w:val="002B06D4"/>
    <w:rsid w:val="002B0B96"/>
    <w:rsid w:val="002B0D9D"/>
    <w:rsid w:val="002B1741"/>
    <w:rsid w:val="002B2011"/>
    <w:rsid w:val="002B4C8F"/>
    <w:rsid w:val="002B7379"/>
    <w:rsid w:val="002C02F1"/>
    <w:rsid w:val="002C058A"/>
    <w:rsid w:val="002C36AC"/>
    <w:rsid w:val="002C57A2"/>
    <w:rsid w:val="002C5CFD"/>
    <w:rsid w:val="002C7AA8"/>
    <w:rsid w:val="002C7D85"/>
    <w:rsid w:val="002D0347"/>
    <w:rsid w:val="002D40BC"/>
    <w:rsid w:val="002D5789"/>
    <w:rsid w:val="002E020A"/>
    <w:rsid w:val="002E1171"/>
    <w:rsid w:val="002E1D24"/>
    <w:rsid w:val="002E1F25"/>
    <w:rsid w:val="002E6C8A"/>
    <w:rsid w:val="002E7BC9"/>
    <w:rsid w:val="002E7FB3"/>
    <w:rsid w:val="002F098F"/>
    <w:rsid w:val="002F0A8B"/>
    <w:rsid w:val="002F1AE4"/>
    <w:rsid w:val="002F245D"/>
    <w:rsid w:val="002F31FD"/>
    <w:rsid w:val="002F334B"/>
    <w:rsid w:val="002F3ACE"/>
    <w:rsid w:val="002F67A9"/>
    <w:rsid w:val="002F6F81"/>
    <w:rsid w:val="00301480"/>
    <w:rsid w:val="00301D28"/>
    <w:rsid w:val="003029D8"/>
    <w:rsid w:val="003047BB"/>
    <w:rsid w:val="00304F90"/>
    <w:rsid w:val="00310B26"/>
    <w:rsid w:val="003123D6"/>
    <w:rsid w:val="00313772"/>
    <w:rsid w:val="003139B0"/>
    <w:rsid w:val="003139C3"/>
    <w:rsid w:val="0031563E"/>
    <w:rsid w:val="0031650D"/>
    <w:rsid w:val="00317F59"/>
    <w:rsid w:val="00320493"/>
    <w:rsid w:val="00320E8A"/>
    <w:rsid w:val="00323E32"/>
    <w:rsid w:val="00324501"/>
    <w:rsid w:val="00324ADD"/>
    <w:rsid w:val="00325589"/>
    <w:rsid w:val="00326CCB"/>
    <w:rsid w:val="00327CDC"/>
    <w:rsid w:val="00332D49"/>
    <w:rsid w:val="003337AF"/>
    <w:rsid w:val="00333D88"/>
    <w:rsid w:val="00334651"/>
    <w:rsid w:val="00334A91"/>
    <w:rsid w:val="003367F2"/>
    <w:rsid w:val="00337F05"/>
    <w:rsid w:val="00342192"/>
    <w:rsid w:val="00343ED4"/>
    <w:rsid w:val="0034436F"/>
    <w:rsid w:val="00344C8F"/>
    <w:rsid w:val="00346F33"/>
    <w:rsid w:val="00351FEF"/>
    <w:rsid w:val="003567EE"/>
    <w:rsid w:val="00356F77"/>
    <w:rsid w:val="00357677"/>
    <w:rsid w:val="00360637"/>
    <w:rsid w:val="0036232A"/>
    <w:rsid w:val="00362BD3"/>
    <w:rsid w:val="00362EA9"/>
    <w:rsid w:val="00364854"/>
    <w:rsid w:val="00365D04"/>
    <w:rsid w:val="003663E3"/>
    <w:rsid w:val="003668B7"/>
    <w:rsid w:val="00366BB8"/>
    <w:rsid w:val="00370A05"/>
    <w:rsid w:val="00371A01"/>
    <w:rsid w:val="00371E63"/>
    <w:rsid w:val="00373354"/>
    <w:rsid w:val="00373AB0"/>
    <w:rsid w:val="00373BF7"/>
    <w:rsid w:val="00374D1D"/>
    <w:rsid w:val="00376C59"/>
    <w:rsid w:val="0038075C"/>
    <w:rsid w:val="0038413B"/>
    <w:rsid w:val="00385DBE"/>
    <w:rsid w:val="003866D2"/>
    <w:rsid w:val="00390332"/>
    <w:rsid w:val="0039280F"/>
    <w:rsid w:val="00394E5C"/>
    <w:rsid w:val="00394F92"/>
    <w:rsid w:val="003960C6"/>
    <w:rsid w:val="003A0133"/>
    <w:rsid w:val="003A1225"/>
    <w:rsid w:val="003A257D"/>
    <w:rsid w:val="003A28DA"/>
    <w:rsid w:val="003A4331"/>
    <w:rsid w:val="003A71D3"/>
    <w:rsid w:val="003A7243"/>
    <w:rsid w:val="003B070C"/>
    <w:rsid w:val="003B0C32"/>
    <w:rsid w:val="003B2E1E"/>
    <w:rsid w:val="003B41F4"/>
    <w:rsid w:val="003B6233"/>
    <w:rsid w:val="003C1930"/>
    <w:rsid w:val="003C2F40"/>
    <w:rsid w:val="003C33D3"/>
    <w:rsid w:val="003C3A90"/>
    <w:rsid w:val="003C5339"/>
    <w:rsid w:val="003C7743"/>
    <w:rsid w:val="003D2661"/>
    <w:rsid w:val="003D37A7"/>
    <w:rsid w:val="003D50C9"/>
    <w:rsid w:val="003D68AB"/>
    <w:rsid w:val="003D769F"/>
    <w:rsid w:val="003D7B8A"/>
    <w:rsid w:val="003E0508"/>
    <w:rsid w:val="003E0E8D"/>
    <w:rsid w:val="003E1153"/>
    <w:rsid w:val="003E1656"/>
    <w:rsid w:val="003E2BF3"/>
    <w:rsid w:val="003E478E"/>
    <w:rsid w:val="003E567F"/>
    <w:rsid w:val="003F18D7"/>
    <w:rsid w:val="003F245D"/>
    <w:rsid w:val="003F272C"/>
    <w:rsid w:val="003F34C3"/>
    <w:rsid w:val="003F7AD4"/>
    <w:rsid w:val="0040066C"/>
    <w:rsid w:val="00402314"/>
    <w:rsid w:val="00402843"/>
    <w:rsid w:val="00405ACC"/>
    <w:rsid w:val="00405B50"/>
    <w:rsid w:val="00410D03"/>
    <w:rsid w:val="00413853"/>
    <w:rsid w:val="00416961"/>
    <w:rsid w:val="004170BA"/>
    <w:rsid w:val="00417FF6"/>
    <w:rsid w:val="00421B8F"/>
    <w:rsid w:val="0042623D"/>
    <w:rsid w:val="00426F19"/>
    <w:rsid w:val="00430733"/>
    <w:rsid w:val="0043154E"/>
    <w:rsid w:val="004333F7"/>
    <w:rsid w:val="00435234"/>
    <w:rsid w:val="00436BC3"/>
    <w:rsid w:val="00441E26"/>
    <w:rsid w:val="004429C5"/>
    <w:rsid w:val="00446D1D"/>
    <w:rsid w:val="00451D57"/>
    <w:rsid w:val="00460489"/>
    <w:rsid w:val="004604B8"/>
    <w:rsid w:val="00460FDC"/>
    <w:rsid w:val="00461B64"/>
    <w:rsid w:val="00463B88"/>
    <w:rsid w:val="0046413E"/>
    <w:rsid w:val="00464A7E"/>
    <w:rsid w:val="00465894"/>
    <w:rsid w:val="0046661B"/>
    <w:rsid w:val="00466EE4"/>
    <w:rsid w:val="004720A9"/>
    <w:rsid w:val="004721F4"/>
    <w:rsid w:val="00474A64"/>
    <w:rsid w:val="004760A7"/>
    <w:rsid w:val="004766EB"/>
    <w:rsid w:val="00480791"/>
    <w:rsid w:val="00481286"/>
    <w:rsid w:val="0048132A"/>
    <w:rsid w:val="004827FD"/>
    <w:rsid w:val="00484043"/>
    <w:rsid w:val="00484EA9"/>
    <w:rsid w:val="004876FF"/>
    <w:rsid w:val="004926DC"/>
    <w:rsid w:val="00492855"/>
    <w:rsid w:val="00494648"/>
    <w:rsid w:val="00496B14"/>
    <w:rsid w:val="00497BE4"/>
    <w:rsid w:val="00497CE0"/>
    <w:rsid w:val="004A217A"/>
    <w:rsid w:val="004A22EC"/>
    <w:rsid w:val="004A4D22"/>
    <w:rsid w:val="004B08C3"/>
    <w:rsid w:val="004B4C1C"/>
    <w:rsid w:val="004B710D"/>
    <w:rsid w:val="004C053D"/>
    <w:rsid w:val="004C0AA2"/>
    <w:rsid w:val="004C230F"/>
    <w:rsid w:val="004C28CD"/>
    <w:rsid w:val="004C2D6F"/>
    <w:rsid w:val="004C5F72"/>
    <w:rsid w:val="004D0EE4"/>
    <w:rsid w:val="004D127A"/>
    <w:rsid w:val="004D23DD"/>
    <w:rsid w:val="004D2D03"/>
    <w:rsid w:val="004D3648"/>
    <w:rsid w:val="004D5B1B"/>
    <w:rsid w:val="004D5F35"/>
    <w:rsid w:val="004D7F7D"/>
    <w:rsid w:val="004E1858"/>
    <w:rsid w:val="004E1898"/>
    <w:rsid w:val="004E2F12"/>
    <w:rsid w:val="004E4688"/>
    <w:rsid w:val="004E4985"/>
    <w:rsid w:val="004E5A09"/>
    <w:rsid w:val="004E797C"/>
    <w:rsid w:val="004E7FFE"/>
    <w:rsid w:val="004F4AD3"/>
    <w:rsid w:val="004F6011"/>
    <w:rsid w:val="005001E3"/>
    <w:rsid w:val="00502548"/>
    <w:rsid w:val="00502FC6"/>
    <w:rsid w:val="00502FED"/>
    <w:rsid w:val="0050356D"/>
    <w:rsid w:val="00504FEF"/>
    <w:rsid w:val="005067BD"/>
    <w:rsid w:val="00506C7C"/>
    <w:rsid w:val="0050770B"/>
    <w:rsid w:val="00507A5C"/>
    <w:rsid w:val="0051068F"/>
    <w:rsid w:val="00511C35"/>
    <w:rsid w:val="00511F77"/>
    <w:rsid w:val="00512353"/>
    <w:rsid w:val="0051408D"/>
    <w:rsid w:val="00514924"/>
    <w:rsid w:val="005161CD"/>
    <w:rsid w:val="0051668D"/>
    <w:rsid w:val="00517239"/>
    <w:rsid w:val="00517A4C"/>
    <w:rsid w:val="0052047C"/>
    <w:rsid w:val="00520661"/>
    <w:rsid w:val="00522B77"/>
    <w:rsid w:val="0052406F"/>
    <w:rsid w:val="00524733"/>
    <w:rsid w:val="00525986"/>
    <w:rsid w:val="00525A58"/>
    <w:rsid w:val="00526DEC"/>
    <w:rsid w:val="00527A58"/>
    <w:rsid w:val="005307A0"/>
    <w:rsid w:val="00531243"/>
    <w:rsid w:val="0053211D"/>
    <w:rsid w:val="00534502"/>
    <w:rsid w:val="005354C2"/>
    <w:rsid w:val="0053600A"/>
    <w:rsid w:val="0053666F"/>
    <w:rsid w:val="00540D7F"/>
    <w:rsid w:val="0054328C"/>
    <w:rsid w:val="00543E1E"/>
    <w:rsid w:val="00543F93"/>
    <w:rsid w:val="005476E9"/>
    <w:rsid w:val="00550EF5"/>
    <w:rsid w:val="00552055"/>
    <w:rsid w:val="005520EF"/>
    <w:rsid w:val="005531B7"/>
    <w:rsid w:val="00556208"/>
    <w:rsid w:val="005574A7"/>
    <w:rsid w:val="0055787B"/>
    <w:rsid w:val="00561F70"/>
    <w:rsid w:val="00562845"/>
    <w:rsid w:val="00563D2D"/>
    <w:rsid w:val="00565867"/>
    <w:rsid w:val="00565F8C"/>
    <w:rsid w:val="00567E4C"/>
    <w:rsid w:val="00567EC2"/>
    <w:rsid w:val="0057042D"/>
    <w:rsid w:val="005738A5"/>
    <w:rsid w:val="005738B5"/>
    <w:rsid w:val="00573C28"/>
    <w:rsid w:val="0057446C"/>
    <w:rsid w:val="00574819"/>
    <w:rsid w:val="00574A97"/>
    <w:rsid w:val="00575BB4"/>
    <w:rsid w:val="005763D7"/>
    <w:rsid w:val="00576A7C"/>
    <w:rsid w:val="0057700B"/>
    <w:rsid w:val="00577D3D"/>
    <w:rsid w:val="00577DD7"/>
    <w:rsid w:val="005801D1"/>
    <w:rsid w:val="00581051"/>
    <w:rsid w:val="005854BE"/>
    <w:rsid w:val="00586179"/>
    <w:rsid w:val="005918CA"/>
    <w:rsid w:val="00591C13"/>
    <w:rsid w:val="00594E17"/>
    <w:rsid w:val="00597E0E"/>
    <w:rsid w:val="005A0555"/>
    <w:rsid w:val="005A1E40"/>
    <w:rsid w:val="005A26DB"/>
    <w:rsid w:val="005A396A"/>
    <w:rsid w:val="005A3CA2"/>
    <w:rsid w:val="005A5CF7"/>
    <w:rsid w:val="005A5D24"/>
    <w:rsid w:val="005A74AF"/>
    <w:rsid w:val="005B1BF6"/>
    <w:rsid w:val="005B20C4"/>
    <w:rsid w:val="005B4529"/>
    <w:rsid w:val="005B4E8A"/>
    <w:rsid w:val="005B5EFA"/>
    <w:rsid w:val="005C052F"/>
    <w:rsid w:val="005C0F2B"/>
    <w:rsid w:val="005C278E"/>
    <w:rsid w:val="005C353F"/>
    <w:rsid w:val="005C4374"/>
    <w:rsid w:val="005C4724"/>
    <w:rsid w:val="005C47A3"/>
    <w:rsid w:val="005C67AE"/>
    <w:rsid w:val="005D013D"/>
    <w:rsid w:val="005D1D85"/>
    <w:rsid w:val="005D2A09"/>
    <w:rsid w:val="005D6B21"/>
    <w:rsid w:val="005E03C8"/>
    <w:rsid w:val="005E2810"/>
    <w:rsid w:val="005E36FA"/>
    <w:rsid w:val="005E493E"/>
    <w:rsid w:val="005E58EE"/>
    <w:rsid w:val="005E5C5A"/>
    <w:rsid w:val="005E6C0E"/>
    <w:rsid w:val="005F0F26"/>
    <w:rsid w:val="005F1766"/>
    <w:rsid w:val="005F2052"/>
    <w:rsid w:val="005F2366"/>
    <w:rsid w:val="00602798"/>
    <w:rsid w:val="0060425C"/>
    <w:rsid w:val="00605BC6"/>
    <w:rsid w:val="00605F1F"/>
    <w:rsid w:val="006064C5"/>
    <w:rsid w:val="00611492"/>
    <w:rsid w:val="00611997"/>
    <w:rsid w:val="006123B6"/>
    <w:rsid w:val="0061617F"/>
    <w:rsid w:val="006167D9"/>
    <w:rsid w:val="00617A9D"/>
    <w:rsid w:val="0062027D"/>
    <w:rsid w:val="00621001"/>
    <w:rsid w:val="006214F7"/>
    <w:rsid w:val="00622B57"/>
    <w:rsid w:val="0062309D"/>
    <w:rsid w:val="006234E9"/>
    <w:rsid w:val="006240C1"/>
    <w:rsid w:val="006276D0"/>
    <w:rsid w:val="0062792C"/>
    <w:rsid w:val="00630406"/>
    <w:rsid w:val="00630B19"/>
    <w:rsid w:val="006325BE"/>
    <w:rsid w:val="00633BDF"/>
    <w:rsid w:val="00635602"/>
    <w:rsid w:val="006359E6"/>
    <w:rsid w:val="0063624D"/>
    <w:rsid w:val="006372DB"/>
    <w:rsid w:val="006409D0"/>
    <w:rsid w:val="006410AF"/>
    <w:rsid w:val="0064146C"/>
    <w:rsid w:val="0064189B"/>
    <w:rsid w:val="00643142"/>
    <w:rsid w:val="00643539"/>
    <w:rsid w:val="00644CBE"/>
    <w:rsid w:val="00646094"/>
    <w:rsid w:val="00647A40"/>
    <w:rsid w:val="00651394"/>
    <w:rsid w:val="00654F32"/>
    <w:rsid w:val="00655BC1"/>
    <w:rsid w:val="0065648D"/>
    <w:rsid w:val="0065655C"/>
    <w:rsid w:val="006571AA"/>
    <w:rsid w:val="00657C10"/>
    <w:rsid w:val="0066229C"/>
    <w:rsid w:val="00662DB2"/>
    <w:rsid w:val="00665524"/>
    <w:rsid w:val="00670AAF"/>
    <w:rsid w:val="0067531E"/>
    <w:rsid w:val="00675B8F"/>
    <w:rsid w:val="00675C77"/>
    <w:rsid w:val="006767D9"/>
    <w:rsid w:val="00676D7C"/>
    <w:rsid w:val="0068116E"/>
    <w:rsid w:val="006814C9"/>
    <w:rsid w:val="00681BC9"/>
    <w:rsid w:val="0068463C"/>
    <w:rsid w:val="00684A85"/>
    <w:rsid w:val="00685304"/>
    <w:rsid w:val="006879B2"/>
    <w:rsid w:val="006905C5"/>
    <w:rsid w:val="00692D11"/>
    <w:rsid w:val="00695366"/>
    <w:rsid w:val="00697C04"/>
    <w:rsid w:val="00697CA3"/>
    <w:rsid w:val="006A0243"/>
    <w:rsid w:val="006A2605"/>
    <w:rsid w:val="006A3173"/>
    <w:rsid w:val="006A38B1"/>
    <w:rsid w:val="006A6AB5"/>
    <w:rsid w:val="006B1F18"/>
    <w:rsid w:val="006B1FCF"/>
    <w:rsid w:val="006B2669"/>
    <w:rsid w:val="006B76D5"/>
    <w:rsid w:val="006C04D1"/>
    <w:rsid w:val="006C2255"/>
    <w:rsid w:val="006C39A8"/>
    <w:rsid w:val="006C57B9"/>
    <w:rsid w:val="006C6A52"/>
    <w:rsid w:val="006C70C1"/>
    <w:rsid w:val="006D19C1"/>
    <w:rsid w:val="006D2FAA"/>
    <w:rsid w:val="006D55E9"/>
    <w:rsid w:val="006D6B1E"/>
    <w:rsid w:val="006E252D"/>
    <w:rsid w:val="006E2A75"/>
    <w:rsid w:val="006E3A4C"/>
    <w:rsid w:val="006E469B"/>
    <w:rsid w:val="006E5013"/>
    <w:rsid w:val="006E51D5"/>
    <w:rsid w:val="006E6016"/>
    <w:rsid w:val="006F13E4"/>
    <w:rsid w:val="006F2128"/>
    <w:rsid w:val="006F322F"/>
    <w:rsid w:val="006F70EF"/>
    <w:rsid w:val="006F743B"/>
    <w:rsid w:val="00702E36"/>
    <w:rsid w:val="00705185"/>
    <w:rsid w:val="00705ECC"/>
    <w:rsid w:val="0070601B"/>
    <w:rsid w:val="00706234"/>
    <w:rsid w:val="007068C4"/>
    <w:rsid w:val="007069EC"/>
    <w:rsid w:val="00707B63"/>
    <w:rsid w:val="007100D4"/>
    <w:rsid w:val="0071072B"/>
    <w:rsid w:val="00712A4B"/>
    <w:rsid w:val="0071551D"/>
    <w:rsid w:val="00721460"/>
    <w:rsid w:val="00721688"/>
    <w:rsid w:val="00721D60"/>
    <w:rsid w:val="007229E7"/>
    <w:rsid w:val="00724186"/>
    <w:rsid w:val="007274EF"/>
    <w:rsid w:val="007363D0"/>
    <w:rsid w:val="007421D8"/>
    <w:rsid w:val="00742448"/>
    <w:rsid w:val="007428BF"/>
    <w:rsid w:val="00742AD6"/>
    <w:rsid w:val="00742BB5"/>
    <w:rsid w:val="0074324C"/>
    <w:rsid w:val="00744BE3"/>
    <w:rsid w:val="00745BE0"/>
    <w:rsid w:val="007535F6"/>
    <w:rsid w:val="00755039"/>
    <w:rsid w:val="0075510E"/>
    <w:rsid w:val="007572B4"/>
    <w:rsid w:val="00760DE1"/>
    <w:rsid w:val="00761232"/>
    <w:rsid w:val="00761F16"/>
    <w:rsid w:val="00767CE1"/>
    <w:rsid w:val="00770468"/>
    <w:rsid w:val="007739D6"/>
    <w:rsid w:val="00774382"/>
    <w:rsid w:val="007745BB"/>
    <w:rsid w:val="0077531F"/>
    <w:rsid w:val="0077798C"/>
    <w:rsid w:val="00777A30"/>
    <w:rsid w:val="00777C2A"/>
    <w:rsid w:val="00777D63"/>
    <w:rsid w:val="00781E35"/>
    <w:rsid w:val="0078264A"/>
    <w:rsid w:val="007848D1"/>
    <w:rsid w:val="007851C1"/>
    <w:rsid w:val="00790740"/>
    <w:rsid w:val="00790C09"/>
    <w:rsid w:val="00791DDC"/>
    <w:rsid w:val="00793884"/>
    <w:rsid w:val="0079584F"/>
    <w:rsid w:val="0079632C"/>
    <w:rsid w:val="00797376"/>
    <w:rsid w:val="007A2FC6"/>
    <w:rsid w:val="007A4959"/>
    <w:rsid w:val="007A7A88"/>
    <w:rsid w:val="007B048D"/>
    <w:rsid w:val="007B0514"/>
    <w:rsid w:val="007B0547"/>
    <w:rsid w:val="007B0A92"/>
    <w:rsid w:val="007B1BE7"/>
    <w:rsid w:val="007B26EB"/>
    <w:rsid w:val="007B2EBD"/>
    <w:rsid w:val="007B30B1"/>
    <w:rsid w:val="007B3DA4"/>
    <w:rsid w:val="007B6CC5"/>
    <w:rsid w:val="007C0EAE"/>
    <w:rsid w:val="007C12F8"/>
    <w:rsid w:val="007C2744"/>
    <w:rsid w:val="007C623D"/>
    <w:rsid w:val="007C6E83"/>
    <w:rsid w:val="007C7AAB"/>
    <w:rsid w:val="007C7E32"/>
    <w:rsid w:val="007D0247"/>
    <w:rsid w:val="007D0C34"/>
    <w:rsid w:val="007D1447"/>
    <w:rsid w:val="007D2409"/>
    <w:rsid w:val="007E089E"/>
    <w:rsid w:val="007E2B30"/>
    <w:rsid w:val="007E348F"/>
    <w:rsid w:val="007E4E1A"/>
    <w:rsid w:val="007E5621"/>
    <w:rsid w:val="007E70FD"/>
    <w:rsid w:val="007F0B66"/>
    <w:rsid w:val="007F233C"/>
    <w:rsid w:val="007F3FC2"/>
    <w:rsid w:val="007F79B0"/>
    <w:rsid w:val="0080237D"/>
    <w:rsid w:val="00802A03"/>
    <w:rsid w:val="00802E0D"/>
    <w:rsid w:val="00804012"/>
    <w:rsid w:val="00805A70"/>
    <w:rsid w:val="0081020B"/>
    <w:rsid w:val="00812CB3"/>
    <w:rsid w:val="0081415A"/>
    <w:rsid w:val="00816381"/>
    <w:rsid w:val="00816F64"/>
    <w:rsid w:val="0082075D"/>
    <w:rsid w:val="0082291A"/>
    <w:rsid w:val="00824742"/>
    <w:rsid w:val="00825A6C"/>
    <w:rsid w:val="00825FBA"/>
    <w:rsid w:val="00840D29"/>
    <w:rsid w:val="00844F8B"/>
    <w:rsid w:val="00851597"/>
    <w:rsid w:val="00852FB8"/>
    <w:rsid w:val="0085413F"/>
    <w:rsid w:val="008556B5"/>
    <w:rsid w:val="00855D88"/>
    <w:rsid w:val="00856267"/>
    <w:rsid w:val="00863078"/>
    <w:rsid w:val="00867515"/>
    <w:rsid w:val="00871303"/>
    <w:rsid w:val="00871B7A"/>
    <w:rsid w:val="008766BA"/>
    <w:rsid w:val="008806B6"/>
    <w:rsid w:val="008813B9"/>
    <w:rsid w:val="00882A2E"/>
    <w:rsid w:val="00883C8F"/>
    <w:rsid w:val="008866F4"/>
    <w:rsid w:val="00887235"/>
    <w:rsid w:val="00887638"/>
    <w:rsid w:val="00890F39"/>
    <w:rsid w:val="00891B3C"/>
    <w:rsid w:val="008926A1"/>
    <w:rsid w:val="0089288C"/>
    <w:rsid w:val="00896335"/>
    <w:rsid w:val="008973F6"/>
    <w:rsid w:val="008A0E9C"/>
    <w:rsid w:val="008A4C15"/>
    <w:rsid w:val="008A6364"/>
    <w:rsid w:val="008B01CA"/>
    <w:rsid w:val="008B3608"/>
    <w:rsid w:val="008B3A84"/>
    <w:rsid w:val="008B7700"/>
    <w:rsid w:val="008C0597"/>
    <w:rsid w:val="008C17FA"/>
    <w:rsid w:val="008C3460"/>
    <w:rsid w:val="008C3E66"/>
    <w:rsid w:val="008C4050"/>
    <w:rsid w:val="008C4EA4"/>
    <w:rsid w:val="008C4FEE"/>
    <w:rsid w:val="008C5686"/>
    <w:rsid w:val="008C6D46"/>
    <w:rsid w:val="008C7B17"/>
    <w:rsid w:val="008D0897"/>
    <w:rsid w:val="008D442A"/>
    <w:rsid w:val="008D5076"/>
    <w:rsid w:val="008D5F83"/>
    <w:rsid w:val="008D6A3F"/>
    <w:rsid w:val="008D7222"/>
    <w:rsid w:val="008D75CA"/>
    <w:rsid w:val="008E0307"/>
    <w:rsid w:val="008E152B"/>
    <w:rsid w:val="008F0BF7"/>
    <w:rsid w:val="008F1C42"/>
    <w:rsid w:val="008F1E90"/>
    <w:rsid w:val="008F3F9D"/>
    <w:rsid w:val="008F7066"/>
    <w:rsid w:val="00900BD7"/>
    <w:rsid w:val="00900C4C"/>
    <w:rsid w:val="009035DD"/>
    <w:rsid w:val="009047C5"/>
    <w:rsid w:val="00906B2E"/>
    <w:rsid w:val="0091150E"/>
    <w:rsid w:val="009126BC"/>
    <w:rsid w:val="00912A7C"/>
    <w:rsid w:val="00916142"/>
    <w:rsid w:val="00922937"/>
    <w:rsid w:val="00926FDE"/>
    <w:rsid w:val="00927C39"/>
    <w:rsid w:val="00930547"/>
    <w:rsid w:val="009330AD"/>
    <w:rsid w:val="009334DA"/>
    <w:rsid w:val="009364D6"/>
    <w:rsid w:val="00940282"/>
    <w:rsid w:val="00940BE1"/>
    <w:rsid w:val="009411A4"/>
    <w:rsid w:val="00943D1C"/>
    <w:rsid w:val="0094549F"/>
    <w:rsid w:val="00945B15"/>
    <w:rsid w:val="00946090"/>
    <w:rsid w:val="00951DB3"/>
    <w:rsid w:val="009524DB"/>
    <w:rsid w:val="00953734"/>
    <w:rsid w:val="00953C03"/>
    <w:rsid w:val="00957257"/>
    <w:rsid w:val="00957B15"/>
    <w:rsid w:val="0096185F"/>
    <w:rsid w:val="00961E12"/>
    <w:rsid w:val="00963729"/>
    <w:rsid w:val="00964742"/>
    <w:rsid w:val="0096505A"/>
    <w:rsid w:val="00966AD3"/>
    <w:rsid w:val="009674B9"/>
    <w:rsid w:val="00972DF0"/>
    <w:rsid w:val="009730B5"/>
    <w:rsid w:val="009735CE"/>
    <w:rsid w:val="009764BF"/>
    <w:rsid w:val="00977875"/>
    <w:rsid w:val="00977B16"/>
    <w:rsid w:val="00985609"/>
    <w:rsid w:val="0098709A"/>
    <w:rsid w:val="00987293"/>
    <w:rsid w:val="0098736C"/>
    <w:rsid w:val="00987A39"/>
    <w:rsid w:val="00990880"/>
    <w:rsid w:val="009920BE"/>
    <w:rsid w:val="00994D13"/>
    <w:rsid w:val="00996EC9"/>
    <w:rsid w:val="00997275"/>
    <w:rsid w:val="009A097E"/>
    <w:rsid w:val="009A18C9"/>
    <w:rsid w:val="009A34F7"/>
    <w:rsid w:val="009A3635"/>
    <w:rsid w:val="009A40E1"/>
    <w:rsid w:val="009A43D4"/>
    <w:rsid w:val="009A5A57"/>
    <w:rsid w:val="009A7289"/>
    <w:rsid w:val="009B1696"/>
    <w:rsid w:val="009B2266"/>
    <w:rsid w:val="009B28E6"/>
    <w:rsid w:val="009B2951"/>
    <w:rsid w:val="009B2998"/>
    <w:rsid w:val="009B3210"/>
    <w:rsid w:val="009B39B5"/>
    <w:rsid w:val="009B78B5"/>
    <w:rsid w:val="009C04B9"/>
    <w:rsid w:val="009C1480"/>
    <w:rsid w:val="009C1A1B"/>
    <w:rsid w:val="009C2DA9"/>
    <w:rsid w:val="009C30C8"/>
    <w:rsid w:val="009C38DF"/>
    <w:rsid w:val="009C717E"/>
    <w:rsid w:val="009D22EC"/>
    <w:rsid w:val="009D28D5"/>
    <w:rsid w:val="009D5D9E"/>
    <w:rsid w:val="009D60CC"/>
    <w:rsid w:val="009E0688"/>
    <w:rsid w:val="009E15B5"/>
    <w:rsid w:val="009E4652"/>
    <w:rsid w:val="009E5708"/>
    <w:rsid w:val="009E5CEC"/>
    <w:rsid w:val="009E6E1A"/>
    <w:rsid w:val="009E7342"/>
    <w:rsid w:val="009E79D3"/>
    <w:rsid w:val="009E7AC2"/>
    <w:rsid w:val="009F1E22"/>
    <w:rsid w:val="009F1F5C"/>
    <w:rsid w:val="009F270A"/>
    <w:rsid w:val="009F473A"/>
    <w:rsid w:val="009F612B"/>
    <w:rsid w:val="009F6F90"/>
    <w:rsid w:val="00A003D3"/>
    <w:rsid w:val="00A01B55"/>
    <w:rsid w:val="00A03934"/>
    <w:rsid w:val="00A06590"/>
    <w:rsid w:val="00A07482"/>
    <w:rsid w:val="00A13D88"/>
    <w:rsid w:val="00A142C0"/>
    <w:rsid w:val="00A142E1"/>
    <w:rsid w:val="00A165BE"/>
    <w:rsid w:val="00A2077C"/>
    <w:rsid w:val="00A21AEE"/>
    <w:rsid w:val="00A22A33"/>
    <w:rsid w:val="00A23E40"/>
    <w:rsid w:val="00A24DDE"/>
    <w:rsid w:val="00A263BE"/>
    <w:rsid w:val="00A26B2D"/>
    <w:rsid w:val="00A3015A"/>
    <w:rsid w:val="00A35CB7"/>
    <w:rsid w:val="00A425A6"/>
    <w:rsid w:val="00A4371C"/>
    <w:rsid w:val="00A438CD"/>
    <w:rsid w:val="00A44136"/>
    <w:rsid w:val="00A45B79"/>
    <w:rsid w:val="00A45EC9"/>
    <w:rsid w:val="00A46075"/>
    <w:rsid w:val="00A4704E"/>
    <w:rsid w:val="00A471E6"/>
    <w:rsid w:val="00A5214E"/>
    <w:rsid w:val="00A5302A"/>
    <w:rsid w:val="00A57989"/>
    <w:rsid w:val="00A61268"/>
    <w:rsid w:val="00A621E3"/>
    <w:rsid w:val="00A63C0D"/>
    <w:rsid w:val="00A64506"/>
    <w:rsid w:val="00A6511A"/>
    <w:rsid w:val="00A67203"/>
    <w:rsid w:val="00A708BD"/>
    <w:rsid w:val="00A742A4"/>
    <w:rsid w:val="00A742F0"/>
    <w:rsid w:val="00A75D93"/>
    <w:rsid w:val="00A76A05"/>
    <w:rsid w:val="00A80DBE"/>
    <w:rsid w:val="00A82164"/>
    <w:rsid w:val="00A82C8C"/>
    <w:rsid w:val="00A84611"/>
    <w:rsid w:val="00A84B68"/>
    <w:rsid w:val="00A8574C"/>
    <w:rsid w:val="00A85F07"/>
    <w:rsid w:val="00A87172"/>
    <w:rsid w:val="00A908AE"/>
    <w:rsid w:val="00A9152C"/>
    <w:rsid w:val="00A916DB"/>
    <w:rsid w:val="00A92D7D"/>
    <w:rsid w:val="00A93586"/>
    <w:rsid w:val="00A94FD2"/>
    <w:rsid w:val="00A95E2C"/>
    <w:rsid w:val="00A96386"/>
    <w:rsid w:val="00A97733"/>
    <w:rsid w:val="00AA22E7"/>
    <w:rsid w:val="00AA30FE"/>
    <w:rsid w:val="00AA428E"/>
    <w:rsid w:val="00AA44E7"/>
    <w:rsid w:val="00AA55E5"/>
    <w:rsid w:val="00AA5A81"/>
    <w:rsid w:val="00AB21DC"/>
    <w:rsid w:val="00AB4659"/>
    <w:rsid w:val="00AC025D"/>
    <w:rsid w:val="00AC1DF2"/>
    <w:rsid w:val="00AC1EB9"/>
    <w:rsid w:val="00AC3804"/>
    <w:rsid w:val="00AC39D4"/>
    <w:rsid w:val="00AC4778"/>
    <w:rsid w:val="00AC7AE4"/>
    <w:rsid w:val="00AC7F01"/>
    <w:rsid w:val="00AD1EF6"/>
    <w:rsid w:val="00AD258B"/>
    <w:rsid w:val="00AD2CA3"/>
    <w:rsid w:val="00AD2E77"/>
    <w:rsid w:val="00AD3586"/>
    <w:rsid w:val="00AD375B"/>
    <w:rsid w:val="00AD3E40"/>
    <w:rsid w:val="00AD422C"/>
    <w:rsid w:val="00AD6026"/>
    <w:rsid w:val="00AE03C4"/>
    <w:rsid w:val="00AE08AA"/>
    <w:rsid w:val="00AE136E"/>
    <w:rsid w:val="00AE14EF"/>
    <w:rsid w:val="00AE1722"/>
    <w:rsid w:val="00AE1EF4"/>
    <w:rsid w:val="00AE29A1"/>
    <w:rsid w:val="00AE2B5F"/>
    <w:rsid w:val="00AE33D7"/>
    <w:rsid w:val="00AE3C54"/>
    <w:rsid w:val="00AE4595"/>
    <w:rsid w:val="00AE5EDC"/>
    <w:rsid w:val="00AE686A"/>
    <w:rsid w:val="00AE74DE"/>
    <w:rsid w:val="00AF18D3"/>
    <w:rsid w:val="00AF38BF"/>
    <w:rsid w:val="00AF3F25"/>
    <w:rsid w:val="00AF5698"/>
    <w:rsid w:val="00AF5736"/>
    <w:rsid w:val="00AF60E4"/>
    <w:rsid w:val="00B00700"/>
    <w:rsid w:val="00B00742"/>
    <w:rsid w:val="00B00BA2"/>
    <w:rsid w:val="00B01492"/>
    <w:rsid w:val="00B074ED"/>
    <w:rsid w:val="00B110EA"/>
    <w:rsid w:val="00B13901"/>
    <w:rsid w:val="00B1426B"/>
    <w:rsid w:val="00B150D3"/>
    <w:rsid w:val="00B169B4"/>
    <w:rsid w:val="00B16AD9"/>
    <w:rsid w:val="00B174F8"/>
    <w:rsid w:val="00B17547"/>
    <w:rsid w:val="00B17681"/>
    <w:rsid w:val="00B2092D"/>
    <w:rsid w:val="00B210C7"/>
    <w:rsid w:val="00B21F5E"/>
    <w:rsid w:val="00B32524"/>
    <w:rsid w:val="00B33800"/>
    <w:rsid w:val="00B34918"/>
    <w:rsid w:val="00B3514F"/>
    <w:rsid w:val="00B35640"/>
    <w:rsid w:val="00B35C59"/>
    <w:rsid w:val="00B35E9E"/>
    <w:rsid w:val="00B367C0"/>
    <w:rsid w:val="00B36D6B"/>
    <w:rsid w:val="00B41CAC"/>
    <w:rsid w:val="00B467F0"/>
    <w:rsid w:val="00B51121"/>
    <w:rsid w:val="00B514FE"/>
    <w:rsid w:val="00B53F60"/>
    <w:rsid w:val="00B5433F"/>
    <w:rsid w:val="00B549A3"/>
    <w:rsid w:val="00B55D45"/>
    <w:rsid w:val="00B56474"/>
    <w:rsid w:val="00B57680"/>
    <w:rsid w:val="00B6150D"/>
    <w:rsid w:val="00B6407E"/>
    <w:rsid w:val="00B64B03"/>
    <w:rsid w:val="00B66993"/>
    <w:rsid w:val="00B719E1"/>
    <w:rsid w:val="00B724EF"/>
    <w:rsid w:val="00B73B7A"/>
    <w:rsid w:val="00B74660"/>
    <w:rsid w:val="00B75416"/>
    <w:rsid w:val="00B76A17"/>
    <w:rsid w:val="00B76E54"/>
    <w:rsid w:val="00B8196D"/>
    <w:rsid w:val="00B81C6D"/>
    <w:rsid w:val="00B84C41"/>
    <w:rsid w:val="00B85495"/>
    <w:rsid w:val="00B855BD"/>
    <w:rsid w:val="00B85BD4"/>
    <w:rsid w:val="00B85F3D"/>
    <w:rsid w:val="00B911E8"/>
    <w:rsid w:val="00B92204"/>
    <w:rsid w:val="00B96375"/>
    <w:rsid w:val="00B9693C"/>
    <w:rsid w:val="00BA27AE"/>
    <w:rsid w:val="00BA29DF"/>
    <w:rsid w:val="00BA319C"/>
    <w:rsid w:val="00BA52D7"/>
    <w:rsid w:val="00BA581C"/>
    <w:rsid w:val="00BA6965"/>
    <w:rsid w:val="00BB0C70"/>
    <w:rsid w:val="00BB2FD0"/>
    <w:rsid w:val="00BB32AF"/>
    <w:rsid w:val="00BB3AA2"/>
    <w:rsid w:val="00BB3F92"/>
    <w:rsid w:val="00BB5BB9"/>
    <w:rsid w:val="00BB612F"/>
    <w:rsid w:val="00BC1A3D"/>
    <w:rsid w:val="00BC6325"/>
    <w:rsid w:val="00BC6910"/>
    <w:rsid w:val="00BC7796"/>
    <w:rsid w:val="00BD0D8D"/>
    <w:rsid w:val="00BD10A9"/>
    <w:rsid w:val="00BD13D2"/>
    <w:rsid w:val="00BD2C7C"/>
    <w:rsid w:val="00BD3FDC"/>
    <w:rsid w:val="00BD5468"/>
    <w:rsid w:val="00BD583A"/>
    <w:rsid w:val="00BD6007"/>
    <w:rsid w:val="00BE13B2"/>
    <w:rsid w:val="00BF2984"/>
    <w:rsid w:val="00BF3DD9"/>
    <w:rsid w:val="00BF46BC"/>
    <w:rsid w:val="00BF5868"/>
    <w:rsid w:val="00BF73D7"/>
    <w:rsid w:val="00C00731"/>
    <w:rsid w:val="00C0123F"/>
    <w:rsid w:val="00C0190D"/>
    <w:rsid w:val="00C0438E"/>
    <w:rsid w:val="00C04558"/>
    <w:rsid w:val="00C04C61"/>
    <w:rsid w:val="00C055F5"/>
    <w:rsid w:val="00C056A0"/>
    <w:rsid w:val="00C05C1E"/>
    <w:rsid w:val="00C06CCE"/>
    <w:rsid w:val="00C119FB"/>
    <w:rsid w:val="00C11D12"/>
    <w:rsid w:val="00C134F1"/>
    <w:rsid w:val="00C135DA"/>
    <w:rsid w:val="00C13ED2"/>
    <w:rsid w:val="00C14E24"/>
    <w:rsid w:val="00C161F5"/>
    <w:rsid w:val="00C164AF"/>
    <w:rsid w:val="00C2069F"/>
    <w:rsid w:val="00C20EA2"/>
    <w:rsid w:val="00C23BAC"/>
    <w:rsid w:val="00C24E03"/>
    <w:rsid w:val="00C25C68"/>
    <w:rsid w:val="00C3039C"/>
    <w:rsid w:val="00C30EB5"/>
    <w:rsid w:val="00C310ED"/>
    <w:rsid w:val="00C3128E"/>
    <w:rsid w:val="00C31594"/>
    <w:rsid w:val="00C318F2"/>
    <w:rsid w:val="00C33BF9"/>
    <w:rsid w:val="00C3445F"/>
    <w:rsid w:val="00C34BC5"/>
    <w:rsid w:val="00C36F00"/>
    <w:rsid w:val="00C3795B"/>
    <w:rsid w:val="00C40A23"/>
    <w:rsid w:val="00C4296C"/>
    <w:rsid w:val="00C43925"/>
    <w:rsid w:val="00C47DAF"/>
    <w:rsid w:val="00C50431"/>
    <w:rsid w:val="00C51087"/>
    <w:rsid w:val="00C51B2A"/>
    <w:rsid w:val="00C52091"/>
    <w:rsid w:val="00C5382C"/>
    <w:rsid w:val="00C53EDD"/>
    <w:rsid w:val="00C5487B"/>
    <w:rsid w:val="00C57572"/>
    <w:rsid w:val="00C576C8"/>
    <w:rsid w:val="00C57D40"/>
    <w:rsid w:val="00C62334"/>
    <w:rsid w:val="00C64148"/>
    <w:rsid w:val="00C6629A"/>
    <w:rsid w:val="00C67002"/>
    <w:rsid w:val="00C716A9"/>
    <w:rsid w:val="00C74750"/>
    <w:rsid w:val="00C82912"/>
    <w:rsid w:val="00C82AB5"/>
    <w:rsid w:val="00C84CCB"/>
    <w:rsid w:val="00C85F49"/>
    <w:rsid w:val="00C90737"/>
    <w:rsid w:val="00C91C54"/>
    <w:rsid w:val="00CA11C7"/>
    <w:rsid w:val="00CA12B3"/>
    <w:rsid w:val="00CA277D"/>
    <w:rsid w:val="00CA4AAF"/>
    <w:rsid w:val="00CB03A7"/>
    <w:rsid w:val="00CB0C3E"/>
    <w:rsid w:val="00CB2EEA"/>
    <w:rsid w:val="00CB325E"/>
    <w:rsid w:val="00CB3AA5"/>
    <w:rsid w:val="00CB4594"/>
    <w:rsid w:val="00CB64A5"/>
    <w:rsid w:val="00CB7EAC"/>
    <w:rsid w:val="00CC1BDE"/>
    <w:rsid w:val="00CC30A8"/>
    <w:rsid w:val="00CC653F"/>
    <w:rsid w:val="00CD071C"/>
    <w:rsid w:val="00CD3FDD"/>
    <w:rsid w:val="00CD4DEF"/>
    <w:rsid w:val="00CD4DF4"/>
    <w:rsid w:val="00CD560B"/>
    <w:rsid w:val="00CD5CAB"/>
    <w:rsid w:val="00CD629D"/>
    <w:rsid w:val="00CD71AE"/>
    <w:rsid w:val="00CD726F"/>
    <w:rsid w:val="00CE0487"/>
    <w:rsid w:val="00CE2B55"/>
    <w:rsid w:val="00CF0F01"/>
    <w:rsid w:val="00CF2A2B"/>
    <w:rsid w:val="00CF4C9C"/>
    <w:rsid w:val="00CF6BA6"/>
    <w:rsid w:val="00CF7CB1"/>
    <w:rsid w:val="00D0028F"/>
    <w:rsid w:val="00D0305E"/>
    <w:rsid w:val="00D0353B"/>
    <w:rsid w:val="00D04FBB"/>
    <w:rsid w:val="00D06041"/>
    <w:rsid w:val="00D061E3"/>
    <w:rsid w:val="00D06C19"/>
    <w:rsid w:val="00D101EE"/>
    <w:rsid w:val="00D115E7"/>
    <w:rsid w:val="00D15275"/>
    <w:rsid w:val="00D157C0"/>
    <w:rsid w:val="00D1665F"/>
    <w:rsid w:val="00D1798A"/>
    <w:rsid w:val="00D201D9"/>
    <w:rsid w:val="00D21814"/>
    <w:rsid w:val="00D21B3B"/>
    <w:rsid w:val="00D2248E"/>
    <w:rsid w:val="00D22797"/>
    <w:rsid w:val="00D22C13"/>
    <w:rsid w:val="00D22C28"/>
    <w:rsid w:val="00D22EB7"/>
    <w:rsid w:val="00D23F77"/>
    <w:rsid w:val="00D23FAD"/>
    <w:rsid w:val="00D25175"/>
    <w:rsid w:val="00D257CE"/>
    <w:rsid w:val="00D2664C"/>
    <w:rsid w:val="00D27869"/>
    <w:rsid w:val="00D3172A"/>
    <w:rsid w:val="00D31A03"/>
    <w:rsid w:val="00D31D0A"/>
    <w:rsid w:val="00D320D6"/>
    <w:rsid w:val="00D32B3D"/>
    <w:rsid w:val="00D32D68"/>
    <w:rsid w:val="00D37F25"/>
    <w:rsid w:val="00D418D1"/>
    <w:rsid w:val="00D41CE9"/>
    <w:rsid w:val="00D4303D"/>
    <w:rsid w:val="00D445A9"/>
    <w:rsid w:val="00D447CE"/>
    <w:rsid w:val="00D463B9"/>
    <w:rsid w:val="00D474E3"/>
    <w:rsid w:val="00D54422"/>
    <w:rsid w:val="00D557FC"/>
    <w:rsid w:val="00D57377"/>
    <w:rsid w:val="00D61182"/>
    <w:rsid w:val="00D67FF6"/>
    <w:rsid w:val="00D708E3"/>
    <w:rsid w:val="00D718EE"/>
    <w:rsid w:val="00D719CA"/>
    <w:rsid w:val="00D72857"/>
    <w:rsid w:val="00D729E0"/>
    <w:rsid w:val="00D73544"/>
    <w:rsid w:val="00D73E01"/>
    <w:rsid w:val="00D73E4A"/>
    <w:rsid w:val="00D80005"/>
    <w:rsid w:val="00D80FDF"/>
    <w:rsid w:val="00D82BA8"/>
    <w:rsid w:val="00D84776"/>
    <w:rsid w:val="00D84E1A"/>
    <w:rsid w:val="00D866C5"/>
    <w:rsid w:val="00D87345"/>
    <w:rsid w:val="00D87F28"/>
    <w:rsid w:val="00D93181"/>
    <w:rsid w:val="00D95E24"/>
    <w:rsid w:val="00D95E6A"/>
    <w:rsid w:val="00D96BD4"/>
    <w:rsid w:val="00DA2372"/>
    <w:rsid w:val="00DA37D2"/>
    <w:rsid w:val="00DA6418"/>
    <w:rsid w:val="00DA7916"/>
    <w:rsid w:val="00DA791C"/>
    <w:rsid w:val="00DA7C0D"/>
    <w:rsid w:val="00DB0930"/>
    <w:rsid w:val="00DB187F"/>
    <w:rsid w:val="00DB291F"/>
    <w:rsid w:val="00DB2FE1"/>
    <w:rsid w:val="00DB37B0"/>
    <w:rsid w:val="00DB3837"/>
    <w:rsid w:val="00DB3D07"/>
    <w:rsid w:val="00DB59C6"/>
    <w:rsid w:val="00DB5ADB"/>
    <w:rsid w:val="00DB63B4"/>
    <w:rsid w:val="00DB6428"/>
    <w:rsid w:val="00DC0E66"/>
    <w:rsid w:val="00DC2CCA"/>
    <w:rsid w:val="00DC3BC4"/>
    <w:rsid w:val="00DC41E7"/>
    <w:rsid w:val="00DC6182"/>
    <w:rsid w:val="00DC6F20"/>
    <w:rsid w:val="00DC7188"/>
    <w:rsid w:val="00DD06BC"/>
    <w:rsid w:val="00DD09B7"/>
    <w:rsid w:val="00DD179D"/>
    <w:rsid w:val="00DD3165"/>
    <w:rsid w:val="00DD321B"/>
    <w:rsid w:val="00DD3292"/>
    <w:rsid w:val="00DD3483"/>
    <w:rsid w:val="00DD3DFA"/>
    <w:rsid w:val="00DD5063"/>
    <w:rsid w:val="00DE01C3"/>
    <w:rsid w:val="00DE2AD1"/>
    <w:rsid w:val="00DE41CE"/>
    <w:rsid w:val="00DE7076"/>
    <w:rsid w:val="00DF17FA"/>
    <w:rsid w:val="00DF1A90"/>
    <w:rsid w:val="00DF5958"/>
    <w:rsid w:val="00DF6F19"/>
    <w:rsid w:val="00DF7EBC"/>
    <w:rsid w:val="00E02717"/>
    <w:rsid w:val="00E03580"/>
    <w:rsid w:val="00E048B8"/>
    <w:rsid w:val="00E06414"/>
    <w:rsid w:val="00E06ECE"/>
    <w:rsid w:val="00E071CC"/>
    <w:rsid w:val="00E07E6D"/>
    <w:rsid w:val="00E07F16"/>
    <w:rsid w:val="00E111CC"/>
    <w:rsid w:val="00E119A5"/>
    <w:rsid w:val="00E12C78"/>
    <w:rsid w:val="00E1456A"/>
    <w:rsid w:val="00E14720"/>
    <w:rsid w:val="00E1711D"/>
    <w:rsid w:val="00E205C5"/>
    <w:rsid w:val="00E21192"/>
    <w:rsid w:val="00E23A0B"/>
    <w:rsid w:val="00E27D7F"/>
    <w:rsid w:val="00E3049D"/>
    <w:rsid w:val="00E30A6D"/>
    <w:rsid w:val="00E31E43"/>
    <w:rsid w:val="00E3391A"/>
    <w:rsid w:val="00E3709B"/>
    <w:rsid w:val="00E376E6"/>
    <w:rsid w:val="00E37923"/>
    <w:rsid w:val="00E420C9"/>
    <w:rsid w:val="00E45791"/>
    <w:rsid w:val="00E45A2A"/>
    <w:rsid w:val="00E46142"/>
    <w:rsid w:val="00E47858"/>
    <w:rsid w:val="00E521DE"/>
    <w:rsid w:val="00E5490B"/>
    <w:rsid w:val="00E5491D"/>
    <w:rsid w:val="00E5718F"/>
    <w:rsid w:val="00E57B0D"/>
    <w:rsid w:val="00E61684"/>
    <w:rsid w:val="00E61780"/>
    <w:rsid w:val="00E61FAE"/>
    <w:rsid w:val="00E658C6"/>
    <w:rsid w:val="00E67038"/>
    <w:rsid w:val="00E67160"/>
    <w:rsid w:val="00E72500"/>
    <w:rsid w:val="00E733BC"/>
    <w:rsid w:val="00E734EE"/>
    <w:rsid w:val="00E739A8"/>
    <w:rsid w:val="00E74515"/>
    <w:rsid w:val="00E8258B"/>
    <w:rsid w:val="00E83944"/>
    <w:rsid w:val="00E84AD5"/>
    <w:rsid w:val="00E8564A"/>
    <w:rsid w:val="00E878F9"/>
    <w:rsid w:val="00E90B0D"/>
    <w:rsid w:val="00E917C5"/>
    <w:rsid w:val="00E94363"/>
    <w:rsid w:val="00E94F30"/>
    <w:rsid w:val="00E964B8"/>
    <w:rsid w:val="00EA0868"/>
    <w:rsid w:val="00EA1907"/>
    <w:rsid w:val="00EA3F3F"/>
    <w:rsid w:val="00EA3F75"/>
    <w:rsid w:val="00EA4AB6"/>
    <w:rsid w:val="00EA526B"/>
    <w:rsid w:val="00EA772C"/>
    <w:rsid w:val="00EA7B3F"/>
    <w:rsid w:val="00EB12F6"/>
    <w:rsid w:val="00EB161B"/>
    <w:rsid w:val="00EB441E"/>
    <w:rsid w:val="00EB65F8"/>
    <w:rsid w:val="00EB6BC8"/>
    <w:rsid w:val="00EB776B"/>
    <w:rsid w:val="00EC4344"/>
    <w:rsid w:val="00EC46A2"/>
    <w:rsid w:val="00EC4DEA"/>
    <w:rsid w:val="00ED0BC4"/>
    <w:rsid w:val="00ED0CA1"/>
    <w:rsid w:val="00ED2791"/>
    <w:rsid w:val="00ED2ACE"/>
    <w:rsid w:val="00ED3711"/>
    <w:rsid w:val="00ED37DF"/>
    <w:rsid w:val="00ED67A3"/>
    <w:rsid w:val="00ED7FE2"/>
    <w:rsid w:val="00EE1027"/>
    <w:rsid w:val="00EE109B"/>
    <w:rsid w:val="00EE10BB"/>
    <w:rsid w:val="00EE2048"/>
    <w:rsid w:val="00EE270F"/>
    <w:rsid w:val="00EE2D75"/>
    <w:rsid w:val="00EE6DAA"/>
    <w:rsid w:val="00EE73D0"/>
    <w:rsid w:val="00EF2732"/>
    <w:rsid w:val="00EF4C48"/>
    <w:rsid w:val="00EF61E8"/>
    <w:rsid w:val="00EF65AB"/>
    <w:rsid w:val="00EF6A0B"/>
    <w:rsid w:val="00EF7C51"/>
    <w:rsid w:val="00EF7F20"/>
    <w:rsid w:val="00F021A5"/>
    <w:rsid w:val="00F028AE"/>
    <w:rsid w:val="00F029A6"/>
    <w:rsid w:val="00F0475A"/>
    <w:rsid w:val="00F10C03"/>
    <w:rsid w:val="00F116FA"/>
    <w:rsid w:val="00F12A0D"/>
    <w:rsid w:val="00F172AB"/>
    <w:rsid w:val="00F204E9"/>
    <w:rsid w:val="00F205E6"/>
    <w:rsid w:val="00F208F3"/>
    <w:rsid w:val="00F221BA"/>
    <w:rsid w:val="00F23056"/>
    <w:rsid w:val="00F23744"/>
    <w:rsid w:val="00F2462A"/>
    <w:rsid w:val="00F247BE"/>
    <w:rsid w:val="00F27FEB"/>
    <w:rsid w:val="00F32E0A"/>
    <w:rsid w:val="00F3624B"/>
    <w:rsid w:val="00F37C3E"/>
    <w:rsid w:val="00F405A3"/>
    <w:rsid w:val="00F40678"/>
    <w:rsid w:val="00F421EB"/>
    <w:rsid w:val="00F42296"/>
    <w:rsid w:val="00F433A7"/>
    <w:rsid w:val="00F43404"/>
    <w:rsid w:val="00F44354"/>
    <w:rsid w:val="00F465F5"/>
    <w:rsid w:val="00F4744B"/>
    <w:rsid w:val="00F50A66"/>
    <w:rsid w:val="00F50C1F"/>
    <w:rsid w:val="00F5127A"/>
    <w:rsid w:val="00F53652"/>
    <w:rsid w:val="00F57CBE"/>
    <w:rsid w:val="00F61D43"/>
    <w:rsid w:val="00F63DDF"/>
    <w:rsid w:val="00F65E7F"/>
    <w:rsid w:val="00F70CFF"/>
    <w:rsid w:val="00F73165"/>
    <w:rsid w:val="00F73362"/>
    <w:rsid w:val="00F777C0"/>
    <w:rsid w:val="00F824B9"/>
    <w:rsid w:val="00F85BE4"/>
    <w:rsid w:val="00F867CF"/>
    <w:rsid w:val="00F913BE"/>
    <w:rsid w:val="00F925B8"/>
    <w:rsid w:val="00F926E8"/>
    <w:rsid w:val="00F92D33"/>
    <w:rsid w:val="00F93CAA"/>
    <w:rsid w:val="00F95C0B"/>
    <w:rsid w:val="00F97872"/>
    <w:rsid w:val="00F97B08"/>
    <w:rsid w:val="00FA0A3E"/>
    <w:rsid w:val="00FA0BA2"/>
    <w:rsid w:val="00FA1472"/>
    <w:rsid w:val="00FA2CB8"/>
    <w:rsid w:val="00FA3916"/>
    <w:rsid w:val="00FA4219"/>
    <w:rsid w:val="00FA49F8"/>
    <w:rsid w:val="00FA6A29"/>
    <w:rsid w:val="00FB022D"/>
    <w:rsid w:val="00FB6A9B"/>
    <w:rsid w:val="00FB6E89"/>
    <w:rsid w:val="00FC00D8"/>
    <w:rsid w:val="00FC044F"/>
    <w:rsid w:val="00FC070B"/>
    <w:rsid w:val="00FC13A1"/>
    <w:rsid w:val="00FC16CF"/>
    <w:rsid w:val="00FC1911"/>
    <w:rsid w:val="00FC2292"/>
    <w:rsid w:val="00FC23E3"/>
    <w:rsid w:val="00FC318A"/>
    <w:rsid w:val="00FC3E02"/>
    <w:rsid w:val="00FC7CF5"/>
    <w:rsid w:val="00FD0580"/>
    <w:rsid w:val="00FD16F5"/>
    <w:rsid w:val="00FD51B2"/>
    <w:rsid w:val="00FD5F52"/>
    <w:rsid w:val="00FD694E"/>
    <w:rsid w:val="00FD7291"/>
    <w:rsid w:val="00FE2562"/>
    <w:rsid w:val="00FE27C2"/>
    <w:rsid w:val="00FE2ABA"/>
    <w:rsid w:val="00FE325B"/>
    <w:rsid w:val="00FE3AA7"/>
    <w:rsid w:val="00FE5FCD"/>
    <w:rsid w:val="00FE7996"/>
    <w:rsid w:val="00FF098F"/>
    <w:rsid w:val="00FF0D0F"/>
    <w:rsid w:val="00FF3D20"/>
    <w:rsid w:val="00FF4294"/>
    <w:rsid w:val="00FF42D4"/>
    <w:rsid w:val="00FF572B"/>
    <w:rsid w:val="00FF697E"/>
    <w:rsid w:val="00FF77FA"/>
    <w:rsid w:val="063D7BEA"/>
    <w:rsid w:val="19BF5D7A"/>
    <w:rsid w:val="2781354C"/>
    <w:rsid w:val="29F30845"/>
    <w:rsid w:val="2D6E2A3E"/>
    <w:rsid w:val="2FB8296D"/>
    <w:rsid w:val="33B30803"/>
    <w:rsid w:val="3AA9234B"/>
    <w:rsid w:val="3EC212C4"/>
    <w:rsid w:val="3ED31F81"/>
    <w:rsid w:val="4A085D71"/>
    <w:rsid w:val="4D1C53FF"/>
    <w:rsid w:val="621217A2"/>
    <w:rsid w:val="63264A1E"/>
    <w:rsid w:val="71314E0F"/>
  </w:rsids>
  <m:mathPr>
    <m:mathFont m:val="Cambria Math"/>
    <m:brkBin m:val="before"/>
    <m:brkBinSub m:val="--"/>
    <m:smallFrac m:val="off"/>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宋体" w:hAnsi="Calibri" w:cs="Times New Roman"/>
        <w:lang w:val="en-US" w:eastAsia="zh-CN" w:bidi="ar-SA"/>
      </w:rPr>
    </w:rPrDefault>
    <w:pPrDefault/>
  </w:docDefaults>
  <w:latentStyles w:defLockedState="0" w:defUIPriority="99" w:defSemiHidden="0" w:defUnhideWhenUsed="0" w:defQFormat="0" w:count="267">
    <w:lsdException w:name="Normal" w:uiPriority="0" w:qFormat="1"/>
    <w:lsdException w:name="heading 1" w:uiPriority="0" w:qFormat="1"/>
    <w:lsdException w:name="heading 2" w:uiPriority="0" w:qFormat="1"/>
    <w:lsdException w:name="heading 3" w:uiPriority="0" w:qFormat="1"/>
    <w:lsdException w:name="heading 4" w:uiPriority="0"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qFormat="1"/>
    <w:lsdException w:name="toc 2" w:uiPriority="39"/>
    <w:lsdException w:name="toc 3" w:semiHidden="1" w:uiPriority="0" w:unhideWhenUsed="1"/>
    <w:lsdException w:name="toc 4" w:semiHidden="1" w:uiPriority="0" w:unhideWhenUsed="1"/>
    <w:lsdException w:name="toc 5" w:semiHidden="1" w:uiPriority="0" w:unhideWhenUsed="1"/>
    <w:lsdException w:name="toc 6" w:semiHidden="1" w:uiPriority="0" w:unhideWhenUsed="1"/>
    <w:lsdException w:name="toc 7" w:semiHidden="1" w:uiPriority="0" w:unhideWhenUsed="1"/>
    <w:lsdException w:name="toc 8" w:semiHidden="1" w:uiPriority="0"/>
    <w:lsdException w:name="toc 9" w:semiHidden="1" w:uiPriority="0" w:unhideWhenUsed="1"/>
    <w:lsdException w:name="Normal Indent" w:uiPriority="0"/>
    <w:lsdException w:name="footnote text" w:semiHidden="1" w:uiPriority="0"/>
    <w:lsdException w:name="annotation text" w:uiPriority="0"/>
    <w:lsdException w:name="header" w:semiHidden="1" w:uiPriority="0"/>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uiPriority="0"/>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unhideWhenUsed="1"/>
    <w:lsdException w:name="List Bullet" w:semiHidden="1" w:unhideWhenUsed="1"/>
    <w:lsdException w:name="List Number" w:uiPriority="0"/>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unhideWhenUsed="1"/>
    <w:lsdException w:name="Body Text" w:uiPriority="0"/>
    <w:lsdException w:name="Body Text Indent" w:uiPriority="0"/>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lsdException w:name="Body Text Indent 3" w:semiHidden="1" w:unhideWhenUsed="1"/>
    <w:lsdException w:name="Block Text" w:semiHidden="1" w:unhideWhenUsed="1"/>
    <w:lsdException w:name="FollowedHyperlink" w:semiHidden="1" w:uiPriority="0" w:unhideWhenUsed="1"/>
    <w:lsdException w:name="Strong" w:uiPriority="22" w:qFormat="1"/>
    <w:lsdException w:name="Emphasis" w:uiPriority="20" w:qFormat="1"/>
    <w:lsdException w:name="Document Map" w:unhideWhenUsed="1"/>
    <w:lsdException w:name="Plain Text" w:semiHidden="1" w:uiPriority="0"/>
    <w:lsdException w:name="E-mail Signature" w:semiHidden="1" w:unhideWhenUsed="1"/>
    <w:lsdException w:name="HTML Top of Form" w:semiHidden="1" w:unhideWhenUsed="1"/>
    <w:lsdException w:name="HTML Bottom of Form" w:semiHidden="1" w:unhideWhenUsed="1"/>
    <w:lsdException w:name="Normal (Web)" w:uiPriority="0"/>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unhideWhenUsed="1"/>
    <w:lsdException w:name="HTML Sample" w:semiHidden="1" w:unhideWhenUsed="1"/>
    <w:lsdException w:name="HTML Typewriter" w:semiHidden="1" w:unhideWhenUsed="1"/>
    <w:lsdException w:name="HTML Variable" w:semiHidden="1" w:unhideWhenUsed="1"/>
    <w:lsdException w:name="Normal Table" w:unhideWhenUsed="1" w:qFormat="1"/>
    <w:lsdException w:name="annotation subject"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lsdException w:name="Table Grid" w:uiPriority="59" w:qFormat="1"/>
    <w:lsdException w:name="Table Theme" w:semiHidden="1" w:unhideWhenUsed="1"/>
    <w:lsdException w:name="Placeholder Text" w:semiHidden="1" w:unhideWhenUsed="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a">
    <w:name w:val="Normal"/>
    <w:qFormat/>
    <w:pPr>
      <w:widowControl w:val="0"/>
      <w:jc w:val="both"/>
    </w:pPr>
    <w:rPr>
      <w:rFonts w:ascii="Times New Roman" w:hAnsi="Times New Roman"/>
      <w:kern w:val="2"/>
      <w:sz w:val="21"/>
      <w:szCs w:val="24"/>
    </w:rPr>
  </w:style>
  <w:style w:type="paragraph" w:styleId="1">
    <w:name w:val="heading 1"/>
    <w:basedOn w:val="a"/>
    <w:next w:val="a"/>
    <w:link w:val="1Char"/>
    <w:qFormat/>
    <w:pPr>
      <w:keepNext/>
      <w:keepLines/>
      <w:spacing w:before="340" w:after="330" w:line="578" w:lineRule="auto"/>
      <w:outlineLvl w:val="0"/>
    </w:pPr>
    <w:rPr>
      <w:b/>
      <w:bCs/>
      <w:kern w:val="44"/>
      <w:sz w:val="44"/>
      <w:szCs w:val="44"/>
    </w:rPr>
  </w:style>
  <w:style w:type="paragraph" w:styleId="2">
    <w:name w:val="heading 2"/>
    <w:basedOn w:val="a"/>
    <w:next w:val="a0"/>
    <w:link w:val="2Char"/>
    <w:qFormat/>
    <w:pPr>
      <w:keepNext/>
      <w:keepLines/>
      <w:spacing w:beforeLines="50" w:afterLines="50" w:line="360" w:lineRule="auto"/>
      <w:jc w:val="center"/>
      <w:outlineLvl w:val="1"/>
    </w:pPr>
    <w:rPr>
      <w:b/>
      <w:sz w:val="28"/>
      <w:szCs w:val="20"/>
    </w:rPr>
  </w:style>
  <w:style w:type="paragraph" w:styleId="3">
    <w:name w:val="heading 3"/>
    <w:basedOn w:val="a"/>
    <w:next w:val="a0"/>
    <w:link w:val="3Char"/>
    <w:qFormat/>
    <w:pPr>
      <w:keepNext/>
      <w:keepLines/>
      <w:spacing w:line="360" w:lineRule="auto"/>
      <w:outlineLvl w:val="2"/>
    </w:pPr>
    <w:rPr>
      <w:b/>
      <w:kern w:val="0"/>
      <w:sz w:val="24"/>
      <w:szCs w:val="20"/>
    </w:rPr>
  </w:style>
  <w:style w:type="paragraph" w:styleId="4">
    <w:name w:val="heading 4"/>
    <w:basedOn w:val="a"/>
    <w:next w:val="a0"/>
    <w:link w:val="4Char"/>
    <w:qFormat/>
    <w:pPr>
      <w:keepNext/>
      <w:keepLines/>
      <w:spacing w:line="360" w:lineRule="auto"/>
      <w:outlineLvl w:val="3"/>
    </w:pPr>
    <w:rPr>
      <w:rFonts w:ascii="Arial" w:eastAsia="黑体" w:hAnsi="Arial"/>
      <w:b/>
      <w:kern w:val="0"/>
      <w:sz w:val="24"/>
      <w:szCs w:val="20"/>
    </w:rPr>
  </w:style>
  <w:style w:type="character" w:default="1" w:styleId="a1">
    <w:name w:val="Default Paragraph Font"/>
    <w:uiPriority w:val="1"/>
    <w:unhideWhenUsed/>
  </w:style>
  <w:style w:type="table" w:default="1" w:styleId="a2">
    <w:name w:val="Normal Table"/>
    <w:uiPriority w:val="99"/>
    <w:unhideWhenUsed/>
    <w:qFormat/>
    <w:tblPr>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Char">
    <w:name w:val="标题 1 Char"/>
    <w:link w:val="1"/>
    <w:rPr>
      <w:rFonts w:ascii="Times New Roman" w:eastAsia="宋体" w:hAnsi="Times New Roman" w:cs="Times New Roman"/>
      <w:b/>
      <w:bCs/>
      <w:kern w:val="44"/>
      <w:sz w:val="44"/>
      <w:szCs w:val="44"/>
    </w:rPr>
  </w:style>
  <w:style w:type="character" w:customStyle="1" w:styleId="2Char">
    <w:name w:val="标题 2 Char"/>
    <w:link w:val="2"/>
    <w:rPr>
      <w:rFonts w:ascii="Times New Roman" w:hAnsi="Times New Roman"/>
      <w:b/>
      <w:kern w:val="2"/>
      <w:sz w:val="28"/>
    </w:rPr>
  </w:style>
  <w:style w:type="paragraph" w:styleId="a0">
    <w:name w:val="Normal Indent"/>
    <w:basedOn w:val="a"/>
    <w:pPr>
      <w:spacing w:line="360" w:lineRule="auto"/>
      <w:ind w:firstLine="420"/>
    </w:pPr>
    <w:rPr>
      <w:sz w:val="24"/>
      <w:szCs w:val="20"/>
    </w:rPr>
  </w:style>
  <w:style w:type="character" w:customStyle="1" w:styleId="3Char">
    <w:name w:val="标题 3 Char"/>
    <w:link w:val="3"/>
    <w:rPr>
      <w:rFonts w:ascii="Times New Roman" w:eastAsia="宋体" w:hAnsi="Times New Roman" w:cs="Times New Roman"/>
      <w:b/>
      <w:sz w:val="24"/>
      <w:szCs w:val="20"/>
    </w:rPr>
  </w:style>
  <w:style w:type="character" w:customStyle="1" w:styleId="4Char">
    <w:name w:val="标题 4 Char"/>
    <w:link w:val="4"/>
    <w:rPr>
      <w:rFonts w:ascii="Arial" w:eastAsia="黑体" w:hAnsi="Arial" w:cs="Times New Roman"/>
      <w:b/>
      <w:sz w:val="24"/>
      <w:szCs w:val="20"/>
    </w:rPr>
  </w:style>
  <w:style w:type="paragraph" w:styleId="20">
    <w:name w:val="List Number 2"/>
    <w:basedOn w:val="a"/>
    <w:uiPriority w:val="99"/>
    <w:unhideWhenUsed/>
    <w:pPr>
      <w:numPr>
        <w:numId w:val="1"/>
      </w:numPr>
      <w:tabs>
        <w:tab w:val="left" w:pos="780"/>
      </w:tabs>
      <w:contextualSpacing/>
    </w:pPr>
  </w:style>
  <w:style w:type="paragraph" w:styleId="a4">
    <w:name w:val="List Number"/>
    <w:basedOn w:val="a5"/>
    <w:pPr>
      <w:widowControl/>
      <w:tabs>
        <w:tab w:val="left" w:pos="720"/>
      </w:tabs>
      <w:spacing w:after="240" w:line="240" w:lineRule="atLeast"/>
      <w:ind w:left="720" w:right="720" w:firstLineChars="0" w:hanging="360"/>
      <w:jc w:val="left"/>
    </w:pPr>
    <w:rPr>
      <w:rFonts w:eastAsia="PMingLiU"/>
      <w:kern w:val="0"/>
      <w:sz w:val="24"/>
      <w:szCs w:val="20"/>
      <w:lang w:eastAsia="en-US"/>
    </w:rPr>
  </w:style>
  <w:style w:type="paragraph" w:styleId="a5">
    <w:name w:val="List"/>
    <w:basedOn w:val="a"/>
    <w:uiPriority w:val="99"/>
    <w:unhideWhenUsed/>
    <w:pPr>
      <w:ind w:left="200" w:hangingChars="200" w:hanging="200"/>
      <w:contextualSpacing/>
    </w:pPr>
  </w:style>
  <w:style w:type="paragraph" w:styleId="a6">
    <w:name w:val="Document Map"/>
    <w:basedOn w:val="a"/>
    <w:link w:val="Char"/>
    <w:uiPriority w:val="99"/>
    <w:unhideWhenUsed/>
    <w:rPr>
      <w:rFonts w:ascii="宋体"/>
      <w:sz w:val="18"/>
      <w:szCs w:val="18"/>
    </w:rPr>
  </w:style>
  <w:style w:type="character" w:customStyle="1" w:styleId="Char">
    <w:name w:val="文档结构图 Char"/>
    <w:link w:val="a6"/>
    <w:uiPriority w:val="99"/>
    <w:semiHidden/>
    <w:rPr>
      <w:rFonts w:ascii="宋体" w:hAnsi="Times New Roman"/>
      <w:kern w:val="2"/>
      <w:sz w:val="18"/>
      <w:szCs w:val="18"/>
    </w:rPr>
  </w:style>
  <w:style w:type="paragraph" w:styleId="a7">
    <w:name w:val="annotation text"/>
    <w:basedOn w:val="a"/>
    <w:link w:val="Char0"/>
    <w:pPr>
      <w:jc w:val="left"/>
    </w:pPr>
    <w:rPr>
      <w:kern w:val="0"/>
      <w:sz w:val="24"/>
      <w:szCs w:val="20"/>
    </w:rPr>
  </w:style>
  <w:style w:type="character" w:customStyle="1" w:styleId="Char0">
    <w:name w:val="批注文字 Char"/>
    <w:link w:val="a7"/>
    <w:rPr>
      <w:rFonts w:ascii="Times New Roman" w:eastAsia="宋体" w:hAnsi="Times New Roman" w:cs="Times New Roman"/>
      <w:sz w:val="24"/>
      <w:szCs w:val="20"/>
    </w:rPr>
  </w:style>
  <w:style w:type="paragraph" w:styleId="a8">
    <w:name w:val="Body Text"/>
    <w:basedOn w:val="a"/>
    <w:link w:val="Char1"/>
    <w:pPr>
      <w:spacing w:after="120"/>
    </w:pPr>
    <w:rPr>
      <w:kern w:val="0"/>
      <w:sz w:val="20"/>
    </w:rPr>
  </w:style>
  <w:style w:type="character" w:customStyle="1" w:styleId="Char1">
    <w:name w:val="正文文本 Char"/>
    <w:link w:val="a8"/>
    <w:rPr>
      <w:rFonts w:ascii="Times New Roman" w:eastAsia="宋体" w:hAnsi="Times New Roman" w:cs="Times New Roman"/>
      <w:szCs w:val="24"/>
    </w:rPr>
  </w:style>
  <w:style w:type="paragraph" w:styleId="a9">
    <w:name w:val="Body Text Indent"/>
    <w:basedOn w:val="a"/>
    <w:link w:val="Char2"/>
    <w:pPr>
      <w:spacing w:before="50" w:after="50" w:line="360" w:lineRule="auto"/>
      <w:ind w:firstLineChars="200" w:firstLine="480"/>
    </w:pPr>
    <w:rPr>
      <w:rFonts w:ascii="宋体" w:hAnsi="宋体"/>
      <w:kern w:val="0"/>
      <w:sz w:val="24"/>
    </w:rPr>
  </w:style>
  <w:style w:type="character" w:customStyle="1" w:styleId="Char2">
    <w:name w:val="正文文本缩进 Char"/>
    <w:link w:val="a9"/>
    <w:rPr>
      <w:rFonts w:ascii="宋体" w:eastAsia="宋体" w:hAnsi="宋体" w:cs="Times New Roman"/>
      <w:sz w:val="24"/>
      <w:szCs w:val="24"/>
    </w:rPr>
  </w:style>
  <w:style w:type="paragraph" w:styleId="aa">
    <w:name w:val="Plain Text"/>
    <w:basedOn w:val="a"/>
    <w:link w:val="Char3"/>
    <w:semiHidden/>
    <w:rPr>
      <w:rFonts w:ascii="宋体" w:hAnsi="Courier New"/>
      <w:kern w:val="0"/>
      <w:sz w:val="16"/>
      <w:szCs w:val="20"/>
    </w:rPr>
  </w:style>
  <w:style w:type="character" w:customStyle="1" w:styleId="Char3">
    <w:name w:val="纯文本 Char"/>
    <w:link w:val="aa"/>
    <w:semiHidden/>
    <w:rPr>
      <w:rFonts w:ascii="宋体" w:eastAsia="宋体" w:hAnsi="Courier New" w:cs="Times New Roman"/>
      <w:sz w:val="16"/>
      <w:szCs w:val="20"/>
    </w:rPr>
  </w:style>
  <w:style w:type="paragraph" w:styleId="8">
    <w:name w:val="toc 8"/>
    <w:basedOn w:val="a"/>
    <w:next w:val="a"/>
    <w:semiHidden/>
    <w:pPr>
      <w:ind w:leftChars="1400" w:left="2940"/>
    </w:pPr>
  </w:style>
  <w:style w:type="paragraph" w:styleId="21">
    <w:name w:val="Body Text Indent 2"/>
    <w:basedOn w:val="a"/>
    <w:link w:val="2Char0"/>
    <w:semiHidden/>
    <w:pPr>
      <w:spacing w:before="50" w:after="50" w:line="360" w:lineRule="auto"/>
      <w:ind w:firstLine="420"/>
    </w:pPr>
    <w:rPr>
      <w:rFonts w:ascii="宋体" w:hAnsi="宋体"/>
      <w:color w:val="0000FF"/>
      <w:kern w:val="0"/>
      <w:sz w:val="24"/>
    </w:rPr>
  </w:style>
  <w:style w:type="character" w:customStyle="1" w:styleId="2Char0">
    <w:name w:val="正文文本缩进 2 Char"/>
    <w:link w:val="21"/>
    <w:semiHidden/>
    <w:rPr>
      <w:rFonts w:ascii="宋体" w:eastAsia="宋体" w:hAnsi="宋体" w:cs="Times New Roman"/>
      <w:color w:val="0000FF"/>
      <w:sz w:val="24"/>
      <w:szCs w:val="24"/>
    </w:rPr>
  </w:style>
  <w:style w:type="paragraph" w:styleId="ab">
    <w:name w:val="Balloon Text"/>
    <w:basedOn w:val="a"/>
    <w:link w:val="Char4"/>
    <w:semiHidden/>
    <w:rPr>
      <w:kern w:val="0"/>
      <w:sz w:val="18"/>
      <w:szCs w:val="18"/>
    </w:rPr>
  </w:style>
  <w:style w:type="character" w:customStyle="1" w:styleId="Char4">
    <w:name w:val="批注框文本 Char"/>
    <w:link w:val="ab"/>
    <w:semiHidden/>
    <w:rPr>
      <w:rFonts w:ascii="Times New Roman" w:eastAsia="宋体" w:hAnsi="Times New Roman" w:cs="Times New Roman"/>
      <w:sz w:val="18"/>
      <w:szCs w:val="18"/>
    </w:rPr>
  </w:style>
  <w:style w:type="paragraph" w:styleId="ac">
    <w:name w:val="footer"/>
    <w:basedOn w:val="a"/>
    <w:link w:val="Char5"/>
    <w:uiPriority w:val="99"/>
    <w:pPr>
      <w:tabs>
        <w:tab w:val="center" w:pos="4153"/>
        <w:tab w:val="right" w:pos="8306"/>
      </w:tabs>
      <w:snapToGrid w:val="0"/>
      <w:jc w:val="left"/>
    </w:pPr>
    <w:rPr>
      <w:kern w:val="0"/>
      <w:sz w:val="18"/>
      <w:szCs w:val="18"/>
    </w:rPr>
  </w:style>
  <w:style w:type="character" w:customStyle="1" w:styleId="Char5">
    <w:name w:val="页脚 Char"/>
    <w:link w:val="ac"/>
    <w:uiPriority w:val="99"/>
    <w:rPr>
      <w:rFonts w:ascii="Times New Roman" w:eastAsia="宋体" w:hAnsi="Times New Roman" w:cs="Times New Roman"/>
      <w:sz w:val="18"/>
      <w:szCs w:val="18"/>
    </w:rPr>
  </w:style>
  <w:style w:type="paragraph" w:styleId="ad">
    <w:name w:val="header"/>
    <w:basedOn w:val="a"/>
    <w:link w:val="Char6"/>
    <w:semiHidden/>
    <w:pPr>
      <w:pBdr>
        <w:bottom w:val="single" w:sz="6" w:space="1" w:color="auto"/>
      </w:pBdr>
      <w:tabs>
        <w:tab w:val="center" w:pos="4153"/>
        <w:tab w:val="right" w:pos="8306"/>
      </w:tabs>
      <w:snapToGrid w:val="0"/>
      <w:jc w:val="center"/>
    </w:pPr>
    <w:rPr>
      <w:kern w:val="0"/>
      <w:sz w:val="18"/>
      <w:szCs w:val="18"/>
    </w:rPr>
  </w:style>
  <w:style w:type="character" w:customStyle="1" w:styleId="Char6">
    <w:name w:val="页眉 Char"/>
    <w:link w:val="ad"/>
    <w:semiHidden/>
    <w:rPr>
      <w:rFonts w:ascii="Times New Roman" w:eastAsia="宋体" w:hAnsi="Times New Roman" w:cs="Times New Roman"/>
      <w:sz w:val="18"/>
      <w:szCs w:val="18"/>
    </w:rPr>
  </w:style>
  <w:style w:type="paragraph" w:styleId="10">
    <w:name w:val="toc 1"/>
    <w:basedOn w:val="a"/>
    <w:next w:val="a"/>
    <w:uiPriority w:val="39"/>
    <w:qFormat/>
  </w:style>
  <w:style w:type="paragraph" w:styleId="ae">
    <w:name w:val="footnote text"/>
    <w:basedOn w:val="a"/>
    <w:link w:val="Char7"/>
    <w:semiHidden/>
    <w:pPr>
      <w:snapToGrid w:val="0"/>
      <w:jc w:val="left"/>
    </w:pPr>
    <w:rPr>
      <w:kern w:val="0"/>
      <w:sz w:val="18"/>
      <w:szCs w:val="18"/>
    </w:rPr>
  </w:style>
  <w:style w:type="character" w:customStyle="1" w:styleId="Char7">
    <w:name w:val="脚注文本 Char"/>
    <w:link w:val="ae"/>
    <w:semiHidden/>
    <w:rPr>
      <w:rFonts w:ascii="Times New Roman" w:eastAsia="宋体" w:hAnsi="Times New Roman" w:cs="Times New Roman"/>
      <w:sz w:val="18"/>
      <w:szCs w:val="18"/>
    </w:rPr>
  </w:style>
  <w:style w:type="paragraph" w:styleId="22">
    <w:name w:val="toc 2"/>
    <w:basedOn w:val="a"/>
    <w:next w:val="a"/>
    <w:uiPriority w:val="39"/>
    <w:pPr>
      <w:ind w:leftChars="200" w:left="420"/>
    </w:pPr>
  </w:style>
  <w:style w:type="paragraph" w:styleId="HTML">
    <w:name w:val="HTML Preformatted"/>
    <w:basedOn w:val="a"/>
    <w:link w:val="HTMLChar"/>
    <w:uiPriority w:val="99"/>
    <w:unhideWhenUsed/>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kern w:val="0"/>
      <w:sz w:val="24"/>
    </w:rPr>
  </w:style>
  <w:style w:type="character" w:customStyle="1" w:styleId="HTMLChar">
    <w:name w:val="HTML 预设格式 Char"/>
    <w:link w:val="HTML"/>
    <w:uiPriority w:val="99"/>
    <w:semiHidden/>
    <w:rPr>
      <w:rFonts w:ascii="宋体" w:eastAsia="宋体" w:hAnsi="宋体" w:cs="宋体"/>
      <w:kern w:val="0"/>
      <w:sz w:val="24"/>
      <w:szCs w:val="24"/>
    </w:rPr>
  </w:style>
  <w:style w:type="paragraph" w:styleId="af">
    <w:name w:val="Normal (Web)"/>
    <w:basedOn w:val="a"/>
    <w:pPr>
      <w:widowControl/>
      <w:tabs>
        <w:tab w:val="left" w:pos="360"/>
      </w:tabs>
      <w:spacing w:before="100" w:beforeAutospacing="1" w:after="100" w:afterAutospacing="1"/>
      <w:jc w:val="left"/>
    </w:pPr>
    <w:rPr>
      <w:rFonts w:ascii="Arial Unicode MS" w:eastAsia="Arial Unicode MS" w:hAnsi="Arial Unicode MS" w:cs="Arial Unicode MS"/>
      <w:kern w:val="0"/>
      <w:sz w:val="24"/>
    </w:rPr>
  </w:style>
  <w:style w:type="paragraph" w:styleId="af0">
    <w:name w:val="annotation subject"/>
    <w:basedOn w:val="a7"/>
    <w:next w:val="a7"/>
    <w:link w:val="Char8"/>
    <w:uiPriority w:val="99"/>
    <w:unhideWhenUsed/>
    <w:rPr>
      <w:b/>
      <w:bCs/>
      <w:szCs w:val="24"/>
    </w:rPr>
  </w:style>
  <w:style w:type="character" w:customStyle="1" w:styleId="Char8">
    <w:name w:val="批注主题 Char"/>
    <w:link w:val="af0"/>
    <w:uiPriority w:val="99"/>
    <w:semiHidden/>
    <w:rPr>
      <w:rFonts w:ascii="Times New Roman" w:eastAsia="宋体" w:hAnsi="Times New Roman" w:cs="Times New Roman"/>
      <w:b/>
      <w:bCs/>
      <w:sz w:val="24"/>
      <w:szCs w:val="24"/>
    </w:rPr>
  </w:style>
  <w:style w:type="table" w:styleId="af1">
    <w:name w:val="Table Grid"/>
    <w:basedOn w:val="a2"/>
    <w:uiPriority w:val="59"/>
    <w:qFormat/>
    <w:pPr>
      <w:widowControl w:val="0"/>
      <w:jc w:val="both"/>
    </w:pPr>
    <w:rPr>
      <w:rFonts w:ascii="Times New Roman" w:hAnsi="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2">
    <w:name w:val="浅色列表 - 着色 2"/>
    <w:basedOn w:val="a2"/>
    <w:uiPriority w:val="61"/>
    <w:rPr>
      <w:kern w:val="2"/>
      <w:sz w:val="21"/>
      <w:szCs w:val="22"/>
    </w:rPr>
    <w:tblPr>
      <w:tblStyleRowBandSize w:val="1"/>
      <w:tblStyleColBandSize w:val="1"/>
      <w:tblBorders>
        <w:top w:val="single" w:sz="8" w:space="0" w:color="C0504D"/>
        <w:left w:val="single" w:sz="8" w:space="0" w:color="C0504D"/>
        <w:bottom w:val="single" w:sz="8" w:space="0" w:color="C0504D"/>
        <w:right w:val="single" w:sz="8" w:space="0" w:color="C0504D"/>
      </w:tblBorders>
      <w:tblCellMar>
        <w:top w:w="0" w:type="dxa"/>
        <w:left w:w="108" w:type="dxa"/>
        <w:bottom w:w="0" w:type="dxa"/>
        <w:right w:w="108" w:type="dxa"/>
      </w:tblCellMar>
    </w:tblPr>
    <w:tblStylePr w:type="firstRow">
      <w:pPr>
        <w:spacing w:before="0" w:after="0" w:line="240" w:lineRule="auto"/>
      </w:pPr>
      <w:rPr>
        <w:b/>
        <w:bCs/>
        <w:color w:val="FFFFFF"/>
      </w:rPr>
      <w:tblPr/>
      <w:tcPr>
        <w:shd w:val="clear" w:color="auto" w:fill="C0504D"/>
      </w:tcPr>
    </w:tblStylePr>
    <w:tblStylePr w:type="lastRow">
      <w:pPr>
        <w:spacing w:before="0" w:after="0" w:line="240" w:lineRule="auto"/>
      </w:pPr>
      <w:rPr>
        <w:b/>
        <w:bCs/>
      </w:rPr>
      <w:tblPr/>
      <w:tcPr>
        <w:tcBorders>
          <w:top w:val="double" w:sz="6" w:space="0" w:color="C0504D"/>
          <w:left w:val="single" w:sz="8" w:space="0" w:color="C0504D"/>
          <w:bottom w:val="single" w:sz="8" w:space="0" w:color="C0504D"/>
          <w:right w:val="single" w:sz="8" w:space="0" w:color="C0504D"/>
          <w:insideH w:val="nil"/>
          <w:insideV w:val="nil"/>
          <w:tl2br w:val="nil"/>
          <w:tr2bl w:val="nil"/>
        </w:tcBorders>
      </w:tcPr>
    </w:tblStylePr>
    <w:tblStylePr w:type="firstCol">
      <w:rPr>
        <w:b/>
        <w:bCs/>
      </w:rPr>
    </w:tblStylePr>
    <w:tblStylePr w:type="lastCol">
      <w:rPr>
        <w:b/>
        <w:bCs/>
      </w:rPr>
    </w:tblStylePr>
    <w:tblStylePr w:type="band1Vert">
      <w:tblPr/>
      <w:tcPr>
        <w:tcBorders>
          <w:top w:val="single" w:sz="8" w:space="0" w:color="C0504D"/>
          <w:left w:val="single" w:sz="8" w:space="0" w:color="C0504D"/>
          <w:bottom w:val="single" w:sz="8" w:space="0" w:color="C0504D"/>
          <w:right w:val="single" w:sz="8" w:space="0" w:color="C0504D"/>
          <w:insideH w:val="nil"/>
          <w:insideV w:val="nil"/>
          <w:tl2br w:val="nil"/>
          <w:tr2bl w:val="nil"/>
        </w:tcBorders>
      </w:tcPr>
    </w:tblStylePr>
    <w:tblStylePr w:type="band1Horz">
      <w:tblPr/>
      <w:tcPr>
        <w:tcBorders>
          <w:top w:val="single" w:sz="8" w:space="0" w:color="C0504D"/>
          <w:left w:val="single" w:sz="8" w:space="0" w:color="C0504D"/>
          <w:bottom w:val="single" w:sz="8" w:space="0" w:color="C0504D"/>
          <w:right w:val="single" w:sz="8" w:space="0" w:color="C0504D"/>
          <w:insideH w:val="nil"/>
          <w:insideV w:val="nil"/>
          <w:tl2br w:val="nil"/>
          <w:tr2bl w:val="nil"/>
        </w:tcBorders>
      </w:tcPr>
    </w:tblStylePr>
  </w:style>
  <w:style w:type="character" w:styleId="af2">
    <w:name w:val="Hyperlink"/>
    <w:uiPriority w:val="99"/>
    <w:rPr>
      <w:color w:val="0000FF"/>
      <w:u w:val="single"/>
    </w:rPr>
  </w:style>
  <w:style w:type="character" w:styleId="af3">
    <w:name w:val="annotation reference"/>
    <w:rPr>
      <w:rFonts w:eastAsia="宋体"/>
      <w:kern w:val="2"/>
      <w:sz w:val="21"/>
      <w:szCs w:val="21"/>
      <w:lang w:val="en-US" w:eastAsia="zh-CN" w:bidi="ar-SA"/>
    </w:rPr>
  </w:style>
  <w:style w:type="paragraph" w:customStyle="1" w:styleId="ccidsiTemplate">
    <w:name w:val="ccidsiTemplate"/>
    <w:basedOn w:val="a"/>
    <w:pPr>
      <w:spacing w:line="360" w:lineRule="auto"/>
    </w:pPr>
    <w:rPr>
      <w:sz w:val="24"/>
      <w:szCs w:val="20"/>
    </w:rPr>
  </w:style>
  <w:style w:type="character" w:customStyle="1" w:styleId="big1">
    <w:name w:val="big1"/>
    <w:rPr>
      <w:spacing w:val="360"/>
      <w:sz w:val="22"/>
      <w:szCs w:val="22"/>
    </w:rPr>
  </w:style>
  <w:style w:type="paragraph" w:customStyle="1" w:styleId="Default">
    <w:name w:val="Default"/>
    <w:pPr>
      <w:widowControl w:val="0"/>
      <w:autoSpaceDE w:val="0"/>
      <w:autoSpaceDN w:val="0"/>
      <w:adjustRightInd w:val="0"/>
    </w:pPr>
    <w:rPr>
      <w:rFonts w:ascii="宋体" w:hAnsi="Times New Roman" w:cs="宋体"/>
      <w:color w:val="000000"/>
      <w:sz w:val="24"/>
      <w:szCs w:val="24"/>
    </w:rPr>
  </w:style>
  <w:style w:type="paragraph" w:customStyle="1" w:styleId="af4">
    <w:name w:val="项目"/>
    <w:basedOn w:val="4"/>
    <w:pPr>
      <w:numPr>
        <w:ilvl w:val="3"/>
        <w:numId w:val="2"/>
      </w:numPr>
      <w:snapToGrid w:val="0"/>
      <w:spacing w:before="120" w:after="120"/>
    </w:pPr>
    <w:rPr>
      <w:rFonts w:ascii="Times New Roman" w:eastAsia="楷体_GB2312" w:hAnsi="Times New Roman"/>
      <w:b w:val="0"/>
      <w:bCs/>
    </w:rPr>
  </w:style>
  <w:style w:type="paragraph" w:styleId="af5">
    <w:name w:val="Revision"/>
    <w:uiPriority w:val="99"/>
    <w:semiHidden/>
    <w:rPr>
      <w:rFonts w:ascii="Times New Roman" w:hAnsi="Times New Roman"/>
      <w:kern w:val="2"/>
      <w:sz w:val="21"/>
      <w:szCs w:val="24"/>
    </w:rPr>
  </w:style>
  <w:style w:type="paragraph" w:customStyle="1" w:styleId="AODocTxtL3">
    <w:name w:val="AODocTxtL3"/>
    <w:basedOn w:val="a"/>
    <w:pPr>
      <w:widowControl/>
      <w:tabs>
        <w:tab w:val="left" w:pos="2880"/>
      </w:tabs>
      <w:spacing w:before="240" w:line="260" w:lineRule="atLeast"/>
      <w:ind w:left="2880" w:hanging="360"/>
      <w:jc w:val="left"/>
    </w:pPr>
    <w:rPr>
      <w:kern w:val="0"/>
      <w:sz w:val="22"/>
      <w:szCs w:val="22"/>
      <w:lang w:val="en-GB" w:eastAsia="en-US"/>
    </w:rPr>
  </w:style>
  <w:style w:type="paragraph" w:customStyle="1" w:styleId="af6">
    <w:name w:val="合同正文"/>
    <w:basedOn w:val="a"/>
    <w:link w:val="CharChar"/>
    <w:qFormat/>
    <w:pPr>
      <w:spacing w:line="360" w:lineRule="auto"/>
      <w:ind w:firstLineChars="200" w:firstLine="200"/>
    </w:pPr>
    <w:rPr>
      <w:bCs/>
      <w:sz w:val="24"/>
      <w:szCs w:val="20"/>
    </w:rPr>
  </w:style>
  <w:style w:type="character" w:customStyle="1" w:styleId="CharChar">
    <w:name w:val="合同正文 Char Char"/>
    <w:link w:val="af6"/>
    <w:rPr>
      <w:rFonts w:ascii="Times New Roman" w:hAnsi="Times New Roman"/>
      <w:bCs/>
      <w:kern w:val="2"/>
      <w:sz w:val="24"/>
    </w:rPr>
  </w:style>
  <w:style w:type="character" w:customStyle="1" w:styleId="Char9">
    <w:name w:val="合同正文 Char"/>
    <w:rPr>
      <w:bCs/>
      <w:kern w:val="2"/>
      <w:sz w:val="24"/>
    </w:rPr>
  </w:style>
  <w:style w:type="paragraph" w:customStyle="1" w:styleId="AONormal">
    <w:name w:val="AONormal"/>
    <w:pPr>
      <w:spacing w:line="260" w:lineRule="atLeast"/>
    </w:pPr>
    <w:rPr>
      <w:rFonts w:ascii="Times New Roman" w:hAnsi="Times New Roman"/>
      <w:sz w:val="22"/>
      <w:szCs w:val="22"/>
      <w:lang w:val="en-GB" w:eastAsia="en-US"/>
    </w:rPr>
  </w:style>
  <w:style w:type="paragraph" w:customStyle="1" w:styleId="CharChar0">
    <w:name w:val=" Char Char"/>
    <w:basedOn w:val="a"/>
    <w:rPr>
      <w:szCs w:val="20"/>
    </w:rPr>
  </w:style>
</w:styles>
</file>

<file path=word/webSettings.xml><?xml version="1.0" encoding="utf-8"?>
<w:webSettings xmlns:r="http://schemas.openxmlformats.org/officeDocument/2006/relationships" xmlns:w="http://schemas.openxmlformats.org/wordprocessingml/2006/main">
  <w:encoding w:val="x-cp20936"/>
  <w:optimizeForBrowser/>
  <w:allowPNG/>
  <w:pixelsPerInch w:val="144"/>
  <w:targetScreenSz w:val="1024x768"/>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2</Pages>
  <Words>1572</Words>
  <Characters>8962</Characters>
  <Application>Microsoft Office Word</Application>
  <DocSecurity>4</DocSecurity>
  <Lines>74</Lines>
  <Paragraphs>21</Paragraphs>
  <ScaleCrop>false</ScaleCrop>
  <Company>Microsoft</Company>
  <LinksUpToDate>false</LinksUpToDate>
  <CharactersWithSpaces>10513</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富国阿尔法两年持有期混合型证券投资基金基金份额发售公告</dc:title>
  <dc:subject/>
  <dc:creator>富国基金</dc:creator>
  <cp:keywords/>
  <cp:lastModifiedBy>ZHONGM</cp:lastModifiedBy>
  <cp:revision>2</cp:revision>
  <dcterms:created xsi:type="dcterms:W3CDTF">2026-04-22T16:06:00Z</dcterms:created>
  <dcterms:modified xsi:type="dcterms:W3CDTF">2026-04-22T16:06:00Z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2052-11.8.2.12118</vt:lpwstr>
  </property>
  <property fmtid="{D5CDD505-2E9C-101B-9397-08002B2CF9AE}" pid="3" name="ICV">
    <vt:lpwstr>5760BF7547E849EE92673A93AF127692</vt:lpwstr>
  </property>
</Properties>
</file>