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01CD" w:rsidRDefault="00AD01CD">
      <w:pPr>
        <w:spacing w:line="620" w:lineRule="exact"/>
        <w:rPr>
          <w:rFonts w:eastAsia="华文中宋"/>
          <w:b/>
          <w:bCs/>
          <w:sz w:val="44"/>
        </w:rPr>
      </w:pPr>
      <w:bookmarkStart w:id="0" w:name="TSendTo"/>
      <w:bookmarkEnd w:id="0"/>
    </w:p>
    <w:p w:rsidR="00AD01CD" w:rsidRDefault="002A2ABB">
      <w:pPr>
        <w:autoSpaceDE w:val="0"/>
        <w:autoSpaceDN w:val="0"/>
        <w:adjustRightInd w:val="0"/>
        <w:spacing w:before="29" w:line="600" w:lineRule="exact"/>
        <w:ind w:left="17"/>
        <w:jc w:val="center"/>
        <w:rPr>
          <w:rFonts w:ascii="华文中宋" w:eastAsia="华文中宋" w:hAnsi="华文中宋" w:cs="宋体"/>
          <w:b/>
          <w:bCs/>
          <w:color w:val="000000"/>
          <w:kern w:val="0"/>
          <w:sz w:val="44"/>
          <w:szCs w:val="44"/>
        </w:rPr>
      </w:pPr>
      <w:r>
        <w:rPr>
          <w:rFonts w:ascii="华文中宋" w:eastAsia="华文中宋" w:hAnsi="华文中宋" w:cs="宋体" w:hint="eastAsia"/>
          <w:b/>
          <w:bCs/>
          <w:color w:val="000000"/>
          <w:kern w:val="0"/>
          <w:sz w:val="44"/>
          <w:szCs w:val="44"/>
        </w:rPr>
        <w:t>中加科技先锋智选混合型发起式证券投资基金</w:t>
      </w:r>
    </w:p>
    <w:p w:rsidR="00AD01CD" w:rsidRDefault="002A2ABB">
      <w:pPr>
        <w:autoSpaceDE w:val="0"/>
        <w:autoSpaceDN w:val="0"/>
        <w:adjustRightInd w:val="0"/>
        <w:spacing w:before="29" w:line="600" w:lineRule="exact"/>
        <w:ind w:left="17"/>
        <w:jc w:val="center"/>
        <w:rPr>
          <w:rFonts w:ascii="华文中宋" w:eastAsia="华文中宋" w:hAnsi="华文中宋" w:cs="宋体"/>
          <w:b/>
          <w:bCs/>
          <w:color w:val="000000"/>
          <w:kern w:val="0"/>
          <w:sz w:val="44"/>
          <w:szCs w:val="44"/>
        </w:rPr>
      </w:pPr>
      <w:r>
        <w:rPr>
          <w:rFonts w:ascii="华文中宋" w:eastAsia="华文中宋" w:hAnsi="华文中宋" w:cs="宋体" w:hint="eastAsia"/>
          <w:b/>
          <w:bCs/>
          <w:color w:val="000000"/>
          <w:kern w:val="0"/>
          <w:sz w:val="44"/>
          <w:szCs w:val="44"/>
        </w:rPr>
        <w:t>基金合同生效公告</w:t>
      </w:r>
    </w:p>
    <w:p w:rsidR="00AD01CD" w:rsidRDefault="00AD01CD">
      <w:pPr>
        <w:autoSpaceDE w:val="0"/>
        <w:autoSpaceDN w:val="0"/>
        <w:adjustRightInd w:val="0"/>
        <w:spacing w:before="29" w:line="288" w:lineRule="auto"/>
        <w:ind w:left="15"/>
        <w:jc w:val="center"/>
        <w:rPr>
          <w:rFonts w:ascii="华文中宋" w:eastAsia="华文中宋" w:hAnsi="华文中宋" w:cs="宋体"/>
          <w:color w:val="000000"/>
          <w:kern w:val="0"/>
          <w:sz w:val="32"/>
          <w:szCs w:val="32"/>
        </w:rPr>
      </w:pPr>
    </w:p>
    <w:p w:rsidR="00AD01CD" w:rsidRDefault="002A2ABB">
      <w:pPr>
        <w:autoSpaceDE w:val="0"/>
        <w:autoSpaceDN w:val="0"/>
        <w:adjustRightInd w:val="0"/>
        <w:spacing w:before="29" w:line="288" w:lineRule="auto"/>
        <w:ind w:left="15"/>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公告送出日期：</w:t>
      </w:r>
      <w:r>
        <w:rPr>
          <w:rFonts w:ascii="华文中宋" w:eastAsia="华文中宋" w:hAnsi="华文中宋" w:cs="宋体" w:hint="eastAsia"/>
          <w:color w:val="000000"/>
          <w:kern w:val="0"/>
          <w:sz w:val="32"/>
          <w:szCs w:val="32"/>
        </w:rPr>
        <w:t>202</w:t>
      </w:r>
      <w:r>
        <w:rPr>
          <w:rFonts w:ascii="华文中宋" w:eastAsia="华文中宋" w:hAnsi="华文中宋" w:cs="宋体" w:hint="eastAsia"/>
          <w:color w:val="000000"/>
          <w:kern w:val="0"/>
          <w:sz w:val="32"/>
          <w:szCs w:val="32"/>
        </w:rPr>
        <w:t>6</w:t>
      </w:r>
      <w:r>
        <w:rPr>
          <w:rFonts w:ascii="华文中宋" w:eastAsia="华文中宋" w:hAnsi="华文中宋" w:cs="宋体" w:hint="eastAsia"/>
          <w:color w:val="000000"/>
          <w:kern w:val="0"/>
          <w:sz w:val="32"/>
          <w:szCs w:val="32"/>
        </w:rPr>
        <w:t>年</w:t>
      </w:r>
      <w:r>
        <w:rPr>
          <w:rFonts w:ascii="华文中宋" w:eastAsia="华文中宋" w:hAnsi="华文中宋" w:cs="宋体" w:hint="eastAsia"/>
          <w:color w:val="000000"/>
          <w:kern w:val="0"/>
          <w:sz w:val="32"/>
          <w:szCs w:val="32"/>
        </w:rPr>
        <w:t>4</w:t>
      </w:r>
      <w:r>
        <w:rPr>
          <w:rFonts w:ascii="华文中宋" w:eastAsia="华文中宋" w:hAnsi="华文中宋" w:cs="宋体" w:hint="eastAsia"/>
          <w:color w:val="000000"/>
          <w:kern w:val="0"/>
          <w:sz w:val="32"/>
          <w:szCs w:val="32"/>
        </w:rPr>
        <w:t>月</w:t>
      </w:r>
      <w:r>
        <w:rPr>
          <w:rFonts w:ascii="华文中宋" w:eastAsia="华文中宋" w:hAnsi="华文中宋" w:cs="宋体" w:hint="eastAsia"/>
          <w:color w:val="000000"/>
          <w:kern w:val="0"/>
          <w:sz w:val="32"/>
          <w:szCs w:val="32"/>
        </w:rPr>
        <w:t>23</w:t>
      </w:r>
      <w:r>
        <w:rPr>
          <w:rFonts w:ascii="华文中宋" w:eastAsia="华文中宋" w:hAnsi="华文中宋" w:cs="宋体" w:hint="eastAsia"/>
          <w:color w:val="000000"/>
          <w:kern w:val="0"/>
          <w:sz w:val="32"/>
          <w:szCs w:val="32"/>
        </w:rPr>
        <w:t>日</w:t>
      </w:r>
    </w:p>
    <w:p w:rsidR="00AD01CD" w:rsidRDefault="00AD01CD">
      <w:pPr>
        <w:autoSpaceDE w:val="0"/>
        <w:autoSpaceDN w:val="0"/>
        <w:adjustRightInd w:val="0"/>
        <w:spacing w:line="288" w:lineRule="auto"/>
        <w:jc w:val="center"/>
        <w:rPr>
          <w:rFonts w:ascii="宋体" w:eastAsia="宋体" w:cs="宋体"/>
          <w:color w:val="000000"/>
          <w:kern w:val="0"/>
          <w:sz w:val="24"/>
          <w:szCs w:val="24"/>
        </w:rPr>
      </w:pPr>
    </w:p>
    <w:p w:rsidR="00AD01CD" w:rsidRDefault="002A2ABB">
      <w:pPr>
        <w:autoSpaceDE w:val="0"/>
        <w:autoSpaceDN w:val="0"/>
        <w:adjustRightInd w:val="0"/>
        <w:spacing w:before="29" w:line="288" w:lineRule="auto"/>
        <w:ind w:leftChars="7" w:left="15"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一、公告基本信息</w:t>
      </w:r>
    </w:p>
    <w:tbl>
      <w:tblPr>
        <w:tblW w:w="9752" w:type="dxa"/>
        <w:tblInd w:w="108" w:type="dxa"/>
        <w:tblLayout w:type="fixed"/>
        <w:tblLook w:val="04A0"/>
      </w:tblPr>
      <w:tblGrid>
        <w:gridCol w:w="3544"/>
        <w:gridCol w:w="3104"/>
        <w:gridCol w:w="3104"/>
      </w:tblGrid>
      <w:tr w:rsidR="00AD01CD">
        <w:tc>
          <w:tcPr>
            <w:tcW w:w="354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基金名称</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中加科技先锋智选混合型发起式证券投资基金</w:t>
            </w:r>
          </w:p>
        </w:tc>
      </w:tr>
      <w:tr w:rsidR="00AD01CD">
        <w:tc>
          <w:tcPr>
            <w:tcW w:w="354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基金简称</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中加科技先锋智选混合发起式</w:t>
            </w:r>
          </w:p>
        </w:tc>
      </w:tr>
      <w:tr w:rsidR="00AD01CD">
        <w:tc>
          <w:tcPr>
            <w:tcW w:w="354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基金主代码</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02</w:t>
            </w:r>
            <w:r>
              <w:rPr>
                <w:rFonts w:ascii="仿宋" w:eastAsia="仿宋" w:hAnsi="仿宋" w:cs="宋体" w:hint="eastAsia"/>
                <w:color w:val="000000"/>
                <w:kern w:val="0"/>
                <w:sz w:val="24"/>
                <w:szCs w:val="24"/>
              </w:rPr>
              <w:t>7068</w:t>
            </w:r>
          </w:p>
        </w:tc>
      </w:tr>
      <w:tr w:rsidR="00AD01CD">
        <w:tc>
          <w:tcPr>
            <w:tcW w:w="354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基金运作方式</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契约型开放式</w:t>
            </w:r>
          </w:p>
        </w:tc>
      </w:tr>
      <w:tr w:rsidR="00AD01CD">
        <w:tc>
          <w:tcPr>
            <w:tcW w:w="354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基金合同生效日</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color w:val="000000"/>
                <w:kern w:val="0"/>
                <w:sz w:val="24"/>
                <w:szCs w:val="24"/>
              </w:rPr>
              <w:t>20</w:t>
            </w: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6</w:t>
            </w:r>
            <w:r>
              <w:rPr>
                <w:rFonts w:ascii="仿宋" w:eastAsia="仿宋" w:hAnsi="仿宋" w:cs="宋体" w:hint="eastAsia"/>
                <w:color w:val="000000"/>
                <w:kern w:val="0"/>
                <w:sz w:val="24"/>
                <w:szCs w:val="24"/>
              </w:rPr>
              <w:t>年</w:t>
            </w: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月</w:t>
            </w:r>
            <w:r>
              <w:rPr>
                <w:rFonts w:ascii="仿宋" w:eastAsia="仿宋" w:hAnsi="仿宋" w:cs="宋体" w:hint="eastAsia"/>
                <w:color w:val="000000"/>
                <w:kern w:val="0"/>
                <w:sz w:val="24"/>
                <w:szCs w:val="24"/>
              </w:rPr>
              <w:t>22</w:t>
            </w:r>
            <w:r>
              <w:rPr>
                <w:rFonts w:ascii="仿宋" w:eastAsia="仿宋" w:hAnsi="仿宋" w:cs="宋体" w:hint="eastAsia"/>
                <w:color w:val="000000"/>
                <w:kern w:val="0"/>
                <w:sz w:val="24"/>
                <w:szCs w:val="24"/>
              </w:rPr>
              <w:t>日</w:t>
            </w:r>
          </w:p>
        </w:tc>
      </w:tr>
      <w:tr w:rsidR="00AD01CD">
        <w:tc>
          <w:tcPr>
            <w:tcW w:w="354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基金管理人名称</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中加基金管理有限公司</w:t>
            </w:r>
          </w:p>
        </w:tc>
      </w:tr>
      <w:tr w:rsidR="00AD01CD">
        <w:tc>
          <w:tcPr>
            <w:tcW w:w="354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基金托管人名称</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广发银行</w:t>
            </w:r>
            <w:r>
              <w:rPr>
                <w:rFonts w:ascii="仿宋" w:eastAsia="仿宋" w:hAnsi="仿宋" w:cs="宋体" w:hint="eastAsia"/>
                <w:color w:val="000000"/>
                <w:kern w:val="0"/>
                <w:sz w:val="24"/>
                <w:szCs w:val="24"/>
              </w:rPr>
              <w:t>股份有限公司</w:t>
            </w:r>
          </w:p>
        </w:tc>
      </w:tr>
      <w:tr w:rsidR="00AD01CD">
        <w:trPr>
          <w:trHeight w:val="1934"/>
        </w:trPr>
        <w:tc>
          <w:tcPr>
            <w:tcW w:w="354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公告依据</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《中华人民共和国证券投资基金法》、《公开募集证券投资基金信息披露管理办法》、《公开募集证券投资基金运作管理办法》等法律法规以及《</w:t>
            </w:r>
            <w:r>
              <w:rPr>
                <w:rFonts w:ascii="仿宋" w:eastAsia="仿宋" w:hAnsi="仿宋" w:cs="宋体" w:hint="eastAsia"/>
                <w:color w:val="000000"/>
                <w:kern w:val="0"/>
                <w:sz w:val="24"/>
                <w:szCs w:val="24"/>
              </w:rPr>
              <w:t>中加科技先锋智选混合型发起式证券投资基金</w:t>
            </w:r>
            <w:r>
              <w:rPr>
                <w:rFonts w:ascii="仿宋" w:eastAsia="仿宋" w:hAnsi="仿宋" w:cs="宋体" w:hint="eastAsia"/>
                <w:color w:val="000000"/>
                <w:kern w:val="0"/>
                <w:sz w:val="24"/>
                <w:szCs w:val="24"/>
              </w:rPr>
              <w:t>基金合同》、《</w:t>
            </w:r>
            <w:r>
              <w:rPr>
                <w:rFonts w:ascii="仿宋" w:eastAsia="仿宋" w:hAnsi="仿宋" w:cs="宋体" w:hint="eastAsia"/>
                <w:color w:val="000000"/>
                <w:kern w:val="0"/>
                <w:sz w:val="24"/>
                <w:szCs w:val="24"/>
              </w:rPr>
              <w:t>中加科技先锋智选混合型发起式证券投资基金</w:t>
            </w:r>
            <w:r>
              <w:rPr>
                <w:rFonts w:ascii="仿宋" w:eastAsia="仿宋" w:hAnsi="仿宋" w:cs="宋体" w:hint="eastAsia"/>
                <w:color w:val="000000"/>
                <w:kern w:val="0"/>
                <w:sz w:val="24"/>
                <w:szCs w:val="24"/>
              </w:rPr>
              <w:t>招募说明书》</w:t>
            </w:r>
          </w:p>
        </w:tc>
      </w:tr>
      <w:tr w:rsidR="00AD01CD">
        <w:trPr>
          <w:trHeight w:val="90"/>
        </w:trPr>
        <w:tc>
          <w:tcPr>
            <w:tcW w:w="354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下属基金份额类别</w:t>
            </w:r>
            <w:r>
              <w:rPr>
                <w:rFonts w:ascii="仿宋" w:eastAsia="仿宋" w:hAnsi="仿宋" w:cs="宋体" w:hint="eastAsia"/>
                <w:color w:val="000000"/>
                <w:kern w:val="0"/>
                <w:sz w:val="24"/>
                <w:szCs w:val="24"/>
              </w:rPr>
              <w:t>的基金简称</w:t>
            </w:r>
          </w:p>
        </w:tc>
        <w:tc>
          <w:tcPr>
            <w:tcW w:w="310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中加科技先锋智选混合发起式</w:t>
            </w:r>
            <w:r>
              <w:rPr>
                <w:rFonts w:ascii="仿宋" w:eastAsia="仿宋" w:hAnsi="仿宋" w:cs="宋体" w:hint="eastAsia"/>
                <w:color w:val="000000"/>
                <w:kern w:val="0"/>
                <w:sz w:val="24"/>
                <w:szCs w:val="24"/>
              </w:rPr>
              <w:t>A</w:t>
            </w:r>
          </w:p>
        </w:tc>
        <w:tc>
          <w:tcPr>
            <w:tcW w:w="310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中加科技先锋智选混合发起式</w:t>
            </w:r>
            <w:r>
              <w:rPr>
                <w:rFonts w:ascii="仿宋" w:eastAsia="仿宋" w:hAnsi="仿宋" w:cs="宋体" w:hint="eastAsia"/>
                <w:color w:val="000000"/>
                <w:kern w:val="0"/>
                <w:sz w:val="24"/>
                <w:szCs w:val="24"/>
              </w:rPr>
              <w:t>C</w:t>
            </w:r>
          </w:p>
        </w:tc>
      </w:tr>
      <w:tr w:rsidR="00AD01CD">
        <w:trPr>
          <w:trHeight w:val="90"/>
        </w:trPr>
        <w:tc>
          <w:tcPr>
            <w:tcW w:w="354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下属基金份额类别</w:t>
            </w:r>
            <w:r>
              <w:rPr>
                <w:rFonts w:ascii="仿宋" w:eastAsia="仿宋" w:hAnsi="仿宋" w:cs="宋体" w:hint="eastAsia"/>
                <w:color w:val="000000"/>
                <w:kern w:val="0"/>
                <w:sz w:val="24"/>
                <w:szCs w:val="24"/>
              </w:rPr>
              <w:t>的交易</w:t>
            </w:r>
            <w:r>
              <w:rPr>
                <w:rFonts w:ascii="仿宋" w:eastAsia="仿宋" w:hAnsi="仿宋" w:cs="宋体" w:hint="eastAsia"/>
                <w:color w:val="000000"/>
                <w:kern w:val="0"/>
                <w:sz w:val="24"/>
                <w:szCs w:val="24"/>
              </w:rPr>
              <w:t>代码</w:t>
            </w:r>
          </w:p>
        </w:tc>
        <w:tc>
          <w:tcPr>
            <w:tcW w:w="310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027068</w:t>
            </w:r>
          </w:p>
        </w:tc>
        <w:tc>
          <w:tcPr>
            <w:tcW w:w="3104"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027069</w:t>
            </w:r>
          </w:p>
        </w:tc>
      </w:tr>
    </w:tbl>
    <w:p w:rsidR="00AD01CD" w:rsidRDefault="00AD01CD">
      <w:pPr>
        <w:autoSpaceDE w:val="0"/>
        <w:autoSpaceDN w:val="0"/>
        <w:adjustRightInd w:val="0"/>
        <w:spacing w:line="288" w:lineRule="auto"/>
        <w:jc w:val="left"/>
        <w:rPr>
          <w:rFonts w:ascii="黑体" w:eastAsia="黑体" w:hAnsi="黑体" w:cs="宋体"/>
          <w:bCs/>
          <w:color w:val="000000"/>
          <w:kern w:val="0"/>
          <w:sz w:val="32"/>
          <w:szCs w:val="32"/>
        </w:rPr>
      </w:pPr>
    </w:p>
    <w:p w:rsidR="00AD01CD" w:rsidRDefault="002A2ABB">
      <w:pPr>
        <w:autoSpaceDE w:val="0"/>
        <w:autoSpaceDN w:val="0"/>
        <w:adjustRightInd w:val="0"/>
        <w:spacing w:before="29" w:line="288" w:lineRule="auto"/>
        <w:ind w:leftChars="7" w:left="15"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二、基金募集情况</w:t>
      </w:r>
    </w:p>
    <w:tbl>
      <w:tblPr>
        <w:tblW w:w="9801" w:type="dxa"/>
        <w:tblInd w:w="108" w:type="dxa"/>
        <w:tblLayout w:type="fixed"/>
        <w:tblLook w:val="04A0"/>
      </w:tblPr>
      <w:tblGrid>
        <w:gridCol w:w="1976"/>
        <w:gridCol w:w="1751"/>
        <w:gridCol w:w="2032"/>
        <w:gridCol w:w="1963"/>
        <w:gridCol w:w="2079"/>
      </w:tblGrid>
      <w:tr w:rsidR="00AD01CD">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olor w:val="000000"/>
                <w:sz w:val="24"/>
                <w:szCs w:val="24"/>
              </w:rPr>
            </w:pPr>
            <w:r>
              <w:rPr>
                <w:rFonts w:ascii="仿宋" w:eastAsia="仿宋" w:hAnsi="仿宋" w:hint="eastAsia"/>
                <w:color w:val="000000"/>
                <w:sz w:val="24"/>
                <w:szCs w:val="24"/>
              </w:rPr>
              <w:t>基金募集申请获中国证监会核准</w:t>
            </w:r>
            <w:r>
              <w:rPr>
                <w:rFonts w:ascii="仿宋" w:eastAsia="仿宋" w:hAnsi="仿宋" w:hint="eastAsia"/>
                <w:color w:val="000000"/>
                <w:sz w:val="24"/>
                <w:szCs w:val="24"/>
              </w:rPr>
              <w:lastRenderedPageBreak/>
              <w:t>的文号</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证监许可【</w:t>
            </w:r>
            <w:r>
              <w:rPr>
                <w:rFonts w:ascii="仿宋" w:eastAsia="仿宋" w:hAnsi="仿宋" w:cs="宋体" w:hint="eastAsia"/>
                <w:color w:val="000000"/>
                <w:kern w:val="0"/>
                <w:sz w:val="24"/>
                <w:szCs w:val="24"/>
              </w:rPr>
              <w:t>2026</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470</w:t>
            </w:r>
            <w:r>
              <w:rPr>
                <w:rFonts w:ascii="仿宋" w:eastAsia="仿宋" w:hAnsi="仿宋" w:cs="宋体" w:hint="eastAsia"/>
                <w:color w:val="000000"/>
                <w:kern w:val="0"/>
                <w:sz w:val="24"/>
                <w:szCs w:val="24"/>
              </w:rPr>
              <w:t>号</w:t>
            </w:r>
          </w:p>
        </w:tc>
      </w:tr>
      <w:tr w:rsidR="00AD01CD">
        <w:trPr>
          <w:trHeight w:val="90"/>
        </w:trPr>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spacing w:line="530" w:lineRule="exact"/>
              <w:rPr>
                <w:rFonts w:ascii="仿宋" w:eastAsia="仿宋" w:hAnsi="仿宋"/>
                <w:color w:val="000000"/>
                <w:sz w:val="24"/>
                <w:szCs w:val="24"/>
              </w:rPr>
            </w:pPr>
            <w:r>
              <w:rPr>
                <w:rFonts w:ascii="仿宋" w:eastAsia="仿宋" w:hAnsi="仿宋" w:hint="eastAsia"/>
                <w:color w:val="000000"/>
                <w:sz w:val="24"/>
                <w:szCs w:val="24"/>
              </w:rPr>
              <w:lastRenderedPageBreak/>
              <w:t>基金募集期间</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AD01CD" w:rsidRDefault="002A2ABB">
            <w:pPr>
              <w:spacing w:line="530" w:lineRule="exact"/>
              <w:rPr>
                <w:rFonts w:ascii="仿宋" w:eastAsia="仿宋" w:hAnsi="仿宋"/>
                <w:color w:val="000000"/>
                <w:sz w:val="24"/>
                <w:szCs w:val="24"/>
              </w:rPr>
            </w:pPr>
            <w:r>
              <w:rPr>
                <w:rFonts w:ascii="仿宋" w:eastAsia="仿宋" w:hAnsi="仿宋" w:hint="eastAsia"/>
                <w:color w:val="000000"/>
                <w:sz w:val="24"/>
                <w:szCs w:val="24"/>
              </w:rPr>
              <w:t>自</w:t>
            </w:r>
            <w:r>
              <w:rPr>
                <w:rFonts w:ascii="仿宋" w:eastAsia="仿宋" w:hAnsi="仿宋" w:hint="eastAsia"/>
                <w:color w:val="000000"/>
                <w:sz w:val="24"/>
                <w:szCs w:val="24"/>
              </w:rPr>
              <w:t>202</w:t>
            </w:r>
            <w:r>
              <w:rPr>
                <w:rFonts w:ascii="仿宋" w:eastAsia="仿宋" w:hAnsi="仿宋" w:hint="eastAsia"/>
                <w:color w:val="000000"/>
                <w:sz w:val="24"/>
                <w:szCs w:val="24"/>
              </w:rPr>
              <w:t>6</w:t>
            </w:r>
            <w:r>
              <w:rPr>
                <w:rFonts w:ascii="仿宋" w:eastAsia="仿宋" w:hAnsi="仿宋" w:hint="eastAsia"/>
                <w:color w:val="000000"/>
                <w:sz w:val="24"/>
                <w:szCs w:val="24"/>
              </w:rPr>
              <w:t>年</w:t>
            </w:r>
            <w:r>
              <w:rPr>
                <w:rFonts w:ascii="仿宋" w:eastAsia="仿宋" w:hAnsi="仿宋" w:hint="eastAsia"/>
                <w:color w:val="000000"/>
                <w:sz w:val="24"/>
                <w:szCs w:val="24"/>
              </w:rPr>
              <w:t>4</w:t>
            </w:r>
            <w:r>
              <w:rPr>
                <w:rFonts w:ascii="仿宋" w:eastAsia="仿宋" w:hAnsi="仿宋" w:hint="eastAsia"/>
                <w:color w:val="000000"/>
                <w:sz w:val="24"/>
                <w:szCs w:val="24"/>
              </w:rPr>
              <w:t>月</w:t>
            </w:r>
            <w:r>
              <w:rPr>
                <w:rFonts w:ascii="仿宋" w:eastAsia="仿宋" w:hAnsi="仿宋" w:hint="eastAsia"/>
                <w:color w:val="000000"/>
                <w:sz w:val="24"/>
                <w:szCs w:val="24"/>
              </w:rPr>
              <w:t>20</w:t>
            </w:r>
            <w:r>
              <w:rPr>
                <w:rFonts w:ascii="仿宋" w:eastAsia="仿宋" w:hAnsi="仿宋" w:hint="eastAsia"/>
                <w:color w:val="000000"/>
                <w:sz w:val="24"/>
                <w:szCs w:val="24"/>
              </w:rPr>
              <w:t>日至</w:t>
            </w:r>
            <w:r>
              <w:rPr>
                <w:rFonts w:ascii="仿宋" w:eastAsia="仿宋" w:hAnsi="仿宋" w:hint="eastAsia"/>
                <w:color w:val="000000"/>
                <w:sz w:val="24"/>
                <w:szCs w:val="24"/>
              </w:rPr>
              <w:t>202</w:t>
            </w:r>
            <w:r>
              <w:rPr>
                <w:rFonts w:ascii="仿宋" w:eastAsia="仿宋" w:hAnsi="仿宋" w:hint="eastAsia"/>
                <w:color w:val="000000"/>
                <w:sz w:val="24"/>
                <w:szCs w:val="24"/>
              </w:rPr>
              <w:t>6</w:t>
            </w:r>
            <w:r>
              <w:rPr>
                <w:rFonts w:ascii="仿宋" w:eastAsia="仿宋" w:hAnsi="仿宋" w:hint="eastAsia"/>
                <w:color w:val="000000"/>
                <w:sz w:val="24"/>
                <w:szCs w:val="24"/>
              </w:rPr>
              <w:t>年</w:t>
            </w:r>
            <w:r>
              <w:rPr>
                <w:rFonts w:ascii="仿宋" w:eastAsia="仿宋" w:hAnsi="仿宋" w:hint="eastAsia"/>
                <w:color w:val="000000"/>
                <w:sz w:val="24"/>
                <w:szCs w:val="24"/>
              </w:rPr>
              <w:t>4</w:t>
            </w:r>
            <w:r>
              <w:rPr>
                <w:rFonts w:ascii="仿宋" w:eastAsia="仿宋" w:hAnsi="仿宋" w:hint="eastAsia"/>
                <w:color w:val="000000"/>
                <w:sz w:val="24"/>
                <w:szCs w:val="24"/>
              </w:rPr>
              <w:t>月</w:t>
            </w:r>
            <w:r>
              <w:rPr>
                <w:rFonts w:ascii="仿宋" w:eastAsia="仿宋" w:hAnsi="仿宋" w:hint="eastAsia"/>
                <w:color w:val="000000"/>
                <w:sz w:val="24"/>
                <w:szCs w:val="24"/>
              </w:rPr>
              <w:t>21</w:t>
            </w:r>
            <w:r>
              <w:rPr>
                <w:rFonts w:ascii="仿宋" w:eastAsia="仿宋" w:hAnsi="仿宋" w:hint="eastAsia"/>
                <w:color w:val="000000"/>
                <w:sz w:val="24"/>
                <w:szCs w:val="24"/>
              </w:rPr>
              <w:t>日止</w:t>
            </w:r>
          </w:p>
        </w:tc>
      </w:tr>
      <w:tr w:rsidR="00AD01CD">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spacing w:line="530" w:lineRule="exact"/>
              <w:rPr>
                <w:rFonts w:ascii="仿宋" w:eastAsia="仿宋" w:hAnsi="仿宋"/>
                <w:color w:val="000000"/>
                <w:sz w:val="24"/>
                <w:szCs w:val="24"/>
              </w:rPr>
            </w:pPr>
            <w:r>
              <w:rPr>
                <w:rFonts w:ascii="仿宋" w:eastAsia="仿宋" w:hAnsi="仿宋" w:hint="eastAsia"/>
                <w:color w:val="000000"/>
                <w:sz w:val="24"/>
                <w:szCs w:val="24"/>
              </w:rPr>
              <w:t>验资机构名称</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AD01CD" w:rsidRDefault="002A2ABB">
            <w:pPr>
              <w:spacing w:line="530" w:lineRule="exact"/>
              <w:rPr>
                <w:rFonts w:ascii="仿宋" w:eastAsia="仿宋" w:hAnsi="仿宋"/>
                <w:color w:val="000000"/>
                <w:sz w:val="24"/>
                <w:szCs w:val="24"/>
              </w:rPr>
            </w:pPr>
            <w:r>
              <w:rPr>
                <w:rFonts w:ascii="仿宋" w:eastAsia="仿宋" w:hAnsi="仿宋" w:hint="eastAsia"/>
                <w:color w:val="000000"/>
                <w:sz w:val="24"/>
                <w:szCs w:val="24"/>
              </w:rPr>
              <w:t>安永</w:t>
            </w:r>
            <w:r>
              <w:rPr>
                <w:rFonts w:ascii="仿宋" w:eastAsia="仿宋" w:hAnsi="仿宋" w:hint="eastAsia"/>
                <w:color w:val="000000"/>
                <w:sz w:val="24"/>
                <w:szCs w:val="24"/>
              </w:rPr>
              <w:t>华明</w:t>
            </w:r>
            <w:r>
              <w:rPr>
                <w:rFonts w:ascii="仿宋" w:eastAsia="仿宋" w:hAnsi="仿宋" w:hint="eastAsia"/>
                <w:color w:val="000000"/>
                <w:sz w:val="24"/>
                <w:szCs w:val="24"/>
              </w:rPr>
              <w:t>会计师事务所（特殊普通合伙）</w:t>
            </w:r>
          </w:p>
        </w:tc>
      </w:tr>
      <w:tr w:rsidR="00AD01CD">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募集资金划入基金托管专户的日期</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olor w:val="000000"/>
                <w:sz w:val="24"/>
                <w:szCs w:val="24"/>
              </w:rPr>
            </w:pPr>
            <w:r>
              <w:rPr>
                <w:rFonts w:ascii="仿宋" w:eastAsia="仿宋" w:hAnsi="仿宋" w:hint="eastAsia"/>
                <w:color w:val="000000"/>
                <w:sz w:val="24"/>
                <w:szCs w:val="24"/>
              </w:rPr>
              <w:t>202</w:t>
            </w:r>
            <w:r>
              <w:rPr>
                <w:rFonts w:ascii="仿宋" w:eastAsia="仿宋" w:hAnsi="仿宋" w:hint="eastAsia"/>
                <w:color w:val="000000"/>
                <w:sz w:val="24"/>
                <w:szCs w:val="24"/>
              </w:rPr>
              <w:t>6</w:t>
            </w:r>
            <w:r>
              <w:rPr>
                <w:rFonts w:ascii="仿宋" w:eastAsia="仿宋" w:hAnsi="仿宋" w:hint="eastAsia"/>
                <w:color w:val="000000"/>
                <w:sz w:val="24"/>
                <w:szCs w:val="24"/>
              </w:rPr>
              <w:t>年</w:t>
            </w:r>
            <w:r>
              <w:rPr>
                <w:rFonts w:ascii="仿宋" w:eastAsia="仿宋" w:hAnsi="仿宋" w:hint="eastAsia"/>
                <w:color w:val="000000"/>
                <w:sz w:val="24"/>
                <w:szCs w:val="24"/>
              </w:rPr>
              <w:t>4</w:t>
            </w:r>
            <w:r>
              <w:rPr>
                <w:rFonts w:ascii="仿宋" w:eastAsia="仿宋" w:hAnsi="仿宋" w:hint="eastAsia"/>
                <w:color w:val="000000"/>
                <w:sz w:val="24"/>
                <w:szCs w:val="24"/>
              </w:rPr>
              <w:t>月</w:t>
            </w:r>
            <w:r>
              <w:rPr>
                <w:rFonts w:ascii="仿宋" w:eastAsia="仿宋" w:hAnsi="仿宋" w:hint="eastAsia"/>
                <w:color w:val="000000"/>
                <w:sz w:val="24"/>
                <w:szCs w:val="24"/>
              </w:rPr>
              <w:t>22</w:t>
            </w:r>
            <w:r>
              <w:rPr>
                <w:rFonts w:ascii="仿宋" w:eastAsia="仿宋" w:hAnsi="仿宋" w:hint="eastAsia"/>
                <w:color w:val="000000"/>
                <w:sz w:val="24"/>
                <w:szCs w:val="24"/>
              </w:rPr>
              <w:t>日</w:t>
            </w:r>
          </w:p>
        </w:tc>
      </w:tr>
      <w:tr w:rsidR="00AD01CD">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募集有效认购总户数（单位：户）</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r>
      <w:tr w:rsidR="00AD01CD">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份额类别</w:t>
            </w:r>
          </w:p>
        </w:tc>
        <w:tc>
          <w:tcPr>
            <w:tcW w:w="2032"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中加科技先锋智选混合发起式</w:t>
            </w:r>
            <w:r>
              <w:rPr>
                <w:rFonts w:ascii="仿宋" w:eastAsia="仿宋" w:hAnsi="仿宋" w:cs="宋体" w:hint="eastAsia"/>
                <w:color w:val="000000"/>
                <w:kern w:val="0"/>
                <w:sz w:val="24"/>
                <w:szCs w:val="24"/>
              </w:rPr>
              <w:t>A</w:t>
            </w:r>
          </w:p>
        </w:tc>
        <w:tc>
          <w:tcPr>
            <w:tcW w:w="1963"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中加科技先锋智选混合发起式</w:t>
            </w:r>
            <w:r>
              <w:rPr>
                <w:rFonts w:ascii="仿宋" w:eastAsia="仿宋" w:hAnsi="仿宋" w:cs="宋体" w:hint="eastAsia"/>
                <w:color w:val="000000"/>
                <w:kern w:val="0"/>
                <w:sz w:val="24"/>
                <w:szCs w:val="24"/>
              </w:rPr>
              <w:t>C</w:t>
            </w:r>
          </w:p>
        </w:tc>
        <w:tc>
          <w:tcPr>
            <w:tcW w:w="2079"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中加科技先锋智选混合发起式</w:t>
            </w:r>
            <w:r>
              <w:rPr>
                <w:rFonts w:ascii="仿宋" w:eastAsia="仿宋" w:hAnsi="仿宋" w:cs="宋体" w:hint="eastAsia"/>
                <w:color w:val="000000"/>
                <w:kern w:val="0"/>
                <w:sz w:val="24"/>
                <w:szCs w:val="24"/>
              </w:rPr>
              <w:t>合计</w:t>
            </w:r>
          </w:p>
        </w:tc>
      </w:tr>
      <w:tr w:rsidR="00AD01CD">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募集期间净认购金额（单位：人民币元）</w:t>
            </w:r>
          </w:p>
        </w:tc>
        <w:tc>
          <w:tcPr>
            <w:tcW w:w="2032"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bookmarkStart w:id="1" w:name="_GoBack"/>
            <w:bookmarkEnd w:id="1"/>
            <w:r>
              <w:rPr>
                <w:rFonts w:ascii="仿宋" w:eastAsia="仿宋" w:hAnsi="仿宋" w:cs="宋体" w:hint="eastAsia"/>
                <w:color w:val="000000"/>
                <w:kern w:val="0"/>
                <w:sz w:val="24"/>
                <w:szCs w:val="24"/>
              </w:rPr>
              <w:t>0,005,110.00</w:t>
            </w:r>
          </w:p>
        </w:tc>
        <w:tc>
          <w:tcPr>
            <w:tcW w:w="1963"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10,005,110.00</w:t>
            </w:r>
          </w:p>
        </w:tc>
      </w:tr>
      <w:tr w:rsidR="00AD01CD">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认购资金在募集期间产生的利息（单位：人民币元）</w:t>
            </w:r>
          </w:p>
        </w:tc>
        <w:tc>
          <w:tcPr>
            <w:tcW w:w="2032"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lang/>
              </w:rPr>
              <w:t>0.05</w:t>
            </w:r>
          </w:p>
        </w:tc>
        <w:tc>
          <w:tcPr>
            <w:tcW w:w="1963"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lang/>
              </w:rPr>
              <w:t>0.05</w:t>
            </w:r>
          </w:p>
        </w:tc>
      </w:tr>
      <w:tr w:rsidR="00AD01CD">
        <w:tc>
          <w:tcPr>
            <w:tcW w:w="1976" w:type="dxa"/>
            <w:vMerge w:val="restart"/>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募集份额（单位：份）</w:t>
            </w:r>
          </w:p>
        </w:tc>
        <w:tc>
          <w:tcPr>
            <w:tcW w:w="1751"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有效认购份额</w:t>
            </w:r>
          </w:p>
        </w:tc>
        <w:tc>
          <w:tcPr>
            <w:tcW w:w="2032"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10,005,110.00</w:t>
            </w:r>
          </w:p>
        </w:tc>
        <w:tc>
          <w:tcPr>
            <w:tcW w:w="1963"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10,005,110.00</w:t>
            </w:r>
          </w:p>
        </w:tc>
      </w:tr>
      <w:tr w:rsidR="00AD01CD">
        <w:tc>
          <w:tcPr>
            <w:tcW w:w="1976" w:type="dxa"/>
            <w:vMerge/>
            <w:tcBorders>
              <w:top w:val="single" w:sz="8" w:space="0" w:color="000000"/>
              <w:left w:val="single" w:sz="8" w:space="0" w:color="000000"/>
              <w:bottom w:val="single" w:sz="8" w:space="0" w:color="000000"/>
              <w:right w:val="single" w:sz="8" w:space="0" w:color="000000"/>
            </w:tcBorders>
          </w:tcPr>
          <w:p w:rsidR="00AD01CD" w:rsidRDefault="00AD01CD">
            <w:pPr>
              <w:autoSpaceDE w:val="0"/>
              <w:autoSpaceDN w:val="0"/>
              <w:adjustRightInd w:val="0"/>
              <w:spacing w:line="288" w:lineRule="auto"/>
              <w:jc w:val="left"/>
              <w:rPr>
                <w:rFonts w:ascii="仿宋" w:eastAsia="仿宋" w:hAnsi="仿宋"/>
                <w:kern w:val="0"/>
                <w:sz w:val="24"/>
                <w:szCs w:val="24"/>
              </w:rPr>
            </w:pPr>
          </w:p>
        </w:tc>
        <w:tc>
          <w:tcPr>
            <w:tcW w:w="1751"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利息结转的份额</w:t>
            </w:r>
          </w:p>
        </w:tc>
        <w:tc>
          <w:tcPr>
            <w:tcW w:w="2032"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lang/>
              </w:rPr>
              <w:t>0.05</w:t>
            </w:r>
          </w:p>
        </w:tc>
        <w:tc>
          <w:tcPr>
            <w:tcW w:w="1963"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lang/>
              </w:rPr>
              <w:t>0.05</w:t>
            </w:r>
          </w:p>
        </w:tc>
      </w:tr>
      <w:tr w:rsidR="00AD01CD">
        <w:tc>
          <w:tcPr>
            <w:tcW w:w="1976" w:type="dxa"/>
            <w:vMerge/>
            <w:tcBorders>
              <w:top w:val="single" w:sz="8" w:space="0" w:color="000000"/>
              <w:left w:val="single" w:sz="8" w:space="0" w:color="000000"/>
              <w:bottom w:val="single" w:sz="8" w:space="0" w:color="000000"/>
              <w:right w:val="single" w:sz="8" w:space="0" w:color="000000"/>
            </w:tcBorders>
          </w:tcPr>
          <w:p w:rsidR="00AD01CD" w:rsidRDefault="00AD01CD">
            <w:pPr>
              <w:autoSpaceDE w:val="0"/>
              <w:autoSpaceDN w:val="0"/>
              <w:adjustRightInd w:val="0"/>
              <w:spacing w:line="288" w:lineRule="auto"/>
              <w:jc w:val="left"/>
              <w:rPr>
                <w:rFonts w:ascii="仿宋" w:eastAsia="仿宋" w:hAnsi="仿宋"/>
                <w:kern w:val="0"/>
                <w:sz w:val="24"/>
                <w:szCs w:val="24"/>
              </w:rPr>
            </w:pPr>
          </w:p>
        </w:tc>
        <w:tc>
          <w:tcPr>
            <w:tcW w:w="1751"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合计</w:t>
            </w:r>
          </w:p>
        </w:tc>
        <w:tc>
          <w:tcPr>
            <w:tcW w:w="2032"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lang/>
              </w:rPr>
            </w:pPr>
            <w:r>
              <w:rPr>
                <w:rFonts w:ascii="仿宋" w:eastAsia="仿宋" w:hAnsi="仿宋" w:cs="宋体" w:hint="eastAsia"/>
                <w:color w:val="000000"/>
                <w:kern w:val="0"/>
                <w:sz w:val="24"/>
                <w:szCs w:val="24"/>
                <w:lang/>
              </w:rPr>
              <w:t>10,005,110.05</w:t>
            </w:r>
          </w:p>
        </w:tc>
        <w:tc>
          <w:tcPr>
            <w:tcW w:w="1963"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lang/>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lang/>
              </w:rPr>
            </w:pPr>
            <w:r>
              <w:rPr>
                <w:rFonts w:ascii="仿宋" w:eastAsia="仿宋" w:hAnsi="仿宋" w:cs="宋体" w:hint="eastAsia"/>
                <w:color w:val="000000"/>
                <w:kern w:val="0"/>
                <w:sz w:val="24"/>
                <w:szCs w:val="24"/>
                <w:lang/>
              </w:rPr>
              <w:t>10,005,110.05</w:t>
            </w:r>
          </w:p>
        </w:tc>
      </w:tr>
      <w:tr w:rsidR="00AD01CD">
        <w:tc>
          <w:tcPr>
            <w:tcW w:w="1976" w:type="dxa"/>
            <w:vMerge w:val="restart"/>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其中：募集期间基金管理人运用固有资金认购本基金情况</w:t>
            </w:r>
          </w:p>
        </w:tc>
        <w:tc>
          <w:tcPr>
            <w:tcW w:w="1751"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认购的基金份额（单位：份）</w:t>
            </w:r>
          </w:p>
        </w:tc>
        <w:tc>
          <w:tcPr>
            <w:tcW w:w="2032"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10,000,000.00</w:t>
            </w:r>
          </w:p>
        </w:tc>
        <w:tc>
          <w:tcPr>
            <w:tcW w:w="1963"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olor w:val="000000"/>
                <w:sz w:val="24"/>
                <w:szCs w:val="24"/>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olor w:val="000000"/>
                <w:sz w:val="24"/>
                <w:szCs w:val="24"/>
              </w:rPr>
            </w:pPr>
            <w:r>
              <w:rPr>
                <w:rFonts w:ascii="仿宋" w:eastAsia="仿宋" w:hAnsi="仿宋" w:cs="宋体" w:hint="eastAsia"/>
                <w:color w:val="000000"/>
                <w:kern w:val="0"/>
                <w:sz w:val="24"/>
                <w:szCs w:val="24"/>
              </w:rPr>
              <w:t>10,000,000.00</w:t>
            </w:r>
          </w:p>
        </w:tc>
      </w:tr>
      <w:tr w:rsidR="00AD01CD">
        <w:tc>
          <w:tcPr>
            <w:tcW w:w="1976" w:type="dxa"/>
            <w:vMerge/>
            <w:tcBorders>
              <w:top w:val="single" w:sz="8" w:space="0" w:color="000000"/>
              <w:left w:val="single" w:sz="8" w:space="0" w:color="000000"/>
              <w:bottom w:val="single" w:sz="8" w:space="0" w:color="000000"/>
              <w:right w:val="single" w:sz="8" w:space="0" w:color="000000"/>
            </w:tcBorders>
          </w:tcPr>
          <w:p w:rsidR="00AD01CD" w:rsidRDefault="00AD01CD">
            <w:pPr>
              <w:autoSpaceDE w:val="0"/>
              <w:autoSpaceDN w:val="0"/>
              <w:adjustRightInd w:val="0"/>
              <w:spacing w:line="288" w:lineRule="auto"/>
              <w:jc w:val="left"/>
              <w:rPr>
                <w:rFonts w:ascii="仿宋" w:eastAsia="仿宋" w:hAnsi="仿宋"/>
                <w:kern w:val="0"/>
                <w:sz w:val="24"/>
                <w:szCs w:val="24"/>
              </w:rPr>
            </w:pPr>
          </w:p>
        </w:tc>
        <w:tc>
          <w:tcPr>
            <w:tcW w:w="1751"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占基金总份额比例</w:t>
            </w:r>
          </w:p>
        </w:tc>
        <w:tc>
          <w:tcPr>
            <w:tcW w:w="2032"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99.95%</w:t>
            </w:r>
          </w:p>
        </w:tc>
        <w:tc>
          <w:tcPr>
            <w:tcW w:w="1963"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99.95%</w:t>
            </w:r>
          </w:p>
        </w:tc>
      </w:tr>
      <w:tr w:rsidR="00AD01CD">
        <w:tc>
          <w:tcPr>
            <w:tcW w:w="1976" w:type="dxa"/>
            <w:vMerge/>
            <w:tcBorders>
              <w:top w:val="single" w:sz="8" w:space="0" w:color="000000"/>
              <w:left w:val="single" w:sz="8" w:space="0" w:color="000000"/>
              <w:bottom w:val="single" w:sz="8" w:space="0" w:color="000000"/>
              <w:right w:val="single" w:sz="8" w:space="0" w:color="000000"/>
            </w:tcBorders>
          </w:tcPr>
          <w:p w:rsidR="00AD01CD" w:rsidRDefault="00AD01CD">
            <w:pPr>
              <w:autoSpaceDE w:val="0"/>
              <w:autoSpaceDN w:val="0"/>
              <w:adjustRightInd w:val="0"/>
              <w:spacing w:line="288" w:lineRule="auto"/>
              <w:jc w:val="left"/>
              <w:rPr>
                <w:rFonts w:ascii="仿宋" w:eastAsia="仿宋" w:hAnsi="仿宋"/>
                <w:kern w:val="0"/>
                <w:sz w:val="24"/>
                <w:szCs w:val="24"/>
              </w:rPr>
            </w:pPr>
          </w:p>
        </w:tc>
        <w:tc>
          <w:tcPr>
            <w:tcW w:w="1751"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其他需要说明的事项</w:t>
            </w:r>
          </w:p>
        </w:tc>
        <w:tc>
          <w:tcPr>
            <w:tcW w:w="2032"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无</w:t>
            </w:r>
          </w:p>
        </w:tc>
        <w:tc>
          <w:tcPr>
            <w:tcW w:w="1963"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无</w:t>
            </w:r>
          </w:p>
        </w:tc>
        <w:tc>
          <w:tcPr>
            <w:tcW w:w="2079"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无</w:t>
            </w:r>
          </w:p>
        </w:tc>
      </w:tr>
      <w:tr w:rsidR="00AD01CD">
        <w:tc>
          <w:tcPr>
            <w:tcW w:w="1976" w:type="dxa"/>
            <w:vMerge w:val="restart"/>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其中：募集期间基金管理人的从业人员认购本基金情况</w:t>
            </w:r>
          </w:p>
        </w:tc>
        <w:tc>
          <w:tcPr>
            <w:tcW w:w="1751"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认购的基金份额（单位：份）</w:t>
            </w:r>
          </w:p>
        </w:tc>
        <w:tc>
          <w:tcPr>
            <w:tcW w:w="2032"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110.00</w:t>
            </w:r>
          </w:p>
        </w:tc>
        <w:tc>
          <w:tcPr>
            <w:tcW w:w="1963"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110.00</w:t>
            </w:r>
          </w:p>
        </w:tc>
      </w:tr>
      <w:tr w:rsidR="00AD01CD">
        <w:tc>
          <w:tcPr>
            <w:tcW w:w="1976" w:type="dxa"/>
            <w:vMerge/>
            <w:tcBorders>
              <w:top w:val="single" w:sz="8" w:space="0" w:color="000000"/>
              <w:left w:val="single" w:sz="8" w:space="0" w:color="000000"/>
              <w:bottom w:val="single" w:sz="8" w:space="0" w:color="000000"/>
              <w:right w:val="single" w:sz="8" w:space="0" w:color="000000"/>
            </w:tcBorders>
          </w:tcPr>
          <w:p w:rsidR="00AD01CD" w:rsidRDefault="00AD01CD">
            <w:pPr>
              <w:autoSpaceDE w:val="0"/>
              <w:autoSpaceDN w:val="0"/>
              <w:adjustRightInd w:val="0"/>
              <w:spacing w:line="288" w:lineRule="auto"/>
              <w:jc w:val="left"/>
              <w:rPr>
                <w:rFonts w:ascii="仿宋" w:eastAsia="仿宋" w:hAnsi="仿宋"/>
                <w:kern w:val="0"/>
                <w:sz w:val="24"/>
                <w:szCs w:val="24"/>
              </w:rPr>
            </w:pPr>
          </w:p>
        </w:tc>
        <w:tc>
          <w:tcPr>
            <w:tcW w:w="1751"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占基金总份额比例</w:t>
            </w:r>
          </w:p>
        </w:tc>
        <w:tc>
          <w:tcPr>
            <w:tcW w:w="2032"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1963"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r>
      <w:tr w:rsidR="00AD01CD">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募集期限届满基金是否符合法律法规规定的办理基金备案手续的条件</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是</w:t>
            </w:r>
          </w:p>
        </w:tc>
      </w:tr>
      <w:tr w:rsidR="00AD01CD">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向中国证监会办理基金备案手续获得书面确认的日期</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202</w:t>
            </w:r>
            <w:r>
              <w:rPr>
                <w:rFonts w:ascii="仿宋" w:eastAsia="仿宋" w:hAnsi="仿宋" w:cs="宋体" w:hint="eastAsia"/>
                <w:color w:val="000000"/>
                <w:kern w:val="0"/>
                <w:sz w:val="24"/>
                <w:szCs w:val="24"/>
              </w:rPr>
              <w:t>6</w:t>
            </w:r>
            <w:r>
              <w:rPr>
                <w:rFonts w:ascii="仿宋" w:eastAsia="仿宋" w:hAnsi="仿宋" w:cs="宋体" w:hint="eastAsia"/>
                <w:color w:val="000000"/>
                <w:kern w:val="0"/>
                <w:sz w:val="24"/>
                <w:szCs w:val="24"/>
              </w:rPr>
              <w:t>年</w:t>
            </w: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月</w:t>
            </w:r>
            <w:r>
              <w:rPr>
                <w:rFonts w:ascii="仿宋" w:eastAsia="仿宋" w:hAnsi="仿宋" w:cs="宋体" w:hint="eastAsia"/>
                <w:color w:val="000000"/>
                <w:kern w:val="0"/>
                <w:sz w:val="24"/>
                <w:szCs w:val="24"/>
              </w:rPr>
              <w:t>22</w:t>
            </w:r>
            <w:r>
              <w:rPr>
                <w:rFonts w:ascii="仿宋" w:eastAsia="仿宋" w:hAnsi="仿宋" w:cs="宋体" w:hint="eastAsia"/>
                <w:color w:val="000000"/>
                <w:kern w:val="0"/>
                <w:sz w:val="24"/>
                <w:szCs w:val="24"/>
              </w:rPr>
              <w:t>日</w:t>
            </w:r>
          </w:p>
        </w:tc>
      </w:tr>
    </w:tbl>
    <w:p w:rsidR="00AD01CD" w:rsidRDefault="002A2ABB">
      <w:pPr>
        <w:autoSpaceDE w:val="0"/>
        <w:autoSpaceDN w:val="0"/>
        <w:adjustRightInd w:val="0"/>
        <w:spacing w:before="29" w:line="600" w:lineRule="exact"/>
        <w:ind w:left="1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注：（</w:t>
      </w: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）按照有关法律规定，本基金合同生效前发生的与本基金有关的律师费、会计师费、信息披露费等费用不从基金资产中列支；</w:t>
      </w:r>
    </w:p>
    <w:p w:rsidR="00AD01CD" w:rsidRDefault="002A2ABB">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）本基金管理人高级管理人员、基金投资和研究部门负责人认购本基金份额总量的数量区间为</w:t>
      </w:r>
      <w:r>
        <w:rPr>
          <w:rFonts w:ascii="仿宋" w:eastAsia="仿宋" w:hAnsi="仿宋" w:cs="宋体" w:hint="eastAsia"/>
          <w:color w:val="000000"/>
          <w:kern w:val="0"/>
          <w:sz w:val="24"/>
          <w:szCs w:val="24"/>
        </w:rPr>
        <w:t>0</w:t>
      </w:r>
      <w:r>
        <w:rPr>
          <w:rFonts w:ascii="仿宋" w:eastAsia="仿宋" w:hAnsi="仿宋" w:cs="宋体" w:hint="eastAsia"/>
          <w:color w:val="000000"/>
          <w:kern w:val="0"/>
          <w:sz w:val="24"/>
          <w:szCs w:val="24"/>
        </w:rPr>
        <w:t>份；本基金的基金经理认购本基金份额总量的数量区间为</w:t>
      </w:r>
      <w:r>
        <w:rPr>
          <w:rFonts w:ascii="仿宋" w:eastAsia="仿宋" w:hAnsi="仿宋" w:cs="宋体" w:hint="eastAsia"/>
          <w:color w:val="000000"/>
          <w:kern w:val="0"/>
          <w:sz w:val="24"/>
          <w:szCs w:val="24"/>
        </w:rPr>
        <w:t>0</w:t>
      </w:r>
      <w:r>
        <w:rPr>
          <w:rFonts w:ascii="仿宋" w:eastAsia="仿宋" w:hAnsi="仿宋" w:cs="宋体" w:hint="eastAsia"/>
          <w:color w:val="000000"/>
          <w:kern w:val="0"/>
          <w:sz w:val="24"/>
          <w:szCs w:val="24"/>
        </w:rPr>
        <w:t>份。</w:t>
      </w:r>
    </w:p>
    <w:p w:rsidR="00AD01CD" w:rsidRDefault="00AD01CD">
      <w:pPr>
        <w:autoSpaceDE w:val="0"/>
        <w:autoSpaceDN w:val="0"/>
        <w:adjustRightInd w:val="0"/>
        <w:spacing w:line="288" w:lineRule="auto"/>
        <w:jc w:val="left"/>
        <w:rPr>
          <w:rFonts w:ascii="MS Sans Serif" w:eastAsia="宋体" w:hAnsi="MS Sans Serif" w:cs="MS Sans Serif"/>
          <w:color w:val="000000"/>
          <w:kern w:val="0"/>
          <w:sz w:val="23"/>
          <w:szCs w:val="23"/>
        </w:rPr>
      </w:pPr>
    </w:p>
    <w:p w:rsidR="00AD01CD" w:rsidRDefault="002A2ABB">
      <w:pPr>
        <w:autoSpaceDE w:val="0"/>
        <w:autoSpaceDN w:val="0"/>
        <w:adjustRightInd w:val="0"/>
        <w:spacing w:line="288" w:lineRule="auto"/>
        <w:ind w:firstLineChars="150" w:firstLine="480"/>
        <w:jc w:val="left"/>
        <w:outlineLvl w:val="0"/>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三、发起资金持有份额情况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8"/>
        <w:gridCol w:w="1869"/>
        <w:gridCol w:w="1038"/>
        <w:gridCol w:w="1881"/>
        <w:gridCol w:w="1085"/>
        <w:gridCol w:w="1930"/>
      </w:tblGrid>
      <w:tr w:rsidR="00AD01CD">
        <w:trPr>
          <w:trHeight w:val="334"/>
        </w:trPr>
        <w:tc>
          <w:tcPr>
            <w:tcW w:w="1978" w:type="dxa"/>
            <w:vAlign w:val="center"/>
          </w:tcPr>
          <w:p w:rsidR="00AD01CD" w:rsidRDefault="002A2ABB">
            <w:pPr>
              <w:autoSpaceDE w:val="0"/>
              <w:autoSpaceDN w:val="0"/>
              <w:adjustRightInd w:val="0"/>
              <w:spacing w:before="29" w:line="288" w:lineRule="auto"/>
              <w:ind w:firstLineChars="300" w:firstLine="720"/>
              <w:rPr>
                <w:rFonts w:ascii="仿宋" w:eastAsia="仿宋" w:hAnsi="仿宋" w:cs="宋体"/>
                <w:color w:val="000000"/>
                <w:kern w:val="0"/>
                <w:sz w:val="24"/>
                <w:szCs w:val="24"/>
              </w:rPr>
            </w:pPr>
            <w:r>
              <w:rPr>
                <w:rFonts w:ascii="仿宋" w:eastAsia="仿宋" w:hAnsi="仿宋" w:cs="宋体" w:hint="eastAsia"/>
                <w:color w:val="000000"/>
                <w:kern w:val="0"/>
                <w:sz w:val="24"/>
                <w:szCs w:val="24"/>
              </w:rPr>
              <w:t>项目</w:t>
            </w:r>
          </w:p>
        </w:tc>
        <w:tc>
          <w:tcPr>
            <w:tcW w:w="1869" w:type="dxa"/>
            <w:vAlign w:val="center"/>
          </w:tcPr>
          <w:p w:rsidR="00AD01CD" w:rsidRDefault="002A2ABB">
            <w:pPr>
              <w:autoSpaceDE w:val="0"/>
              <w:autoSpaceDN w:val="0"/>
              <w:adjustRightInd w:val="0"/>
              <w:spacing w:before="29"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持有份额总数</w:t>
            </w:r>
          </w:p>
        </w:tc>
        <w:tc>
          <w:tcPr>
            <w:tcW w:w="1038" w:type="dxa"/>
            <w:vAlign w:val="center"/>
          </w:tcPr>
          <w:p w:rsidR="00AD01CD" w:rsidRDefault="002A2ABB">
            <w:pPr>
              <w:autoSpaceDE w:val="0"/>
              <w:autoSpaceDN w:val="0"/>
              <w:adjustRightInd w:val="0"/>
              <w:spacing w:before="29" w:line="288" w:lineRule="auto"/>
              <w:ind w:left="15"/>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占基金总份额比例</w:t>
            </w:r>
          </w:p>
        </w:tc>
        <w:tc>
          <w:tcPr>
            <w:tcW w:w="1881" w:type="dxa"/>
            <w:vAlign w:val="center"/>
          </w:tcPr>
          <w:p w:rsidR="00AD01CD" w:rsidRDefault="002A2ABB">
            <w:pPr>
              <w:autoSpaceDE w:val="0"/>
              <w:autoSpaceDN w:val="0"/>
              <w:adjustRightInd w:val="0"/>
              <w:spacing w:before="29"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发起份额数</w:t>
            </w:r>
          </w:p>
        </w:tc>
        <w:tc>
          <w:tcPr>
            <w:tcW w:w="1085" w:type="dxa"/>
            <w:vAlign w:val="center"/>
          </w:tcPr>
          <w:p w:rsidR="00AD01CD" w:rsidRDefault="002A2ABB">
            <w:pPr>
              <w:autoSpaceDE w:val="0"/>
              <w:autoSpaceDN w:val="0"/>
              <w:adjustRightInd w:val="0"/>
              <w:spacing w:before="29" w:line="288" w:lineRule="auto"/>
              <w:ind w:left="15"/>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占基金总份额比例</w:t>
            </w:r>
          </w:p>
        </w:tc>
        <w:tc>
          <w:tcPr>
            <w:tcW w:w="1930" w:type="dxa"/>
            <w:vAlign w:val="center"/>
          </w:tcPr>
          <w:p w:rsidR="00AD01CD" w:rsidRDefault="002A2ABB">
            <w:pPr>
              <w:autoSpaceDE w:val="0"/>
              <w:autoSpaceDN w:val="0"/>
              <w:adjustRightInd w:val="0"/>
              <w:spacing w:before="29" w:line="288" w:lineRule="auto"/>
              <w:ind w:left="15"/>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发起份额承诺持有期限</w:t>
            </w:r>
          </w:p>
        </w:tc>
      </w:tr>
      <w:tr w:rsidR="00AD01CD">
        <w:tc>
          <w:tcPr>
            <w:tcW w:w="1978" w:type="dxa"/>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基金管理公司固有资金</w:t>
            </w:r>
          </w:p>
        </w:tc>
        <w:tc>
          <w:tcPr>
            <w:tcW w:w="1869" w:type="dxa"/>
          </w:tcPr>
          <w:p w:rsidR="00AD01CD" w:rsidRDefault="002A2ABB">
            <w:pPr>
              <w:autoSpaceDE w:val="0"/>
              <w:autoSpaceDN w:val="0"/>
              <w:adjustRightInd w:val="0"/>
              <w:spacing w:before="29" w:line="288" w:lineRule="auto"/>
              <w:ind w:left="15"/>
              <w:jc w:val="right"/>
              <w:rPr>
                <w:rFonts w:ascii="仿宋" w:eastAsia="仿宋" w:hAnsi="仿宋"/>
                <w:color w:val="000000"/>
                <w:sz w:val="24"/>
                <w:szCs w:val="24"/>
              </w:rPr>
            </w:pPr>
            <w:r>
              <w:rPr>
                <w:rFonts w:ascii="仿宋" w:eastAsia="仿宋" w:hAnsi="仿宋" w:hint="eastAsia"/>
                <w:color w:val="000000"/>
                <w:sz w:val="24"/>
                <w:szCs w:val="24"/>
              </w:rPr>
              <w:t>10,000,000.00</w:t>
            </w:r>
          </w:p>
        </w:tc>
        <w:tc>
          <w:tcPr>
            <w:tcW w:w="1038" w:type="dxa"/>
          </w:tcPr>
          <w:p w:rsidR="00AD01CD" w:rsidRDefault="002A2ABB">
            <w:pPr>
              <w:autoSpaceDE w:val="0"/>
              <w:autoSpaceDN w:val="0"/>
              <w:adjustRightInd w:val="0"/>
              <w:spacing w:before="29" w:line="288" w:lineRule="auto"/>
              <w:ind w:left="15"/>
              <w:jc w:val="right"/>
              <w:rPr>
                <w:rFonts w:ascii="仿宋" w:eastAsia="仿宋" w:hAnsi="仿宋"/>
                <w:color w:val="000000"/>
                <w:sz w:val="24"/>
                <w:szCs w:val="24"/>
              </w:rPr>
            </w:pPr>
            <w:r>
              <w:rPr>
                <w:rFonts w:ascii="仿宋" w:eastAsia="仿宋" w:hAnsi="仿宋" w:hint="eastAsia"/>
                <w:color w:val="000000"/>
                <w:sz w:val="24"/>
                <w:szCs w:val="24"/>
              </w:rPr>
              <w:t>99.95</w:t>
            </w:r>
            <w:r>
              <w:rPr>
                <w:rFonts w:ascii="仿宋" w:eastAsia="仿宋" w:hAnsi="仿宋" w:hint="eastAsia"/>
                <w:color w:val="000000"/>
                <w:sz w:val="24"/>
                <w:szCs w:val="24"/>
              </w:rPr>
              <w:t>%</w:t>
            </w:r>
          </w:p>
        </w:tc>
        <w:tc>
          <w:tcPr>
            <w:tcW w:w="1881" w:type="dxa"/>
          </w:tcPr>
          <w:p w:rsidR="00AD01CD" w:rsidRDefault="002A2ABB">
            <w:pPr>
              <w:autoSpaceDE w:val="0"/>
              <w:autoSpaceDN w:val="0"/>
              <w:adjustRightInd w:val="0"/>
              <w:spacing w:before="29" w:line="288" w:lineRule="auto"/>
              <w:ind w:left="15"/>
              <w:jc w:val="right"/>
              <w:rPr>
                <w:rFonts w:ascii="仿宋" w:eastAsia="仿宋" w:hAnsi="仿宋"/>
                <w:color w:val="000000"/>
                <w:sz w:val="24"/>
                <w:szCs w:val="24"/>
              </w:rPr>
            </w:pPr>
            <w:r>
              <w:rPr>
                <w:rFonts w:ascii="仿宋" w:eastAsia="仿宋" w:hAnsi="仿宋" w:hint="eastAsia"/>
                <w:color w:val="000000"/>
                <w:sz w:val="24"/>
                <w:szCs w:val="24"/>
              </w:rPr>
              <w:t>10,000,000.00</w:t>
            </w:r>
          </w:p>
        </w:tc>
        <w:tc>
          <w:tcPr>
            <w:tcW w:w="1085" w:type="dxa"/>
          </w:tcPr>
          <w:p w:rsidR="00AD01CD" w:rsidRDefault="002A2ABB">
            <w:pPr>
              <w:autoSpaceDE w:val="0"/>
              <w:autoSpaceDN w:val="0"/>
              <w:adjustRightInd w:val="0"/>
              <w:spacing w:before="29" w:line="288" w:lineRule="auto"/>
              <w:ind w:left="15"/>
              <w:jc w:val="right"/>
              <w:rPr>
                <w:rFonts w:ascii="仿宋" w:eastAsia="仿宋" w:hAnsi="仿宋"/>
                <w:color w:val="000000"/>
                <w:sz w:val="24"/>
                <w:szCs w:val="24"/>
              </w:rPr>
            </w:pPr>
            <w:r>
              <w:rPr>
                <w:rFonts w:ascii="仿宋" w:eastAsia="仿宋" w:hAnsi="仿宋" w:hint="eastAsia"/>
                <w:color w:val="000000"/>
                <w:sz w:val="24"/>
                <w:szCs w:val="24"/>
              </w:rPr>
              <w:t>99.95</w:t>
            </w:r>
            <w:r>
              <w:rPr>
                <w:rFonts w:ascii="仿宋" w:eastAsia="仿宋" w:hAnsi="仿宋" w:hint="eastAsia"/>
                <w:color w:val="000000"/>
                <w:sz w:val="24"/>
                <w:szCs w:val="24"/>
              </w:rPr>
              <w:t>%</w:t>
            </w:r>
          </w:p>
        </w:tc>
        <w:tc>
          <w:tcPr>
            <w:tcW w:w="1930" w:type="dxa"/>
          </w:tcPr>
          <w:p w:rsidR="00AD01CD" w:rsidRDefault="002A2ABB">
            <w:pPr>
              <w:autoSpaceDE w:val="0"/>
              <w:autoSpaceDN w:val="0"/>
              <w:adjustRightInd w:val="0"/>
              <w:spacing w:before="29" w:line="288" w:lineRule="auto"/>
              <w:ind w:left="15"/>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自合同生效之日起不少于</w:t>
            </w: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年</w:t>
            </w:r>
          </w:p>
        </w:tc>
      </w:tr>
      <w:tr w:rsidR="00AD01CD">
        <w:trPr>
          <w:trHeight w:val="1148"/>
        </w:trPr>
        <w:tc>
          <w:tcPr>
            <w:tcW w:w="1978" w:type="dxa"/>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基金管理公司高级管理人员</w:t>
            </w:r>
          </w:p>
        </w:tc>
        <w:tc>
          <w:tcPr>
            <w:tcW w:w="1869"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p>
        </w:tc>
        <w:tc>
          <w:tcPr>
            <w:tcW w:w="1038"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1881"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p>
        </w:tc>
        <w:tc>
          <w:tcPr>
            <w:tcW w:w="1085"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1930" w:type="dxa"/>
          </w:tcPr>
          <w:p w:rsidR="00AD01CD" w:rsidRDefault="002A2ABB">
            <w:pPr>
              <w:autoSpaceDE w:val="0"/>
              <w:autoSpaceDN w:val="0"/>
              <w:adjustRightInd w:val="0"/>
              <w:spacing w:before="29" w:line="288" w:lineRule="auto"/>
              <w:ind w:left="15"/>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D01CD">
        <w:tc>
          <w:tcPr>
            <w:tcW w:w="1978" w:type="dxa"/>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基金经理等人员</w:t>
            </w:r>
          </w:p>
        </w:tc>
        <w:tc>
          <w:tcPr>
            <w:tcW w:w="1869"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p>
        </w:tc>
        <w:tc>
          <w:tcPr>
            <w:tcW w:w="1038"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1881"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p>
        </w:tc>
        <w:tc>
          <w:tcPr>
            <w:tcW w:w="1085"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1930" w:type="dxa"/>
          </w:tcPr>
          <w:p w:rsidR="00AD01CD" w:rsidRDefault="002A2ABB">
            <w:pPr>
              <w:autoSpaceDE w:val="0"/>
              <w:autoSpaceDN w:val="0"/>
              <w:adjustRightInd w:val="0"/>
              <w:spacing w:before="29" w:line="288" w:lineRule="auto"/>
              <w:ind w:left="15"/>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D01CD">
        <w:tc>
          <w:tcPr>
            <w:tcW w:w="1978" w:type="dxa"/>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基金管理公司股东</w:t>
            </w:r>
          </w:p>
        </w:tc>
        <w:tc>
          <w:tcPr>
            <w:tcW w:w="1869"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p>
        </w:tc>
        <w:tc>
          <w:tcPr>
            <w:tcW w:w="1038"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1881"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p>
        </w:tc>
        <w:tc>
          <w:tcPr>
            <w:tcW w:w="1085"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1930" w:type="dxa"/>
          </w:tcPr>
          <w:p w:rsidR="00AD01CD" w:rsidRDefault="002A2ABB">
            <w:pPr>
              <w:autoSpaceDE w:val="0"/>
              <w:autoSpaceDN w:val="0"/>
              <w:adjustRightInd w:val="0"/>
              <w:spacing w:before="29" w:line="288" w:lineRule="auto"/>
              <w:ind w:left="15"/>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D01CD">
        <w:tc>
          <w:tcPr>
            <w:tcW w:w="1978" w:type="dxa"/>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其他</w:t>
            </w:r>
          </w:p>
        </w:tc>
        <w:tc>
          <w:tcPr>
            <w:tcW w:w="1869"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p>
        </w:tc>
        <w:tc>
          <w:tcPr>
            <w:tcW w:w="1038"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1881"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p>
        </w:tc>
        <w:tc>
          <w:tcPr>
            <w:tcW w:w="1085"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1930" w:type="dxa"/>
          </w:tcPr>
          <w:p w:rsidR="00AD01CD" w:rsidRDefault="002A2ABB">
            <w:pPr>
              <w:autoSpaceDE w:val="0"/>
              <w:autoSpaceDN w:val="0"/>
              <w:adjustRightInd w:val="0"/>
              <w:spacing w:before="29" w:line="288" w:lineRule="auto"/>
              <w:ind w:left="15"/>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D01CD">
        <w:tc>
          <w:tcPr>
            <w:tcW w:w="1978" w:type="dxa"/>
          </w:tcPr>
          <w:p w:rsidR="00AD01CD" w:rsidRDefault="002A2ABB">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合计</w:t>
            </w:r>
          </w:p>
        </w:tc>
        <w:tc>
          <w:tcPr>
            <w:tcW w:w="1869"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10,000,000.00</w:t>
            </w:r>
          </w:p>
        </w:tc>
        <w:tc>
          <w:tcPr>
            <w:tcW w:w="1038"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hint="eastAsia"/>
                <w:color w:val="000000"/>
                <w:sz w:val="24"/>
                <w:szCs w:val="24"/>
              </w:rPr>
              <w:t>99.95</w:t>
            </w:r>
            <w:r>
              <w:rPr>
                <w:rFonts w:ascii="仿宋" w:eastAsia="仿宋" w:hAnsi="仿宋" w:hint="eastAsia"/>
                <w:color w:val="000000"/>
                <w:sz w:val="24"/>
                <w:szCs w:val="24"/>
              </w:rPr>
              <w:t>%</w:t>
            </w:r>
          </w:p>
        </w:tc>
        <w:tc>
          <w:tcPr>
            <w:tcW w:w="1881"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10,000,000.00</w:t>
            </w:r>
          </w:p>
        </w:tc>
        <w:tc>
          <w:tcPr>
            <w:tcW w:w="1085" w:type="dxa"/>
          </w:tcPr>
          <w:p w:rsidR="00AD01CD" w:rsidRDefault="002A2ABB">
            <w:pPr>
              <w:autoSpaceDE w:val="0"/>
              <w:autoSpaceDN w:val="0"/>
              <w:adjustRightInd w:val="0"/>
              <w:spacing w:before="29" w:line="288" w:lineRule="auto"/>
              <w:ind w:left="15"/>
              <w:jc w:val="right"/>
              <w:rPr>
                <w:rFonts w:ascii="仿宋" w:eastAsia="仿宋" w:hAnsi="仿宋" w:cs="宋体"/>
                <w:color w:val="000000"/>
                <w:kern w:val="0"/>
                <w:sz w:val="24"/>
                <w:szCs w:val="24"/>
              </w:rPr>
            </w:pPr>
            <w:r>
              <w:rPr>
                <w:rFonts w:ascii="仿宋" w:eastAsia="仿宋" w:hAnsi="仿宋" w:hint="eastAsia"/>
                <w:color w:val="000000"/>
                <w:sz w:val="24"/>
                <w:szCs w:val="24"/>
              </w:rPr>
              <w:t>99.95</w:t>
            </w:r>
            <w:r>
              <w:rPr>
                <w:rFonts w:ascii="仿宋" w:eastAsia="仿宋" w:hAnsi="仿宋" w:hint="eastAsia"/>
                <w:color w:val="000000"/>
                <w:sz w:val="24"/>
                <w:szCs w:val="24"/>
              </w:rPr>
              <w:t>%</w:t>
            </w:r>
          </w:p>
        </w:tc>
        <w:tc>
          <w:tcPr>
            <w:tcW w:w="1930" w:type="dxa"/>
          </w:tcPr>
          <w:p w:rsidR="00AD01CD" w:rsidRDefault="002A2ABB">
            <w:pPr>
              <w:autoSpaceDE w:val="0"/>
              <w:autoSpaceDN w:val="0"/>
              <w:adjustRightInd w:val="0"/>
              <w:spacing w:before="29" w:line="288" w:lineRule="auto"/>
              <w:ind w:left="15"/>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自合同生效之日起不少于</w:t>
            </w: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年</w:t>
            </w:r>
          </w:p>
        </w:tc>
      </w:tr>
    </w:tbl>
    <w:p w:rsidR="00AD01CD" w:rsidRDefault="00AD01CD">
      <w:pPr>
        <w:autoSpaceDE w:val="0"/>
        <w:autoSpaceDN w:val="0"/>
        <w:adjustRightInd w:val="0"/>
        <w:spacing w:before="29" w:line="288" w:lineRule="auto"/>
        <w:ind w:leftChars="7" w:left="15" w:firstLineChars="200" w:firstLine="640"/>
        <w:jc w:val="left"/>
        <w:rPr>
          <w:rFonts w:ascii="黑体" w:eastAsia="黑体" w:hAnsi="黑体" w:cs="宋体"/>
          <w:bCs/>
          <w:color w:val="000000"/>
          <w:kern w:val="0"/>
          <w:sz w:val="32"/>
          <w:szCs w:val="32"/>
        </w:rPr>
      </w:pPr>
    </w:p>
    <w:p w:rsidR="00AD01CD" w:rsidRDefault="002A2ABB">
      <w:pPr>
        <w:autoSpaceDE w:val="0"/>
        <w:autoSpaceDN w:val="0"/>
        <w:adjustRightInd w:val="0"/>
        <w:spacing w:before="29" w:line="288" w:lineRule="auto"/>
        <w:ind w:leftChars="7" w:left="15"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四</w:t>
      </w:r>
      <w:r>
        <w:rPr>
          <w:rFonts w:ascii="黑体" w:eastAsia="黑体" w:hAnsi="黑体" w:cs="宋体" w:hint="eastAsia"/>
          <w:bCs/>
          <w:color w:val="000000"/>
          <w:kern w:val="0"/>
          <w:sz w:val="32"/>
          <w:szCs w:val="32"/>
        </w:rPr>
        <w:t>、其他需要提示的事项</w:t>
      </w:r>
    </w:p>
    <w:p w:rsidR="00AD01CD" w:rsidRDefault="002A2ABB">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）销售机构受理投资者认购申请并不代表申请成功，申请的成功与否须以本基金注册登记人的确认结果为准。基金份额持有人可以到销售机构的网点进行交易确认单的查询和打印，也可以通过本基金管理人的网站</w:t>
      </w:r>
      <w:r>
        <w:rPr>
          <w:rFonts w:ascii="仿宋" w:eastAsia="仿宋" w:hAnsi="仿宋" w:cs="宋体" w:hint="eastAsia"/>
          <w:color w:val="000000"/>
          <w:kern w:val="0"/>
          <w:sz w:val="24"/>
          <w:szCs w:val="24"/>
        </w:rPr>
        <w:t>(www.bobbns.com)</w:t>
      </w:r>
      <w:r>
        <w:rPr>
          <w:rFonts w:ascii="仿宋" w:eastAsia="仿宋" w:hAnsi="仿宋" w:cs="宋体" w:hint="eastAsia"/>
          <w:color w:val="000000"/>
          <w:kern w:val="0"/>
          <w:sz w:val="24"/>
          <w:szCs w:val="24"/>
        </w:rPr>
        <w:t>或客户服务电话</w:t>
      </w:r>
      <w:r>
        <w:rPr>
          <w:rFonts w:ascii="仿宋" w:eastAsia="仿宋" w:hAnsi="仿宋" w:cs="宋体" w:hint="eastAsia"/>
          <w:color w:val="000000"/>
          <w:kern w:val="0"/>
          <w:sz w:val="24"/>
          <w:szCs w:val="24"/>
        </w:rPr>
        <w:t>(400-00-95526)</w:t>
      </w:r>
      <w:r>
        <w:rPr>
          <w:rFonts w:ascii="仿宋" w:eastAsia="仿宋" w:hAnsi="仿宋" w:cs="宋体" w:hint="eastAsia"/>
          <w:color w:val="000000"/>
          <w:kern w:val="0"/>
          <w:sz w:val="24"/>
          <w:szCs w:val="24"/>
        </w:rPr>
        <w:t>查询交易确认情况；</w:t>
      </w:r>
    </w:p>
    <w:p w:rsidR="00AD01CD" w:rsidRDefault="002A2ABB">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）基金管理人自基金合同生效之日起不超过</w:t>
      </w: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个月开始办理申购，具体业务办理时间在申购开始公告中规定。基金管理人自基金合同生效之日起不超过</w:t>
      </w: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个月开始办理赎回，具体业务办理时间在赎回开始公告中规定。</w:t>
      </w:r>
    </w:p>
    <w:p w:rsidR="00AD01CD" w:rsidRDefault="002A2ABB">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在确定申购开始与赎回开始时间后，</w:t>
      </w:r>
      <w:r>
        <w:rPr>
          <w:rFonts w:ascii="仿宋" w:eastAsia="仿宋" w:hAnsi="仿宋" w:cs="宋体" w:hint="eastAsia"/>
          <w:color w:val="000000"/>
          <w:kern w:val="0"/>
          <w:sz w:val="24"/>
          <w:szCs w:val="24"/>
        </w:rPr>
        <w:t>基金管理人应在申购、赎回开放日前依照《信息披露办法》的有关规定进行公告。</w:t>
      </w:r>
    </w:p>
    <w:p w:rsidR="00AD01CD" w:rsidRDefault="002A2ABB">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基金管理人不得在基金合同约定之外的日期或者时间办理基金份额的申购、赎回或者转换。投资人在基金合同约定之外的日期和时间提出申购、赎回、转换申请且登记机构确认接受的，其基金份额申购、赎回价格为下一开放日该类基金份额申购、赎回的价格。</w:t>
      </w:r>
    </w:p>
    <w:p w:rsidR="00AD01CD" w:rsidRDefault="002A2ABB">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风险提示：</w:t>
      </w:r>
    </w:p>
    <w:p w:rsidR="00AD01CD" w:rsidRDefault="002A2ABB">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、本基金初始募集面值为人民币</w:t>
      </w:r>
      <w:r>
        <w:rPr>
          <w:rFonts w:ascii="仿宋" w:eastAsia="仿宋" w:hAnsi="仿宋" w:cs="宋体" w:hint="eastAsia"/>
          <w:color w:val="000000"/>
          <w:kern w:val="0"/>
          <w:sz w:val="24"/>
          <w:szCs w:val="24"/>
        </w:rPr>
        <w:t>1.00</w:t>
      </w:r>
      <w:r>
        <w:rPr>
          <w:rFonts w:ascii="仿宋" w:eastAsia="仿宋" w:hAnsi="仿宋" w:cs="宋体" w:hint="eastAsia"/>
          <w:color w:val="000000"/>
          <w:kern w:val="0"/>
          <w:sz w:val="24"/>
          <w:szCs w:val="24"/>
        </w:rPr>
        <w:t>元。在市场波动因素影响下，本基金净值可能低于初始面值，本基金投资者有可能出现亏损。</w:t>
      </w:r>
      <w:r>
        <w:rPr>
          <w:rFonts w:ascii="仿宋" w:eastAsia="仿宋" w:hAnsi="仿宋" w:cs="宋体" w:hint="eastAsia"/>
          <w:color w:val="000000"/>
          <w:kern w:val="0"/>
          <w:sz w:val="24"/>
          <w:szCs w:val="24"/>
        </w:rPr>
        <w:t xml:space="preserve"> </w:t>
      </w:r>
    </w:p>
    <w:p w:rsidR="00AD01CD" w:rsidRDefault="002A2ABB">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、基金的过往业绩并不预示其未来表现。基金管理人管理的其它基金的业</w:t>
      </w:r>
      <w:r>
        <w:rPr>
          <w:rFonts w:ascii="仿宋" w:eastAsia="仿宋" w:hAnsi="仿宋" w:cs="宋体" w:hint="eastAsia"/>
          <w:color w:val="000000"/>
          <w:kern w:val="0"/>
          <w:sz w:val="24"/>
          <w:szCs w:val="24"/>
        </w:rPr>
        <w:t>绩并不构成对本基金业绩表现的保证。</w:t>
      </w:r>
    </w:p>
    <w:p w:rsidR="00AD01CD" w:rsidRDefault="002A2ABB">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基金管理人依照恪尽职守、诚实信用、谨慎勤勉的原则管理和运用基金财产，但不保证基金一定盈利，也不保证最低收益。本公司提醒投资者在投资前认真阅读本基金的基金合同、招募说明书等文件，并选择与自身风险承受能力相匹配的投资品种进行投资。敬请投资者注意投资风险。</w:t>
      </w:r>
    </w:p>
    <w:p w:rsidR="00AD01CD" w:rsidRDefault="002A2ABB">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特此公告。</w:t>
      </w:r>
    </w:p>
    <w:p w:rsidR="00AD01CD" w:rsidRDefault="002A2ABB">
      <w:pPr>
        <w:autoSpaceDE w:val="0"/>
        <w:autoSpaceDN w:val="0"/>
        <w:adjustRightInd w:val="0"/>
        <w:spacing w:before="29" w:line="288" w:lineRule="auto"/>
        <w:ind w:leftChars="7" w:left="15" w:firstLineChars="2450" w:firstLine="68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中加基金管理有限公司</w:t>
      </w:r>
    </w:p>
    <w:p w:rsidR="00AD01CD" w:rsidRDefault="002A2ABB">
      <w:pPr>
        <w:autoSpaceDE w:val="0"/>
        <w:autoSpaceDN w:val="0"/>
        <w:adjustRightInd w:val="0"/>
        <w:spacing w:before="29" w:line="288" w:lineRule="auto"/>
        <w:ind w:left="15"/>
        <w:jc w:val="right"/>
        <w:rPr>
          <w:rFonts w:ascii="仿宋" w:eastAsia="仿宋" w:hAnsi="仿宋" w:cs="宋体"/>
          <w:color w:val="000000"/>
          <w:kern w:val="0"/>
          <w:sz w:val="28"/>
          <w:szCs w:val="28"/>
        </w:rPr>
      </w:pPr>
      <w:r>
        <w:rPr>
          <w:rFonts w:ascii="仿宋" w:eastAsia="仿宋" w:hAnsi="仿宋" w:cs="宋体"/>
          <w:color w:val="000000"/>
          <w:kern w:val="0"/>
          <w:sz w:val="28"/>
          <w:szCs w:val="28"/>
        </w:rPr>
        <w:t>20</w:t>
      </w:r>
      <w:r>
        <w:rPr>
          <w:rFonts w:ascii="仿宋" w:eastAsia="仿宋" w:hAnsi="仿宋" w:cs="宋体" w:hint="eastAsia"/>
          <w:color w:val="000000"/>
          <w:kern w:val="0"/>
          <w:sz w:val="28"/>
          <w:szCs w:val="28"/>
        </w:rPr>
        <w:t>2</w:t>
      </w:r>
      <w:r>
        <w:rPr>
          <w:rFonts w:ascii="仿宋" w:eastAsia="仿宋" w:hAnsi="仿宋" w:cs="宋体" w:hint="eastAsia"/>
          <w:color w:val="000000"/>
          <w:kern w:val="0"/>
          <w:sz w:val="28"/>
          <w:szCs w:val="28"/>
        </w:rPr>
        <w:t>6</w:t>
      </w:r>
      <w:r>
        <w:rPr>
          <w:rFonts w:ascii="仿宋" w:eastAsia="仿宋" w:hAnsi="仿宋" w:cs="宋体" w:hint="eastAsia"/>
          <w:color w:val="000000"/>
          <w:kern w:val="0"/>
          <w:sz w:val="28"/>
          <w:szCs w:val="28"/>
        </w:rPr>
        <w:t>年</w:t>
      </w:r>
      <w:r>
        <w:rPr>
          <w:rFonts w:ascii="仿宋" w:eastAsia="仿宋" w:hAnsi="仿宋" w:cs="宋体" w:hint="eastAsia"/>
          <w:color w:val="000000"/>
          <w:kern w:val="0"/>
          <w:sz w:val="28"/>
          <w:szCs w:val="28"/>
        </w:rPr>
        <w:t>4</w:t>
      </w:r>
      <w:r>
        <w:rPr>
          <w:rFonts w:ascii="仿宋" w:eastAsia="仿宋" w:hAnsi="仿宋" w:cs="宋体" w:hint="eastAsia"/>
          <w:color w:val="000000"/>
          <w:kern w:val="0"/>
          <w:sz w:val="28"/>
          <w:szCs w:val="28"/>
        </w:rPr>
        <w:t>月</w:t>
      </w:r>
      <w:r>
        <w:rPr>
          <w:rFonts w:ascii="仿宋" w:eastAsia="仿宋" w:hAnsi="仿宋" w:cs="宋体" w:hint="eastAsia"/>
          <w:color w:val="000000"/>
          <w:kern w:val="0"/>
          <w:sz w:val="28"/>
          <w:szCs w:val="28"/>
        </w:rPr>
        <w:t>23</w:t>
      </w:r>
      <w:r>
        <w:rPr>
          <w:rFonts w:ascii="仿宋" w:eastAsia="仿宋" w:hAnsi="仿宋" w:cs="宋体" w:hint="eastAsia"/>
          <w:color w:val="000000"/>
          <w:kern w:val="0"/>
          <w:sz w:val="28"/>
          <w:szCs w:val="28"/>
        </w:rPr>
        <w:t>日</w:t>
      </w:r>
    </w:p>
    <w:sectPr w:rsidR="00AD01CD" w:rsidSect="00AD01CD">
      <w:headerReference w:type="default" r:id="rId8"/>
      <w:footerReference w:type="default" r:id="rId9"/>
      <w:pgSz w:w="11907" w:h="16839"/>
      <w:pgMar w:top="1440" w:right="1080" w:bottom="1440" w:left="1080" w:header="851" w:footer="99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1CD" w:rsidRDefault="00AD01CD" w:rsidP="00AD01CD">
      <w:r>
        <w:separator/>
      </w:r>
    </w:p>
  </w:endnote>
  <w:endnote w:type="continuationSeparator" w:id="0">
    <w:p w:rsidR="00AD01CD" w:rsidRDefault="00AD01CD" w:rsidP="00AD0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微软雅黑"/>
    <w:charset w:val="86"/>
    <w:family w:val="auto"/>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roman"/>
    <w:pitch w:val="default"/>
    <w:sig w:usb0="00000000" w:usb1="38CF7CFA" w:usb2="00000016" w:usb3="00000000" w:csb0="00040001" w:csb1="00000000"/>
  </w:font>
  <w:font w:name="MS Sans Serif">
    <w:altName w:val="Arial"/>
    <w:charset w:val="00"/>
    <w:family w:val="decorative"/>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CD" w:rsidRDefault="00AD01CD">
    <w:pPr>
      <w:autoSpaceDE w:val="0"/>
      <w:autoSpaceDN w:val="0"/>
      <w:adjustRightInd w:val="0"/>
      <w:jc w:val="center"/>
      <w:rPr>
        <w:rFonts w:ascii="宋体" w:eastAsia="宋体"/>
        <w:kern w:val="0"/>
        <w:sz w:val="18"/>
        <w:szCs w:val="18"/>
      </w:rPr>
    </w:pPr>
    <w:r>
      <w:rPr>
        <w:rFonts w:ascii="宋体" w:eastAsia="宋体"/>
        <w:kern w:val="0"/>
        <w:sz w:val="18"/>
        <w:szCs w:val="18"/>
      </w:rPr>
      <w:fldChar w:fldCharType="begin"/>
    </w:r>
    <w:r w:rsidR="002A2ABB">
      <w:rPr>
        <w:rFonts w:ascii="宋体" w:eastAsia="宋体"/>
        <w:kern w:val="0"/>
        <w:sz w:val="18"/>
        <w:szCs w:val="18"/>
      </w:rPr>
      <w:instrText xml:space="preserve"> PAGE   \* MERGEFORMAT </w:instrText>
    </w:r>
    <w:r>
      <w:rPr>
        <w:rFonts w:ascii="宋体" w:eastAsia="宋体"/>
        <w:kern w:val="0"/>
        <w:sz w:val="18"/>
        <w:szCs w:val="18"/>
      </w:rPr>
      <w:fldChar w:fldCharType="separate"/>
    </w:r>
    <w:r w:rsidR="002A2ABB" w:rsidRPr="002A2ABB">
      <w:rPr>
        <w:rFonts w:ascii="宋体" w:eastAsia="宋体"/>
        <w:noProof/>
        <w:kern w:val="0"/>
        <w:sz w:val="18"/>
        <w:szCs w:val="18"/>
        <w:lang w:val="zh-CN"/>
      </w:rPr>
      <w:t>1</w:t>
    </w:r>
    <w:r>
      <w:rPr>
        <w:rFonts w:ascii="宋体" w:eastAsia="宋体"/>
        <w:kern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1CD" w:rsidRDefault="00AD01CD" w:rsidP="00AD01CD">
      <w:r>
        <w:separator/>
      </w:r>
    </w:p>
  </w:footnote>
  <w:footnote w:type="continuationSeparator" w:id="0">
    <w:p w:rsidR="00AD01CD" w:rsidRDefault="00AD01CD" w:rsidP="00AD01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CD" w:rsidRDefault="00AD01CD">
    <w:pPr>
      <w:autoSpaceDE w:val="0"/>
      <w:autoSpaceDN w:val="0"/>
      <w:adjustRightInd w:val="0"/>
      <w:jc w:val="left"/>
      <w:rPr>
        <w:rFonts w:ascii="宋体" w:eastAsia="宋体"/>
        <w:kern w:val="0"/>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trackRevisions/>
  <w:defaultTabStop w:val="720"/>
  <w:drawingGridHorizontalSpacing w:val="105"/>
  <w:drawingGridVerticalSpacing w:val="12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25FB9"/>
    <w:rsid w:val="00011178"/>
    <w:rsid w:val="000141D5"/>
    <w:rsid w:val="00025271"/>
    <w:rsid w:val="000268EF"/>
    <w:rsid w:val="0004319C"/>
    <w:rsid w:val="00043AAB"/>
    <w:rsid w:val="00047432"/>
    <w:rsid w:val="00047A6F"/>
    <w:rsid w:val="000629F4"/>
    <w:rsid w:val="00063A68"/>
    <w:rsid w:val="000652B8"/>
    <w:rsid w:val="000827C0"/>
    <w:rsid w:val="0009133B"/>
    <w:rsid w:val="00096C69"/>
    <w:rsid w:val="000A4AEE"/>
    <w:rsid w:val="000C1659"/>
    <w:rsid w:val="000D5634"/>
    <w:rsid w:val="000E6276"/>
    <w:rsid w:val="00104C6B"/>
    <w:rsid w:val="001168A9"/>
    <w:rsid w:val="00122DC7"/>
    <w:rsid w:val="00122E1F"/>
    <w:rsid w:val="00146A4B"/>
    <w:rsid w:val="00161393"/>
    <w:rsid w:val="00163F61"/>
    <w:rsid w:val="00181C74"/>
    <w:rsid w:val="00194098"/>
    <w:rsid w:val="00197EBF"/>
    <w:rsid w:val="001A5BBD"/>
    <w:rsid w:val="001A5F47"/>
    <w:rsid w:val="001A658D"/>
    <w:rsid w:val="001B2563"/>
    <w:rsid w:val="001B2B3C"/>
    <w:rsid w:val="001D3BDC"/>
    <w:rsid w:val="001F28C1"/>
    <w:rsid w:val="00205F39"/>
    <w:rsid w:val="00206836"/>
    <w:rsid w:val="00220716"/>
    <w:rsid w:val="00225FB9"/>
    <w:rsid w:val="00227AA2"/>
    <w:rsid w:val="00246C6D"/>
    <w:rsid w:val="002664C1"/>
    <w:rsid w:val="002A1263"/>
    <w:rsid w:val="002A2ABB"/>
    <w:rsid w:val="002A7BE2"/>
    <w:rsid w:val="002B17CA"/>
    <w:rsid w:val="002B3407"/>
    <w:rsid w:val="002C7CB7"/>
    <w:rsid w:val="002D4999"/>
    <w:rsid w:val="002E3208"/>
    <w:rsid w:val="0030758D"/>
    <w:rsid w:val="003110E8"/>
    <w:rsid w:val="00321D7F"/>
    <w:rsid w:val="00330BC4"/>
    <w:rsid w:val="00344AF3"/>
    <w:rsid w:val="003508E1"/>
    <w:rsid w:val="0036468D"/>
    <w:rsid w:val="0039345B"/>
    <w:rsid w:val="003B0114"/>
    <w:rsid w:val="003F2B1F"/>
    <w:rsid w:val="003F6A02"/>
    <w:rsid w:val="00410ED3"/>
    <w:rsid w:val="0041115C"/>
    <w:rsid w:val="00423F72"/>
    <w:rsid w:val="00442767"/>
    <w:rsid w:val="00451EAD"/>
    <w:rsid w:val="0046406C"/>
    <w:rsid w:val="00464322"/>
    <w:rsid w:val="004646E4"/>
    <w:rsid w:val="00467986"/>
    <w:rsid w:val="004745A0"/>
    <w:rsid w:val="004819BC"/>
    <w:rsid w:val="0048304D"/>
    <w:rsid w:val="004844A6"/>
    <w:rsid w:val="00487938"/>
    <w:rsid w:val="0049290F"/>
    <w:rsid w:val="004A0B5E"/>
    <w:rsid w:val="004B3371"/>
    <w:rsid w:val="004D4710"/>
    <w:rsid w:val="004D5B59"/>
    <w:rsid w:val="004E0A32"/>
    <w:rsid w:val="004E5D60"/>
    <w:rsid w:val="005111E4"/>
    <w:rsid w:val="00524A93"/>
    <w:rsid w:val="00532F1B"/>
    <w:rsid w:val="00557204"/>
    <w:rsid w:val="0056026F"/>
    <w:rsid w:val="00570A9B"/>
    <w:rsid w:val="00574EB9"/>
    <w:rsid w:val="0059792D"/>
    <w:rsid w:val="005A357C"/>
    <w:rsid w:val="005E332E"/>
    <w:rsid w:val="005E7BDB"/>
    <w:rsid w:val="005F5735"/>
    <w:rsid w:val="00634EB4"/>
    <w:rsid w:val="00637A63"/>
    <w:rsid w:val="00653EFF"/>
    <w:rsid w:val="0067648A"/>
    <w:rsid w:val="0068273A"/>
    <w:rsid w:val="00687CE8"/>
    <w:rsid w:val="00696542"/>
    <w:rsid w:val="00696CD5"/>
    <w:rsid w:val="006A2E6B"/>
    <w:rsid w:val="006A6F9E"/>
    <w:rsid w:val="006C10AD"/>
    <w:rsid w:val="006C5B05"/>
    <w:rsid w:val="006C6759"/>
    <w:rsid w:val="006F10B5"/>
    <w:rsid w:val="00714A8C"/>
    <w:rsid w:val="007320D0"/>
    <w:rsid w:val="0073419D"/>
    <w:rsid w:val="00763205"/>
    <w:rsid w:val="00763D8F"/>
    <w:rsid w:val="007A2383"/>
    <w:rsid w:val="007B02B4"/>
    <w:rsid w:val="007B23A9"/>
    <w:rsid w:val="007C0403"/>
    <w:rsid w:val="007C3AE6"/>
    <w:rsid w:val="007C6E33"/>
    <w:rsid w:val="007E3387"/>
    <w:rsid w:val="007E5A76"/>
    <w:rsid w:val="007E6B14"/>
    <w:rsid w:val="007F44B7"/>
    <w:rsid w:val="00847270"/>
    <w:rsid w:val="0089720D"/>
    <w:rsid w:val="008C4043"/>
    <w:rsid w:val="008C76DE"/>
    <w:rsid w:val="008D39D5"/>
    <w:rsid w:val="008E73A7"/>
    <w:rsid w:val="008F5C35"/>
    <w:rsid w:val="008F64A7"/>
    <w:rsid w:val="00934BC9"/>
    <w:rsid w:val="0095221E"/>
    <w:rsid w:val="00953704"/>
    <w:rsid w:val="00966850"/>
    <w:rsid w:val="00972EC6"/>
    <w:rsid w:val="00981C0F"/>
    <w:rsid w:val="009B0B51"/>
    <w:rsid w:val="009B3E86"/>
    <w:rsid w:val="009C37DF"/>
    <w:rsid w:val="009E59F0"/>
    <w:rsid w:val="009E61BB"/>
    <w:rsid w:val="00A0449F"/>
    <w:rsid w:val="00A05640"/>
    <w:rsid w:val="00A118FC"/>
    <w:rsid w:val="00A37091"/>
    <w:rsid w:val="00A5167D"/>
    <w:rsid w:val="00A51A3D"/>
    <w:rsid w:val="00A85720"/>
    <w:rsid w:val="00A90011"/>
    <w:rsid w:val="00AB01E7"/>
    <w:rsid w:val="00AB173C"/>
    <w:rsid w:val="00AC6836"/>
    <w:rsid w:val="00AC7C91"/>
    <w:rsid w:val="00AD01CD"/>
    <w:rsid w:val="00AD0B2B"/>
    <w:rsid w:val="00AD37C2"/>
    <w:rsid w:val="00AE163E"/>
    <w:rsid w:val="00AE3572"/>
    <w:rsid w:val="00AE5118"/>
    <w:rsid w:val="00AE7CA1"/>
    <w:rsid w:val="00AF36E9"/>
    <w:rsid w:val="00B00BDF"/>
    <w:rsid w:val="00B1050B"/>
    <w:rsid w:val="00B32E30"/>
    <w:rsid w:val="00B35055"/>
    <w:rsid w:val="00B36CE6"/>
    <w:rsid w:val="00B448C8"/>
    <w:rsid w:val="00B46A99"/>
    <w:rsid w:val="00B6479E"/>
    <w:rsid w:val="00B825A3"/>
    <w:rsid w:val="00B94D52"/>
    <w:rsid w:val="00BB1C8B"/>
    <w:rsid w:val="00BC721F"/>
    <w:rsid w:val="00BD28A2"/>
    <w:rsid w:val="00BD527D"/>
    <w:rsid w:val="00BF0A40"/>
    <w:rsid w:val="00C04DE2"/>
    <w:rsid w:val="00C07D05"/>
    <w:rsid w:val="00C11384"/>
    <w:rsid w:val="00C22F29"/>
    <w:rsid w:val="00C42744"/>
    <w:rsid w:val="00C52454"/>
    <w:rsid w:val="00C61398"/>
    <w:rsid w:val="00C64DE6"/>
    <w:rsid w:val="00C9061F"/>
    <w:rsid w:val="00CA6C89"/>
    <w:rsid w:val="00CB36B1"/>
    <w:rsid w:val="00CC4374"/>
    <w:rsid w:val="00CF2964"/>
    <w:rsid w:val="00CF6451"/>
    <w:rsid w:val="00D142F1"/>
    <w:rsid w:val="00D172DF"/>
    <w:rsid w:val="00D476EF"/>
    <w:rsid w:val="00D55977"/>
    <w:rsid w:val="00D6130A"/>
    <w:rsid w:val="00D620DE"/>
    <w:rsid w:val="00D64020"/>
    <w:rsid w:val="00D76721"/>
    <w:rsid w:val="00D963E8"/>
    <w:rsid w:val="00DB0E2F"/>
    <w:rsid w:val="00DC01D1"/>
    <w:rsid w:val="00DC118E"/>
    <w:rsid w:val="00DD3729"/>
    <w:rsid w:val="00DE25FC"/>
    <w:rsid w:val="00DE4DB1"/>
    <w:rsid w:val="00E03C89"/>
    <w:rsid w:val="00E158C4"/>
    <w:rsid w:val="00E32D0A"/>
    <w:rsid w:val="00E33F06"/>
    <w:rsid w:val="00E3618D"/>
    <w:rsid w:val="00E41666"/>
    <w:rsid w:val="00E63773"/>
    <w:rsid w:val="00E658BD"/>
    <w:rsid w:val="00E95449"/>
    <w:rsid w:val="00EA1392"/>
    <w:rsid w:val="00EB115F"/>
    <w:rsid w:val="00EB2838"/>
    <w:rsid w:val="00EF7919"/>
    <w:rsid w:val="00F14874"/>
    <w:rsid w:val="00F510EB"/>
    <w:rsid w:val="00F5399F"/>
    <w:rsid w:val="00F74694"/>
    <w:rsid w:val="00F97565"/>
    <w:rsid w:val="00FC0570"/>
    <w:rsid w:val="00FF2BA8"/>
    <w:rsid w:val="02526806"/>
    <w:rsid w:val="028140BC"/>
    <w:rsid w:val="03831A9B"/>
    <w:rsid w:val="04271570"/>
    <w:rsid w:val="04601EB4"/>
    <w:rsid w:val="05EC5ACD"/>
    <w:rsid w:val="062A2360"/>
    <w:rsid w:val="074E2338"/>
    <w:rsid w:val="09A57711"/>
    <w:rsid w:val="0A0F3A87"/>
    <w:rsid w:val="0A4F491F"/>
    <w:rsid w:val="0A7E3907"/>
    <w:rsid w:val="0B923B81"/>
    <w:rsid w:val="0C305DC2"/>
    <w:rsid w:val="0E13595B"/>
    <w:rsid w:val="0EDA02BA"/>
    <w:rsid w:val="0F2C3ED5"/>
    <w:rsid w:val="0F466144"/>
    <w:rsid w:val="0F4E6A70"/>
    <w:rsid w:val="0FFB7319"/>
    <w:rsid w:val="123C7A1A"/>
    <w:rsid w:val="12863DB9"/>
    <w:rsid w:val="13C27D27"/>
    <w:rsid w:val="14B52B2B"/>
    <w:rsid w:val="15C47D9E"/>
    <w:rsid w:val="16DB5646"/>
    <w:rsid w:val="198C294E"/>
    <w:rsid w:val="1A1D0232"/>
    <w:rsid w:val="1B985771"/>
    <w:rsid w:val="1C521221"/>
    <w:rsid w:val="1CC673D6"/>
    <w:rsid w:val="1D49219F"/>
    <w:rsid w:val="1EC216D4"/>
    <w:rsid w:val="1F8C13F6"/>
    <w:rsid w:val="20004394"/>
    <w:rsid w:val="20B213A2"/>
    <w:rsid w:val="210E67AD"/>
    <w:rsid w:val="2159664B"/>
    <w:rsid w:val="23182374"/>
    <w:rsid w:val="23DF58CC"/>
    <w:rsid w:val="242A5E31"/>
    <w:rsid w:val="24322B1B"/>
    <w:rsid w:val="250C75A0"/>
    <w:rsid w:val="255C36D1"/>
    <w:rsid w:val="256950F9"/>
    <w:rsid w:val="257F198D"/>
    <w:rsid w:val="26695918"/>
    <w:rsid w:val="2715524E"/>
    <w:rsid w:val="274719D6"/>
    <w:rsid w:val="27922519"/>
    <w:rsid w:val="27C3004C"/>
    <w:rsid w:val="27E94FAB"/>
    <w:rsid w:val="28246708"/>
    <w:rsid w:val="289B7506"/>
    <w:rsid w:val="2A1B2A3F"/>
    <w:rsid w:val="2A2A0F91"/>
    <w:rsid w:val="2AB148B9"/>
    <w:rsid w:val="2AE50BDF"/>
    <w:rsid w:val="2AF072E1"/>
    <w:rsid w:val="2B405C58"/>
    <w:rsid w:val="2B957C27"/>
    <w:rsid w:val="2CFD3307"/>
    <w:rsid w:val="2E265FFC"/>
    <w:rsid w:val="2F043F2A"/>
    <w:rsid w:val="2FFD54B6"/>
    <w:rsid w:val="30BE3DB8"/>
    <w:rsid w:val="310E5308"/>
    <w:rsid w:val="31FC72C3"/>
    <w:rsid w:val="32BF0A11"/>
    <w:rsid w:val="32E14BBB"/>
    <w:rsid w:val="32EA6E0D"/>
    <w:rsid w:val="33A71D77"/>
    <w:rsid w:val="33DF691A"/>
    <w:rsid w:val="34664F72"/>
    <w:rsid w:val="355D210E"/>
    <w:rsid w:val="35984D02"/>
    <w:rsid w:val="35BA1472"/>
    <w:rsid w:val="35C8317B"/>
    <w:rsid w:val="36957CA5"/>
    <w:rsid w:val="37785E41"/>
    <w:rsid w:val="38112730"/>
    <w:rsid w:val="383F1F86"/>
    <w:rsid w:val="39302645"/>
    <w:rsid w:val="3AF25223"/>
    <w:rsid w:val="3B7B721C"/>
    <w:rsid w:val="3CE53123"/>
    <w:rsid w:val="3D402DC2"/>
    <w:rsid w:val="3DA828C9"/>
    <w:rsid w:val="3E9958A6"/>
    <w:rsid w:val="3EAE41B5"/>
    <w:rsid w:val="3EBE6ECE"/>
    <w:rsid w:val="3EC01BC7"/>
    <w:rsid w:val="3ED10CC7"/>
    <w:rsid w:val="3F023E89"/>
    <w:rsid w:val="40986B36"/>
    <w:rsid w:val="41C77E21"/>
    <w:rsid w:val="42287954"/>
    <w:rsid w:val="424414FF"/>
    <w:rsid w:val="430771C7"/>
    <w:rsid w:val="441643D5"/>
    <w:rsid w:val="474934F8"/>
    <w:rsid w:val="47515D12"/>
    <w:rsid w:val="47E06317"/>
    <w:rsid w:val="49A91C74"/>
    <w:rsid w:val="49F65BA9"/>
    <w:rsid w:val="4D816203"/>
    <w:rsid w:val="4FB474A2"/>
    <w:rsid w:val="501748B5"/>
    <w:rsid w:val="50C53DE2"/>
    <w:rsid w:val="526756BF"/>
    <w:rsid w:val="52F36846"/>
    <w:rsid w:val="53063299"/>
    <w:rsid w:val="54C92813"/>
    <w:rsid w:val="55D46F30"/>
    <w:rsid w:val="574952E9"/>
    <w:rsid w:val="57FE0BED"/>
    <w:rsid w:val="582538EC"/>
    <w:rsid w:val="59F74D40"/>
    <w:rsid w:val="5B1623FD"/>
    <w:rsid w:val="5EE60E03"/>
    <w:rsid w:val="60102F85"/>
    <w:rsid w:val="60757611"/>
    <w:rsid w:val="62CC243F"/>
    <w:rsid w:val="635E7C03"/>
    <w:rsid w:val="63D35BAD"/>
    <w:rsid w:val="643B25F1"/>
    <w:rsid w:val="645D5087"/>
    <w:rsid w:val="64B57EDB"/>
    <w:rsid w:val="64BB590F"/>
    <w:rsid w:val="658479A5"/>
    <w:rsid w:val="65A95B2E"/>
    <w:rsid w:val="65F3117E"/>
    <w:rsid w:val="66E75D97"/>
    <w:rsid w:val="670A5956"/>
    <w:rsid w:val="6781349E"/>
    <w:rsid w:val="67E7750C"/>
    <w:rsid w:val="687A723E"/>
    <w:rsid w:val="68C6379B"/>
    <w:rsid w:val="696974AD"/>
    <w:rsid w:val="69D0330A"/>
    <w:rsid w:val="6AB94B24"/>
    <w:rsid w:val="6C07568D"/>
    <w:rsid w:val="6C1833A9"/>
    <w:rsid w:val="6CD94320"/>
    <w:rsid w:val="6D985ACA"/>
    <w:rsid w:val="6EBD66C5"/>
    <w:rsid w:val="7022064F"/>
    <w:rsid w:val="70581FFB"/>
    <w:rsid w:val="719A40A1"/>
    <w:rsid w:val="71FD2D49"/>
    <w:rsid w:val="72606BBD"/>
    <w:rsid w:val="72884937"/>
    <w:rsid w:val="72D249C9"/>
    <w:rsid w:val="736214A9"/>
    <w:rsid w:val="73BC5242"/>
    <w:rsid w:val="74C04A10"/>
    <w:rsid w:val="75307D2B"/>
    <w:rsid w:val="77C946A0"/>
    <w:rsid w:val="789D5C92"/>
    <w:rsid w:val="78E868BD"/>
    <w:rsid w:val="79883113"/>
    <w:rsid w:val="7AC640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1C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AD01CD"/>
    <w:rPr>
      <w:b/>
      <w:bCs/>
    </w:rPr>
  </w:style>
  <w:style w:type="paragraph" w:styleId="a4">
    <w:name w:val="annotation text"/>
    <w:basedOn w:val="a"/>
    <w:link w:val="Char0"/>
    <w:uiPriority w:val="99"/>
    <w:unhideWhenUsed/>
    <w:qFormat/>
    <w:rsid w:val="00AD01CD"/>
    <w:pPr>
      <w:jc w:val="left"/>
    </w:pPr>
  </w:style>
  <w:style w:type="paragraph" w:styleId="a5">
    <w:name w:val="Balloon Text"/>
    <w:basedOn w:val="a"/>
    <w:link w:val="Char1"/>
    <w:uiPriority w:val="99"/>
    <w:unhideWhenUsed/>
    <w:qFormat/>
    <w:rsid w:val="00AD01CD"/>
    <w:rPr>
      <w:sz w:val="18"/>
      <w:szCs w:val="18"/>
    </w:rPr>
  </w:style>
  <w:style w:type="paragraph" w:styleId="a6">
    <w:name w:val="footer"/>
    <w:basedOn w:val="a"/>
    <w:link w:val="Char2"/>
    <w:uiPriority w:val="99"/>
    <w:unhideWhenUsed/>
    <w:qFormat/>
    <w:rsid w:val="00AD01C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D01C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qFormat/>
    <w:rsid w:val="00AD01CD"/>
    <w:pPr>
      <w:snapToGrid w:val="0"/>
      <w:jc w:val="left"/>
    </w:pPr>
    <w:rPr>
      <w:rFonts w:ascii="Times New Roman" w:eastAsia="宋体" w:hAnsi="Times New Roman" w:cs="Times New Roman"/>
      <w:sz w:val="18"/>
      <w:szCs w:val="20"/>
    </w:rPr>
  </w:style>
  <w:style w:type="character" w:styleId="a9">
    <w:name w:val="annotation reference"/>
    <w:basedOn w:val="a0"/>
    <w:uiPriority w:val="99"/>
    <w:unhideWhenUsed/>
    <w:qFormat/>
    <w:rsid w:val="00AD01CD"/>
    <w:rPr>
      <w:sz w:val="21"/>
      <w:szCs w:val="21"/>
    </w:rPr>
  </w:style>
  <w:style w:type="character" w:styleId="aa">
    <w:name w:val="footnote reference"/>
    <w:basedOn w:val="a0"/>
    <w:qFormat/>
    <w:rsid w:val="00AD01CD"/>
    <w:rPr>
      <w:vertAlign w:val="superscript"/>
    </w:rPr>
  </w:style>
  <w:style w:type="character" w:customStyle="1" w:styleId="Char3">
    <w:name w:val="页眉 Char"/>
    <w:basedOn w:val="a0"/>
    <w:link w:val="a7"/>
    <w:uiPriority w:val="99"/>
    <w:qFormat/>
    <w:locked/>
    <w:rsid w:val="00AD01CD"/>
    <w:rPr>
      <w:rFonts w:cs="Times New Roman"/>
      <w:sz w:val="18"/>
      <w:szCs w:val="18"/>
    </w:rPr>
  </w:style>
  <w:style w:type="character" w:customStyle="1" w:styleId="Char2">
    <w:name w:val="页脚 Char"/>
    <w:basedOn w:val="a0"/>
    <w:link w:val="a6"/>
    <w:uiPriority w:val="99"/>
    <w:qFormat/>
    <w:locked/>
    <w:rsid w:val="00AD01CD"/>
    <w:rPr>
      <w:rFonts w:cs="Times New Roman"/>
      <w:sz w:val="18"/>
      <w:szCs w:val="18"/>
    </w:rPr>
  </w:style>
  <w:style w:type="character" w:customStyle="1" w:styleId="Char1">
    <w:name w:val="批注框文本 Char"/>
    <w:basedOn w:val="a0"/>
    <w:link w:val="a5"/>
    <w:uiPriority w:val="99"/>
    <w:semiHidden/>
    <w:qFormat/>
    <w:rsid w:val="00AD01CD"/>
    <w:rPr>
      <w:rFonts w:cstheme="minorBidi"/>
      <w:sz w:val="18"/>
      <w:szCs w:val="18"/>
    </w:rPr>
  </w:style>
  <w:style w:type="character" w:customStyle="1" w:styleId="Char4">
    <w:name w:val="脚注文本 Char"/>
    <w:basedOn w:val="a0"/>
    <w:link w:val="a8"/>
    <w:qFormat/>
    <w:rsid w:val="00AD01CD"/>
    <w:rPr>
      <w:rFonts w:ascii="Times New Roman" w:eastAsia="宋体" w:hAnsi="Times New Roman"/>
      <w:sz w:val="18"/>
      <w:szCs w:val="20"/>
    </w:rPr>
  </w:style>
  <w:style w:type="paragraph" w:customStyle="1" w:styleId="CharCharCharCharCharChar1CharCharChar">
    <w:name w:val="Char Char Char Char Char Char1 Char Char Char"/>
    <w:basedOn w:val="a"/>
    <w:qFormat/>
    <w:rsid w:val="00AD01CD"/>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0">
    <w:name w:val="批注文字 Char"/>
    <w:basedOn w:val="a0"/>
    <w:link w:val="a4"/>
    <w:uiPriority w:val="99"/>
    <w:semiHidden/>
    <w:qFormat/>
    <w:rsid w:val="00AD01CD"/>
    <w:rPr>
      <w:rFonts w:cstheme="minorBidi"/>
      <w:kern w:val="2"/>
      <w:sz w:val="21"/>
      <w:szCs w:val="22"/>
    </w:rPr>
  </w:style>
  <w:style w:type="character" w:customStyle="1" w:styleId="Char">
    <w:name w:val="批注主题 Char"/>
    <w:basedOn w:val="Char0"/>
    <w:link w:val="a3"/>
    <w:uiPriority w:val="99"/>
    <w:semiHidden/>
    <w:qFormat/>
    <w:rsid w:val="00AD01CD"/>
    <w:rPr>
      <w:rFonts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DED41-2EC3-4A64-AD58-DEB1C223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1884</Characters>
  <Application>Microsoft Office Word</Application>
  <DocSecurity>4</DocSecurity>
  <Lines>15</Lines>
  <Paragraphs>4</Paragraphs>
  <ScaleCrop>false</ScaleCrop>
  <Company>中加基金</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dc:creator>
  <cp:lastModifiedBy>ZHONGM</cp:lastModifiedBy>
  <cp:revision>2</cp:revision>
  <cp:lastPrinted>2019-11-29T01:05:00Z</cp:lastPrinted>
  <dcterms:created xsi:type="dcterms:W3CDTF">2026-04-22T16:02:00Z</dcterms:created>
  <dcterms:modified xsi:type="dcterms:W3CDTF">2026-04-22T16:02:00Z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KSOTemplateDocerSaveRecord">
    <vt:lpwstr>eyJoZGlkIjoiYzdmMWVhMzM1MWNlNWVkMWJhMDcxNGNjOTgzODIwMmEiLCJ1c2VySWQiOiIyODA2Mzc4MTUifQ==</vt:lpwstr>
  </property>
  <property fmtid="{D5CDD505-2E9C-101B-9397-08002B2CF9AE}" pid="4" name="ICV">
    <vt:lpwstr>9EF25A60FB6E4BB598380FC07553A13B_13</vt:lpwstr>
  </property>
</Properties>
</file>