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834E1">
      <w:pPr>
        <w:spacing w:line="540" w:lineRule="exact"/>
        <w:ind w:firstLineChars="50" w:firstLine="180"/>
        <w:jc w:val="center"/>
        <w:rPr>
          <w:rFonts w:ascii="仿宋" w:eastAsia="仿宋" w:hAnsi="仿宋" w:hint="eastAsia"/>
          <w:b/>
          <w:color w:val="000000"/>
          <w:sz w:val="36"/>
          <w:szCs w:val="36"/>
        </w:rPr>
      </w:pPr>
      <w:r>
        <w:rPr>
          <w:rFonts w:ascii="仿宋" w:eastAsia="仿宋" w:hAnsi="仿宋" w:hint="eastAsia"/>
          <w:b/>
          <w:color w:val="000000"/>
          <w:sz w:val="36"/>
          <w:szCs w:val="36"/>
        </w:rPr>
        <w:t>上海国泰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海通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证券资产管理有限公司</w:t>
      </w:r>
    </w:p>
    <w:p w:rsidR="00000000" w:rsidRDefault="007834E1">
      <w:pPr>
        <w:spacing w:line="540" w:lineRule="exact"/>
        <w:ind w:firstLineChars="50" w:firstLine="180"/>
        <w:jc w:val="center"/>
        <w:rPr>
          <w:rFonts w:ascii="仿宋" w:eastAsia="仿宋" w:hAnsi="仿宋"/>
          <w:b/>
          <w:color w:val="000000"/>
          <w:sz w:val="36"/>
          <w:szCs w:val="36"/>
        </w:rPr>
      </w:pPr>
      <w:r>
        <w:rPr>
          <w:rFonts w:ascii="仿宋" w:eastAsia="仿宋" w:hAnsi="仿宋" w:hint="eastAsia"/>
          <w:b/>
          <w:color w:val="000000"/>
          <w:sz w:val="36"/>
          <w:szCs w:val="36"/>
        </w:rPr>
        <w:t>旗下基金</w:t>
      </w:r>
      <w:r>
        <w:rPr>
          <w:rFonts w:ascii="仿宋" w:eastAsia="仿宋" w:hAnsi="仿宋"/>
          <w:b/>
          <w:color w:val="000000"/>
          <w:sz w:val="36"/>
          <w:szCs w:val="36"/>
        </w:rPr>
        <w:t>202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6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年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1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季度</w:t>
      </w:r>
      <w:r>
        <w:rPr>
          <w:rFonts w:ascii="仿宋" w:eastAsia="仿宋" w:hAnsi="仿宋" w:hint="eastAsia"/>
          <w:b/>
          <w:color w:val="000000"/>
          <w:sz w:val="36"/>
          <w:szCs w:val="36"/>
        </w:rPr>
        <w:t>报告提示性公告</w:t>
      </w:r>
    </w:p>
    <w:p w:rsidR="00000000" w:rsidRDefault="007834E1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</w:pPr>
    </w:p>
    <w:p w:rsidR="00000000" w:rsidRDefault="007834E1">
      <w:pPr>
        <w:spacing w:line="540" w:lineRule="exact"/>
        <w:ind w:firstLine="645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/>
          <w:color w:val="000000"/>
          <w:sz w:val="28"/>
          <w:szCs w:val="28"/>
        </w:rPr>
        <w:t>本公司董事会及董事保证</w:t>
      </w:r>
      <w:r>
        <w:rPr>
          <w:rFonts w:ascii="仿宋" w:eastAsia="仿宋" w:hAnsi="仿宋" w:hint="eastAsia"/>
          <w:color w:val="000000"/>
          <w:sz w:val="28"/>
          <w:szCs w:val="28"/>
        </w:rPr>
        <w:t>基金</w:t>
      </w:r>
      <w:r>
        <w:rPr>
          <w:rFonts w:ascii="仿宋" w:eastAsia="仿宋" w:hAnsi="仿宋"/>
          <w:color w:val="000000"/>
          <w:sz w:val="28"/>
          <w:szCs w:val="28"/>
        </w:rPr>
        <w:t>202</w:t>
      </w:r>
      <w:r>
        <w:rPr>
          <w:rFonts w:ascii="仿宋" w:eastAsia="仿宋" w:hAnsi="仿宋" w:hint="eastAsia"/>
          <w:color w:val="000000"/>
          <w:sz w:val="28"/>
          <w:szCs w:val="28"/>
        </w:rPr>
        <w:t>6</w:t>
      </w:r>
      <w:r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1</w:t>
      </w:r>
      <w:r>
        <w:rPr>
          <w:rFonts w:ascii="仿宋" w:eastAsia="仿宋" w:hAnsi="仿宋" w:hint="eastAsia"/>
          <w:color w:val="000000"/>
          <w:sz w:val="28"/>
          <w:szCs w:val="28"/>
        </w:rPr>
        <w:t>季度</w:t>
      </w:r>
      <w:r>
        <w:rPr>
          <w:rFonts w:ascii="仿宋" w:eastAsia="仿宋" w:hAnsi="仿宋"/>
          <w:color w:val="000000"/>
          <w:sz w:val="28"/>
          <w:szCs w:val="28"/>
        </w:rPr>
        <w:t>报告所载资料不存在虚假记载、误导性陈述或重大遗漏，并对其内容的真实性、准确性和完整性承担个别及连带责任。</w:t>
      </w:r>
    </w:p>
    <w:p w:rsidR="00000000" w:rsidRDefault="007834E1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上海国泰</w:t>
      </w:r>
      <w:r>
        <w:rPr>
          <w:rFonts w:ascii="仿宋" w:eastAsia="仿宋" w:hAnsi="仿宋" w:hint="eastAsia"/>
          <w:color w:val="000000"/>
          <w:sz w:val="28"/>
          <w:szCs w:val="28"/>
        </w:rPr>
        <w:t>海通</w:t>
      </w:r>
      <w:r>
        <w:rPr>
          <w:rFonts w:ascii="仿宋" w:eastAsia="仿宋" w:hAnsi="仿宋" w:hint="eastAsia"/>
          <w:color w:val="000000"/>
          <w:sz w:val="28"/>
          <w:szCs w:val="28"/>
        </w:rPr>
        <w:t>证券资产管理有限公司旗下</w:t>
      </w:r>
      <w:r>
        <w:rPr>
          <w:rFonts w:ascii="仿宋" w:eastAsia="仿宋" w:hAnsi="仿宋" w:hint="eastAsia"/>
          <w:color w:val="000000"/>
          <w:sz w:val="28"/>
          <w:szCs w:val="28"/>
        </w:rPr>
        <w:t>的</w:t>
      </w:r>
      <w:r>
        <w:rPr>
          <w:rFonts w:ascii="仿宋" w:eastAsia="仿宋" w:hAnsi="仿宋" w:hint="eastAsia"/>
          <w:color w:val="000000"/>
          <w:sz w:val="28"/>
          <w:szCs w:val="28"/>
        </w:rPr>
        <w:t>72</w:t>
      </w:r>
      <w:r>
        <w:rPr>
          <w:rFonts w:ascii="仿宋" w:eastAsia="仿宋" w:hAnsi="仿宋" w:hint="eastAsia"/>
          <w:color w:val="000000"/>
          <w:sz w:val="28"/>
          <w:szCs w:val="28"/>
        </w:rPr>
        <w:t>只基金</w:t>
      </w:r>
      <w:r>
        <w:rPr>
          <w:rFonts w:ascii="仿宋" w:eastAsia="仿宋" w:hAnsi="仿宋" w:hint="eastAsia"/>
          <w:color w:val="000000"/>
          <w:sz w:val="28"/>
          <w:szCs w:val="28"/>
        </w:rPr>
        <w:t>202</w:t>
      </w:r>
      <w:r>
        <w:rPr>
          <w:rFonts w:ascii="仿宋" w:eastAsia="仿宋" w:hAnsi="仿宋" w:hint="eastAsia"/>
          <w:color w:val="000000"/>
          <w:sz w:val="28"/>
          <w:szCs w:val="28"/>
        </w:rPr>
        <w:t>6</w:t>
      </w:r>
      <w:r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1</w:t>
      </w:r>
      <w:r>
        <w:rPr>
          <w:rFonts w:ascii="仿宋" w:eastAsia="仿宋" w:hAnsi="仿宋" w:hint="eastAsia"/>
          <w:color w:val="000000"/>
          <w:sz w:val="28"/>
          <w:szCs w:val="28"/>
        </w:rPr>
        <w:t>季度</w:t>
      </w:r>
      <w:r>
        <w:rPr>
          <w:rFonts w:ascii="仿宋" w:eastAsia="仿宋" w:hAnsi="仿宋" w:hint="eastAsia"/>
          <w:color w:val="000000"/>
          <w:sz w:val="28"/>
          <w:szCs w:val="28"/>
        </w:rPr>
        <w:t>报告全文于</w:t>
      </w:r>
      <w:r>
        <w:rPr>
          <w:rFonts w:ascii="仿宋" w:eastAsia="仿宋" w:hAnsi="仿宋" w:hint="eastAsia"/>
          <w:color w:val="000000"/>
          <w:sz w:val="28"/>
          <w:szCs w:val="28"/>
        </w:rPr>
        <w:t>202</w:t>
      </w:r>
      <w:r>
        <w:rPr>
          <w:rFonts w:ascii="仿宋" w:eastAsia="仿宋" w:hAnsi="仿宋" w:hint="eastAsia"/>
          <w:color w:val="000000"/>
          <w:sz w:val="28"/>
          <w:szCs w:val="28"/>
        </w:rPr>
        <w:t>6</w:t>
      </w:r>
      <w:r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4</w:t>
      </w:r>
      <w:r>
        <w:rPr>
          <w:rFonts w:ascii="仿宋" w:eastAsia="仿宋" w:hAnsi="仿宋" w:hint="eastAsia"/>
          <w:color w:val="000000"/>
          <w:sz w:val="28"/>
          <w:szCs w:val="28"/>
        </w:rPr>
        <w:t>月</w:t>
      </w:r>
      <w:r>
        <w:rPr>
          <w:rFonts w:ascii="仿宋" w:eastAsia="仿宋" w:hAnsi="仿宋" w:hint="eastAsia"/>
          <w:color w:val="000000"/>
          <w:sz w:val="28"/>
          <w:szCs w:val="28"/>
        </w:rPr>
        <w:t>22</w:t>
      </w:r>
      <w:r>
        <w:rPr>
          <w:rFonts w:ascii="仿宋" w:eastAsia="仿宋" w:hAnsi="仿宋" w:hint="eastAsia"/>
          <w:color w:val="000000"/>
          <w:sz w:val="28"/>
          <w:szCs w:val="28"/>
        </w:rPr>
        <w:t>日在本公司网站（</w:t>
      </w:r>
      <w:r>
        <w:rPr>
          <w:rFonts w:ascii="仿宋" w:eastAsia="仿宋" w:hAnsi="仿宋" w:hint="eastAsia"/>
          <w:color w:val="000000"/>
          <w:sz w:val="28"/>
          <w:szCs w:val="28"/>
        </w:rPr>
        <w:t>http://w</w:t>
      </w:r>
      <w:r>
        <w:rPr>
          <w:rFonts w:ascii="仿宋" w:eastAsia="仿宋" w:hAnsi="仿宋"/>
          <w:color w:val="000000"/>
          <w:sz w:val="28"/>
          <w:szCs w:val="28"/>
        </w:rPr>
        <w:t>ww.gt</w:t>
      </w:r>
      <w:r>
        <w:rPr>
          <w:rFonts w:ascii="仿宋" w:eastAsia="仿宋" w:hAnsi="仿宋" w:hint="eastAsia"/>
          <w:color w:val="000000"/>
          <w:sz w:val="28"/>
          <w:szCs w:val="28"/>
        </w:rPr>
        <w:t>ht</w:t>
      </w:r>
      <w:r>
        <w:rPr>
          <w:rFonts w:ascii="仿宋" w:eastAsia="仿宋" w:hAnsi="仿宋"/>
          <w:color w:val="000000"/>
          <w:sz w:val="28"/>
          <w:szCs w:val="28"/>
        </w:rPr>
        <w:t>zg.com</w:t>
      </w:r>
      <w:r>
        <w:rPr>
          <w:rFonts w:ascii="仿宋" w:eastAsia="仿宋" w:hAnsi="仿宋" w:hint="eastAsia"/>
          <w:color w:val="000000"/>
          <w:sz w:val="28"/>
          <w:szCs w:val="28"/>
        </w:rPr>
        <w:t>）和中国证监会基金电子</w:t>
      </w:r>
      <w:r>
        <w:rPr>
          <w:rFonts w:ascii="仿宋" w:eastAsia="仿宋" w:hAnsi="仿宋"/>
          <w:color w:val="000000"/>
          <w:sz w:val="28"/>
          <w:szCs w:val="28"/>
        </w:rPr>
        <w:t>披露网站</w:t>
      </w:r>
      <w:r>
        <w:rPr>
          <w:rFonts w:ascii="仿宋" w:eastAsia="仿宋" w:hAnsi="仿宋" w:hint="eastAsia"/>
          <w:color w:val="000000"/>
          <w:sz w:val="28"/>
          <w:szCs w:val="28"/>
        </w:rPr>
        <w:t>（</w:t>
      </w:r>
      <w:hyperlink r:id="rId7" w:history="1">
        <w:r>
          <w:rPr>
            <w:rFonts w:ascii="仿宋" w:eastAsia="仿宋" w:hAnsi="仿宋" w:hint="eastAsia"/>
            <w:color w:val="000000"/>
            <w:sz w:val="28"/>
            <w:szCs w:val="28"/>
          </w:rPr>
          <w:t>http://eid.</w:t>
        </w:r>
        <w:r>
          <w:rPr>
            <w:rFonts w:ascii="仿宋" w:eastAsia="仿宋" w:hAnsi="仿宋" w:hint="eastAsia"/>
            <w:color w:val="000000"/>
            <w:sz w:val="28"/>
            <w:szCs w:val="28"/>
          </w:rPr>
          <w:t>csrc.gov.cn/fund</w:t>
        </w:r>
      </w:hyperlink>
      <w:r>
        <w:rPr>
          <w:rFonts w:ascii="仿宋" w:eastAsia="仿宋" w:hAnsi="仿宋" w:hint="eastAsia"/>
          <w:color w:val="000000"/>
          <w:sz w:val="28"/>
          <w:szCs w:val="28"/>
        </w:rPr>
        <w:t>）披露</w:t>
      </w:r>
      <w:r>
        <w:rPr>
          <w:rFonts w:ascii="仿宋" w:eastAsia="仿宋" w:hAnsi="仿宋"/>
          <w:color w:val="000000"/>
          <w:sz w:val="28"/>
          <w:szCs w:val="28"/>
        </w:rPr>
        <w:t>，供投资者查阅。</w:t>
      </w:r>
      <w:r>
        <w:rPr>
          <w:rFonts w:ascii="仿宋" w:eastAsia="仿宋" w:hAnsi="仿宋" w:hint="eastAsia"/>
          <w:color w:val="000000"/>
          <w:sz w:val="28"/>
          <w:szCs w:val="28"/>
        </w:rPr>
        <w:t>如有疑问可拨打本公司客服电话（</w:t>
      </w:r>
      <w:r>
        <w:rPr>
          <w:rFonts w:ascii="仿宋" w:eastAsia="仿宋" w:hAnsi="仿宋" w:hint="eastAsia"/>
          <w:color w:val="000000"/>
          <w:sz w:val="28"/>
          <w:szCs w:val="28"/>
        </w:rPr>
        <w:t>9</w:t>
      </w:r>
      <w:r>
        <w:rPr>
          <w:rFonts w:ascii="仿宋" w:eastAsia="仿宋" w:hAnsi="仿宋"/>
          <w:color w:val="000000"/>
          <w:sz w:val="28"/>
          <w:szCs w:val="28"/>
        </w:rPr>
        <w:t>5521</w:t>
      </w:r>
      <w:r>
        <w:rPr>
          <w:rFonts w:ascii="仿宋" w:eastAsia="仿宋" w:hAnsi="仿宋" w:hint="eastAsia"/>
          <w:color w:val="000000"/>
          <w:sz w:val="28"/>
          <w:szCs w:val="28"/>
        </w:rPr>
        <w:t>）咨询</w:t>
      </w:r>
      <w:r>
        <w:rPr>
          <w:rFonts w:ascii="仿宋" w:eastAsia="仿宋" w:hAnsi="仿宋"/>
          <w:color w:val="000000"/>
          <w:sz w:val="28"/>
          <w:szCs w:val="28"/>
        </w:rPr>
        <w:t>。</w:t>
      </w:r>
      <w:r>
        <w:rPr>
          <w:rFonts w:ascii="仿宋" w:eastAsia="仿宋" w:hAnsi="仿宋" w:hint="eastAsia"/>
          <w:color w:val="000000"/>
          <w:sz w:val="28"/>
          <w:szCs w:val="28"/>
        </w:rPr>
        <w:t>具体基金明细如下：</w:t>
      </w:r>
    </w:p>
    <w:tbl>
      <w:tblPr>
        <w:tblStyle w:val="a9"/>
        <w:tblW w:w="0" w:type="auto"/>
        <w:tblInd w:w="0" w:type="dxa"/>
        <w:tblLook w:val="0000"/>
      </w:tblPr>
      <w:tblGrid>
        <w:gridCol w:w="929"/>
        <w:gridCol w:w="7593"/>
      </w:tblGrid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7593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基金名称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中债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1-3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年政策性金融债指数证券投资基金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国泰海通君得明混合型证券投资基金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君得鑫两年持有期混合型证券投资基金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国泰海通君得益三个月持有期混合型基金中基金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FOF)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君得盈债券型证券投资基金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君得盛债券型证券投资基金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现金管家货币市场基金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君得诚混合型证券投资基金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30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天滚动持有中短债债券型证券投资基金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60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天滚动持有中短债债券型证券投资基金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创新医药混合型发起式证券投资基金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年定期开放债券型发起式证券投资基金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lastRenderedPageBreak/>
              <w:t>13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中证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500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指数增强型证券投资基金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国泰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海通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善融稳健一年持有期混合型基金中基金（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FOF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国泰海通君得利短债债券型证券投资基金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国泰海通君添利中短债债券型发起式证券投资基金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国泰海通稳健悦享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天持有期债券型发起式证券投资基金</w:t>
            </w:r>
          </w:p>
        </w:tc>
      </w:tr>
      <w:tr w:rsidR="00000000">
        <w:trPr>
          <w:trHeight w:val="90"/>
        </w:trPr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国泰海通品质生活混合型发起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1000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指数增强型证券投资基金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国泰海通上证科创板综合价格指数增强型证券投资基金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国泰海通量化选股混合型发起式证券投资基金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国泰海通善吾养老目标日期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2045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五年持有期混合型发起式基金中基金（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FOF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国泰海通善元稳健养老目标一年持有期混合型发起式基金中基金（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FOF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90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天滚动持有中短债债券型发起式证券投资基金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国泰海通安弘六个月定期开放债券型证券投资基金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国泰海通低碳经济睿选混合型发起式证券投资基金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2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国泰海通远见价值混合型发起式证券投资基金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国泰海通安平一年定期开放债券型发起式证券投资基金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国泰海通沪深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300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指数增强型发起式证券投资基金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国泰海通领航成长一年持有期混合型发起式证券投资基金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国泰海通周期精选混合型发起式证券投资基金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国泰海通善兴平衡养老目标三年持有期混合型发起式基金中基金（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FOF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国泰海通君增利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天滚动持有债券型发起式证券投资基金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国泰海通创新成长混合型发起式证券投资基金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国泰海通东久新经济产业园封闭式基础设施证券投资基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国泰海通临港创新智造产业园封闭式基础设施证券投资基金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国泰海通中证同业存单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AAA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指数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天持有期证券投资基金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国泰海通新材料混合型发起式证券投资基金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国泰海通消费机遇混合型发起式证券投资基金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国泰海通安裕纯债一年定期开放债券型证券投资基金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国泰海通安睿纯债债券型证券投资基金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国泰海通君享利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30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天滚动持有债券型发起式证券投资基金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国泰海通善怡稳健六个月持有期债券型发起式基金中基金（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FOF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1000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优选股票型发起式证券投资基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国泰海通城投宽庭保障性租赁住房封闭式基础设施证券投资基金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国泰海通中债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0-3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年政策性金融债指数证券投资基金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国泰海通稳债增利债券型发起式证券投资基金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国泰海通科创板量化选股股票型发起式证券投资基金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49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180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天持有期债券型发起式证券投资基金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120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天持有期债券型发起式证券投资基金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国泰海通安宜纯债债券型证券投资基金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国泰海通中证香港科技指数型发起式证券投资基金（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QDII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国泰海通红利量化选股混合型证券投资基金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A500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指数增强型证券投资基金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国泰海通稳健添利债券型证券投资基金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国泰海通中证港股通高股息投资指数型发起式证券投资基金（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QDII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）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国泰海通济南能源供热封闭式基础设施证券投资基金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8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国泰海通安润</w:t>
              </w:r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90</w:t>
              </w:r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天持有期中短债债券型证券投资基金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59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9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国泰海通安裕中短债债券型证券投资基金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0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国泰海通鑫逸债券型证券投资基金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1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国泰海通鑫悦债券型证券投资基金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2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国泰海通安泰三个月持有期债券型证券投资基金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63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3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国泰海通鑫选三个月持有期债券型证券投资基金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64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4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国泰海通新锐量化选股混合型证券投资基金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65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5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国泰海通安悦债券型证券投资基金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66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6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国泰海通海升六个月持有期债券型证券投资基金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67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hyperlink r:id="rId17" w:history="1">
              <w:r>
                <w:rPr>
                  <w:rFonts w:ascii="仿宋" w:eastAsia="仿宋" w:hAnsi="仿宋" w:hint="eastAsia"/>
                  <w:color w:val="000000"/>
                  <w:sz w:val="28"/>
                  <w:szCs w:val="28"/>
                </w:rPr>
                <w:t>国泰海通鑫诚六个月持有期债券型证券投资基金</w:t>
              </w:r>
            </w:hyperlink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68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国泰海通稳健泰裕债券型发起式证券投资基金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69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国泰海通招阳混合型发起式证券投资基金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70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国泰海通创业板综指增强型证券投资基金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71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国泰海通中证全指指数增强型证券投资基金</w:t>
            </w:r>
          </w:p>
        </w:tc>
      </w:tr>
      <w:tr w:rsidR="00000000">
        <w:tc>
          <w:tcPr>
            <w:tcW w:w="929" w:type="dxa"/>
            <w:vAlign w:val="center"/>
          </w:tcPr>
          <w:p w:rsidR="00000000" w:rsidRDefault="007834E1">
            <w:pPr>
              <w:spacing w:line="5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72</w:t>
            </w:r>
          </w:p>
        </w:tc>
        <w:tc>
          <w:tcPr>
            <w:tcW w:w="7593" w:type="dxa"/>
          </w:tcPr>
          <w:p w:rsidR="00000000" w:rsidRDefault="007834E1">
            <w:pPr>
              <w:spacing w:line="540" w:lineRule="exact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国泰海通制造升级睿选混合型发起式证券投资基金</w:t>
            </w:r>
          </w:p>
        </w:tc>
      </w:tr>
    </w:tbl>
    <w:p w:rsidR="00000000" w:rsidRDefault="007834E1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28"/>
        </w:rPr>
      </w:pPr>
    </w:p>
    <w:p w:rsidR="00000000" w:rsidRDefault="007834E1">
      <w:pPr>
        <w:spacing w:line="540" w:lineRule="exact"/>
        <w:ind w:firstLineChars="250" w:firstLine="70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本基金管理人承诺以诚实信</w:t>
      </w:r>
      <w:r>
        <w:rPr>
          <w:rFonts w:ascii="仿宋" w:eastAsia="仿宋" w:hAnsi="仿宋"/>
          <w:color w:val="000000"/>
          <w:sz w:val="28"/>
          <w:szCs w:val="28"/>
        </w:rPr>
        <w:t>用、勤勉尽责的原则管理和运</w:t>
      </w:r>
      <w:r>
        <w:rPr>
          <w:rFonts w:ascii="仿宋" w:eastAsia="仿宋" w:hAnsi="仿宋" w:hint="eastAsia"/>
          <w:color w:val="000000"/>
          <w:sz w:val="28"/>
          <w:szCs w:val="28"/>
        </w:rPr>
        <w:t>用基金</w:t>
      </w:r>
      <w:r>
        <w:rPr>
          <w:rFonts w:ascii="仿宋" w:eastAsia="仿宋" w:hAnsi="仿宋"/>
          <w:color w:val="000000"/>
          <w:sz w:val="28"/>
          <w:szCs w:val="28"/>
        </w:rPr>
        <w:t>资产，但不保证</w:t>
      </w:r>
      <w:r>
        <w:rPr>
          <w:rFonts w:ascii="仿宋" w:eastAsia="仿宋" w:hAnsi="仿宋" w:hint="eastAsia"/>
          <w:color w:val="000000"/>
          <w:sz w:val="28"/>
          <w:szCs w:val="28"/>
        </w:rPr>
        <w:t>基金</w:t>
      </w:r>
      <w:r>
        <w:rPr>
          <w:rFonts w:ascii="仿宋" w:eastAsia="仿宋" w:hAnsi="仿宋"/>
          <w:color w:val="000000"/>
          <w:sz w:val="28"/>
          <w:szCs w:val="28"/>
        </w:rPr>
        <w:t>一定盈利，也不保证最低收益。</w:t>
      </w:r>
      <w:r>
        <w:rPr>
          <w:rFonts w:ascii="仿宋" w:eastAsia="仿宋" w:hAnsi="仿宋" w:hint="eastAsia"/>
          <w:color w:val="000000"/>
          <w:sz w:val="28"/>
          <w:szCs w:val="28"/>
        </w:rPr>
        <w:t>请充分了解基金的风险收益</w:t>
      </w:r>
      <w:r>
        <w:rPr>
          <w:rFonts w:ascii="仿宋" w:eastAsia="仿宋" w:hAnsi="仿宋"/>
          <w:color w:val="000000"/>
          <w:sz w:val="28"/>
          <w:szCs w:val="28"/>
        </w:rPr>
        <w:t>特征</w:t>
      </w:r>
      <w:r>
        <w:rPr>
          <w:rFonts w:ascii="仿宋" w:eastAsia="仿宋" w:hAnsi="仿宋" w:hint="eastAsia"/>
          <w:color w:val="000000"/>
          <w:sz w:val="28"/>
          <w:szCs w:val="28"/>
        </w:rPr>
        <w:t>，审慎做出投资决定。</w:t>
      </w:r>
    </w:p>
    <w:p w:rsidR="00000000" w:rsidRDefault="007834E1">
      <w:pPr>
        <w:spacing w:line="540" w:lineRule="exact"/>
        <w:ind w:firstLineChars="250" w:firstLine="700"/>
        <w:rPr>
          <w:rFonts w:ascii="仿宋" w:eastAsia="仿宋" w:hAnsi="仿宋" w:hint="eastAsia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特此公告。</w:t>
      </w:r>
    </w:p>
    <w:p w:rsidR="00000000" w:rsidRDefault="007834E1">
      <w:pPr>
        <w:spacing w:line="540" w:lineRule="exact"/>
        <w:rPr>
          <w:rFonts w:ascii="仿宋" w:eastAsia="仿宋" w:hAnsi="仿宋"/>
          <w:color w:val="000000"/>
          <w:sz w:val="28"/>
          <w:szCs w:val="28"/>
        </w:rPr>
      </w:pPr>
    </w:p>
    <w:p w:rsidR="00000000" w:rsidRDefault="007834E1">
      <w:pPr>
        <w:spacing w:line="540" w:lineRule="exact"/>
        <w:ind w:firstLineChars="250" w:firstLine="700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上海国泰</w:t>
      </w:r>
      <w:r>
        <w:rPr>
          <w:rFonts w:ascii="仿宋" w:eastAsia="仿宋" w:hAnsi="仿宋" w:hint="eastAsia"/>
          <w:color w:val="000000"/>
          <w:sz w:val="28"/>
          <w:szCs w:val="28"/>
        </w:rPr>
        <w:t>海通</w:t>
      </w:r>
      <w:r>
        <w:rPr>
          <w:rFonts w:ascii="仿宋" w:eastAsia="仿宋" w:hAnsi="仿宋"/>
          <w:color w:val="000000"/>
          <w:sz w:val="28"/>
          <w:szCs w:val="28"/>
        </w:rPr>
        <w:t>证券资产管理有限公司</w:t>
      </w:r>
    </w:p>
    <w:p w:rsidR="00000000" w:rsidRDefault="007834E1">
      <w:pPr>
        <w:spacing w:line="540" w:lineRule="exact"/>
        <w:ind w:firstLineChars="250" w:firstLine="70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202</w:t>
      </w:r>
      <w:r>
        <w:rPr>
          <w:rFonts w:ascii="仿宋" w:eastAsia="仿宋" w:hAnsi="仿宋" w:hint="eastAsia"/>
          <w:color w:val="000000"/>
          <w:sz w:val="28"/>
          <w:szCs w:val="28"/>
        </w:rPr>
        <w:t>6</w:t>
      </w:r>
      <w:r>
        <w:rPr>
          <w:rFonts w:ascii="仿宋" w:eastAsia="仿宋" w:hAnsi="仿宋" w:hint="eastAsia"/>
          <w:color w:val="000000"/>
          <w:sz w:val="28"/>
          <w:szCs w:val="28"/>
        </w:rPr>
        <w:t>年</w:t>
      </w:r>
      <w:r>
        <w:rPr>
          <w:rFonts w:ascii="仿宋" w:eastAsia="仿宋" w:hAnsi="仿宋" w:hint="eastAsia"/>
          <w:color w:val="000000"/>
          <w:sz w:val="28"/>
          <w:szCs w:val="28"/>
        </w:rPr>
        <w:t>4</w:t>
      </w:r>
      <w:r>
        <w:rPr>
          <w:rFonts w:ascii="仿宋" w:eastAsia="仿宋" w:hAnsi="仿宋" w:hint="eastAsia"/>
          <w:color w:val="000000"/>
          <w:sz w:val="28"/>
          <w:szCs w:val="28"/>
        </w:rPr>
        <w:t>月</w:t>
      </w:r>
      <w:r>
        <w:rPr>
          <w:rFonts w:ascii="仿宋" w:eastAsia="仿宋" w:hAnsi="仿宋" w:hint="eastAsia"/>
          <w:color w:val="000000"/>
          <w:sz w:val="28"/>
          <w:szCs w:val="28"/>
        </w:rPr>
        <w:t>22</w:t>
      </w:r>
      <w:r>
        <w:rPr>
          <w:rFonts w:ascii="仿宋" w:eastAsia="仿宋" w:hAnsi="仿宋" w:hint="eastAsia"/>
          <w:color w:val="000000"/>
          <w:sz w:val="28"/>
          <w:szCs w:val="28"/>
        </w:rPr>
        <w:t>日</w:t>
      </w:r>
    </w:p>
    <w:p w:rsidR="00000000" w:rsidRDefault="007834E1">
      <w:pPr>
        <w:widowControl/>
        <w:spacing w:line="540" w:lineRule="exact"/>
        <w:jc w:val="left"/>
        <w:rPr>
          <w:rFonts w:ascii="仿宋" w:eastAsia="仿宋" w:hAnsi="仿宋"/>
          <w:color w:val="000000"/>
          <w:sz w:val="32"/>
          <w:szCs w:val="32"/>
        </w:rPr>
      </w:pPr>
    </w:p>
    <w:sectPr w:rsidR="0000000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985" w:right="1588" w:bottom="1361" w:left="1588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834E1">
      <w:r>
        <w:separator/>
      </w:r>
    </w:p>
  </w:endnote>
  <w:endnote w:type="continuationSeparator" w:id="0">
    <w:p w:rsidR="00000000" w:rsidRDefault="00783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34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34E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 w:eastAsia="zh-CN"/>
      </w:rPr>
      <w:t>2</w:t>
    </w:r>
    <w:r>
      <w:fldChar w:fldCharType="end"/>
    </w:r>
  </w:p>
  <w:p w:rsidR="00000000" w:rsidRDefault="007834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34E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7834E1">
      <w:rPr>
        <w:noProof/>
        <w:lang w:val="zh-CN" w:eastAsia="zh-CN"/>
      </w:rPr>
      <w:t>1</w:t>
    </w:r>
    <w:r>
      <w:fldChar w:fldCharType="end"/>
    </w:r>
  </w:p>
  <w:p w:rsidR="00000000" w:rsidRDefault="007834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834E1">
      <w:r>
        <w:separator/>
      </w:r>
    </w:p>
  </w:footnote>
  <w:footnote w:type="continuationSeparator" w:id="0">
    <w:p w:rsidR="00000000" w:rsidRDefault="00783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34E1">
    <w:pPr>
      <w:pStyle w:val="a6"/>
    </w:pPr>
  </w:p>
  <w:p w:rsidR="00000000" w:rsidRDefault="007834E1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375pt;height:450pt;z-index:251656704;mso-position-horizontal:center;mso-position-horizontal-relative:page;mso-position-vertical:center;mso-position-vertical-relative:page">
          <v:imagedata r:id="rId1" o:title=""/>
          <o:lock v:ext="edit" aspectratio="f"/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34E1">
    <w:pPr>
      <w:pStyle w:val="a6"/>
    </w:pPr>
  </w:p>
  <w:p w:rsidR="00000000" w:rsidRDefault="007834E1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375pt;height:450pt;z-index:251657728;mso-position-horizontal:center;mso-position-horizontal-relative:page;mso-position-vertical:center;mso-position-vertical-relative:page">
          <v:imagedata r:id="rId1" o:title=""/>
          <o:lock v:ext="edit" aspectratio="f"/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34E1">
    <w:pPr>
      <w:pStyle w:val="a6"/>
    </w:pPr>
  </w:p>
  <w:p w:rsidR="00000000" w:rsidRDefault="007834E1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0;margin-top:0;width:375pt;height:450pt;z-index:251658752;mso-position-horizontal:center;mso-position-horizontal-relative:page;mso-position-vertical:center;mso-position-vertical-relative:page">
          <v:imagedata r:id="rId1" o:title=""/>
          <o:lock v:ext="edit" aspectratio="f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49B"/>
    <w:rsid w:val="0078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annotation text" w:semiHidden="0"/>
    <w:lsdException w:name="header" w:semiHidden="0"/>
    <w:lsdException w:name="footer" w:semiHidden="0"/>
    <w:lsdException w:name="caption" w:uiPriority="35" w:qFormat="1"/>
    <w:lsdException w:name="footnote reference" w:semiHidden="0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annotation subject" w:semiHidden="0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pPr>
      <w:jc w:val="left"/>
    </w:pPr>
  </w:style>
  <w:style w:type="character" w:customStyle="1" w:styleId="Char">
    <w:name w:val="批注文字 Char"/>
    <w:link w:val="a3"/>
    <w:uiPriority w:val="99"/>
    <w:semiHidden/>
  </w:style>
  <w:style w:type="paragraph" w:styleId="a4">
    <w:name w:val="Balloon Text"/>
    <w:basedOn w:val="a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link w:val="a4"/>
    <w:uiPriority w:val="99"/>
    <w:semiHidden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5"/>
    <w:uiPriority w:val="99"/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a6"/>
    <w:uiPriority w:val="99"/>
    <w:rPr>
      <w:sz w:val="18"/>
      <w:szCs w:val="18"/>
    </w:rPr>
  </w:style>
  <w:style w:type="paragraph" w:styleId="a7">
    <w:name w:val="footnote text"/>
    <w:basedOn w:val="a"/>
    <w:link w:val="Char3"/>
    <w:uiPriority w:val="99"/>
    <w:unhideWhenUsed/>
    <w:pPr>
      <w:snapToGrid w:val="0"/>
      <w:jc w:val="left"/>
    </w:pPr>
    <w:rPr>
      <w:sz w:val="18"/>
      <w:szCs w:val="18"/>
    </w:rPr>
  </w:style>
  <w:style w:type="character" w:customStyle="1" w:styleId="Char3">
    <w:name w:val="脚注文本 Char"/>
    <w:link w:val="a7"/>
    <w:uiPriority w:val="99"/>
    <w:semiHidden/>
    <w:rPr>
      <w:sz w:val="18"/>
      <w:szCs w:val="18"/>
    </w:rPr>
  </w:style>
  <w:style w:type="paragraph" w:styleId="a8">
    <w:name w:val="annotation subject"/>
    <w:basedOn w:val="a3"/>
    <w:next w:val="a3"/>
    <w:link w:val="Char4"/>
    <w:uiPriority w:val="99"/>
    <w:unhideWhenUsed/>
    <w:rPr>
      <w:b/>
      <w:bCs/>
    </w:rPr>
  </w:style>
  <w:style w:type="character" w:customStyle="1" w:styleId="Char4">
    <w:name w:val="批注主题 Char"/>
    <w:link w:val="a8"/>
    <w:uiPriority w:val="99"/>
    <w:semiHidden/>
    <w:rPr>
      <w:b/>
      <w:bCs/>
    </w:rPr>
  </w:style>
  <w:style w:type="table" w:styleId="a9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Pr>
      <w:color w:val="0000FF"/>
      <w:u w:val="single"/>
    </w:rPr>
  </w:style>
  <w:style w:type="character" w:styleId="ab">
    <w:name w:val="annotation reference"/>
    <w:uiPriority w:val="99"/>
    <w:unhideWhenUsed/>
    <w:rPr>
      <w:sz w:val="21"/>
      <w:szCs w:val="21"/>
    </w:rPr>
  </w:style>
  <w:style w:type="character" w:styleId="ac">
    <w:name w:val="footnote reference"/>
    <w:uiPriority w:val="99"/>
    <w:unhideWhenUsed/>
    <w:rPr>
      <w:vertAlign w:val="superscript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fontstyle01">
    <w:name w:val="fontstyle01"/>
    <w:rPr>
      <w:rFonts w:ascii="宋体" w:eastAsia="宋体" w:hAnsi="宋体" w:hint="eastAsia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javascript:void(0);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eid.csrc.gov.cn/fund" TargetMode="External"/><Relationship Id="rId12" Type="http://schemas.openxmlformats.org/officeDocument/2006/relationships/hyperlink" Target="javascript:void(0);" TargetMode="External"/><Relationship Id="rId17" Type="http://schemas.openxmlformats.org/officeDocument/2006/relationships/hyperlink" Target="javascript:void(0);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javascript:void(0);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void(0);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javascript:void(0);" TargetMode="External"/><Relationship Id="rId23" Type="http://schemas.openxmlformats.org/officeDocument/2006/relationships/footer" Target="footer3.xml"/><Relationship Id="rId10" Type="http://schemas.openxmlformats.org/officeDocument/2006/relationships/hyperlink" Target="javascript:void(0);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javascript:void(0);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2337</Characters>
  <Application>Microsoft Office Word</Application>
  <DocSecurity>4</DocSecurity>
  <Lines>19</Lines>
  <Paragraphs>5</Paragraphs>
  <ScaleCrop>false</ScaleCrop>
  <Company>Microsoft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xiaoming bao</dc:creator>
  <cp:keywords/>
  <cp:lastModifiedBy>ZHONGM</cp:lastModifiedBy>
  <cp:revision>2</cp:revision>
  <cp:lastPrinted>2019-08-07T06:37:00Z</cp:lastPrinted>
  <dcterms:created xsi:type="dcterms:W3CDTF">2026-04-21T16:06:00Z</dcterms:created>
  <dcterms:modified xsi:type="dcterms:W3CDTF">2026-04-21T16:06:00Z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TJA">
    <vt:lpwstr>国泰君安证券股份有限公司*国泰海通证券资产管理公司：4个公告，烦请于明日2026年4月22日发布，谢谢*zhanghaowen@gtht.com*lkl@ssnews.com.cn * *chengang5@gtht.com,liyan11@gtht.com,yujia2@gtht.com *2026-04-21 18:58:13;</vt:lpwstr>
  </property>
  <property fmtid="{D5CDD505-2E9C-101B-9397-08002B2CF9AE}" pid="3" name="ICV">
    <vt:lpwstr>84DDFA68B19145C181EECC28F908D152</vt:lpwstr>
  </property>
  <property fmtid="{D5CDD505-2E9C-101B-9397-08002B2CF9AE}" pid="4" name="KSOProductBuildVer">
    <vt:lpwstr>2052-11.8.2.12085</vt:lpwstr>
  </property>
</Properties>
</file>