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F5" w:rsidRDefault="00023B74">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361FF5" w:rsidRDefault="00023B74">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泰信财富基金销售有限公司</w:t>
      </w:r>
      <w:r>
        <w:rPr>
          <w:rFonts w:asciiTheme="minorEastAsia" w:eastAsiaTheme="minorEastAsia" w:hAnsiTheme="minorEastAsia" w:hint="eastAsia"/>
          <w:b/>
          <w:sz w:val="21"/>
          <w:szCs w:val="21"/>
        </w:rPr>
        <w:t>为旗下部分基金销售机构的公告</w:t>
      </w:r>
    </w:p>
    <w:p w:rsidR="00361FF5" w:rsidRDefault="00023B7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泰信财富基金销售有限公司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泰信财富</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泰信财富</w:t>
      </w:r>
      <w:r>
        <w:rPr>
          <w:rFonts w:asciiTheme="minorEastAsia" w:eastAsiaTheme="minorEastAsia" w:hAnsiTheme="minorEastAsia" w:hint="eastAsia"/>
          <w:sz w:val="21"/>
          <w:szCs w:val="21"/>
        </w:rPr>
        <w:t>为旗下部分基金销售机构，现将相关事项公告如下：</w:t>
      </w:r>
    </w:p>
    <w:p w:rsidR="00361FF5" w:rsidRDefault="00023B74">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4</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22</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泰信财富</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361FF5">
        <w:trPr>
          <w:trHeight w:val="450"/>
        </w:trPr>
        <w:tc>
          <w:tcPr>
            <w:tcW w:w="658" w:type="dxa"/>
            <w:vAlign w:val="center"/>
          </w:tcPr>
          <w:p w:rsidR="00361FF5" w:rsidRDefault="00023B7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361FF5" w:rsidRDefault="00023B7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361FF5" w:rsidRDefault="00023B7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361FF5" w:rsidRDefault="00023B7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361FF5" w:rsidRDefault="00023B7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361FF5" w:rsidRDefault="00023B74">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001609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平安鑫享混合型证券投资基金</w:t>
            </w:r>
            <w:r>
              <w:rPr>
                <w:rFonts w:asciiTheme="minorEastAsia" w:eastAsiaTheme="minorEastAsia" w:hAnsiTheme="minorEastAsia" w:cstheme="minorEastAsia" w:hint="eastAsia"/>
                <w:color w:val="000000"/>
                <w:sz w:val="21"/>
                <w:szCs w:val="21"/>
                <w:lang/>
              </w:rPr>
              <w:t xml:space="preserve"> ( </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ascii="Arial" w:hAnsi="Arial"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001610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平安鑫享混合型证券投资基金（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ascii="Arial" w:hAnsi="Arial"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001664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平安鑫安混合型证券投资基金（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ascii="Arial" w:hAnsi="Arial"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001665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平安鑫安混合型证券投资基金（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ascii="Arial" w:hAnsi="Arial"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002282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平安安享灵活配置混合型证券投资基金（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ascii="Arial" w:hAnsi="Arial"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002304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平安安心灵活配置混合型证券投资基金（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ascii="Arial" w:hAnsi="Arial"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002598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平安消费精选混合型证券投资基金（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ascii="Arial" w:hAnsi="Arial"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002599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平安消费精选混合型证券投资基金（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ascii="Arial" w:hAnsi="Arial"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002795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平安惠盈纯债债券型证券投资基金</w:t>
            </w:r>
            <w:r>
              <w:rPr>
                <w:rFonts w:asciiTheme="minorEastAsia" w:eastAsiaTheme="minorEastAsia" w:hAnsiTheme="minorEastAsia" w:cstheme="minorEastAsia" w:hint="eastAsia"/>
                <w:color w:val="000000"/>
                <w:sz w:val="21"/>
                <w:szCs w:val="21"/>
                <w:lang/>
              </w:rPr>
              <w:t xml:space="preserve"> (A</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002988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平安鼎信债券型证券投资基金（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003024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平安惠金定期开放债券型证券投资基金（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003286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平安惠享纯债债券型证券投资基金（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003486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平安惠隆纯债债券型证券投资基金（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003487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平安惠融纯债债券型证券投资基金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003626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平安鑫利灵活配置混合型证券投资基金（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004403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平安股息精选沪港深股票型证券投资基金（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004404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平安股息精选沪港深股票型证券投资基金（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004630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平安合信</w:t>
            </w:r>
            <w:r>
              <w:rPr>
                <w:rFonts w:asciiTheme="minorEastAsia" w:eastAsiaTheme="minorEastAsia" w:hAnsiTheme="minorEastAsia" w:cstheme="minorEastAsia" w:hint="eastAsia"/>
                <w:color w:val="000000"/>
                <w:sz w:val="21"/>
                <w:szCs w:val="21"/>
                <w:lang/>
              </w:rPr>
              <w:t>3</w:t>
            </w:r>
            <w:r>
              <w:rPr>
                <w:rFonts w:asciiTheme="minorEastAsia" w:eastAsiaTheme="minorEastAsia" w:hAnsiTheme="minorEastAsia" w:cstheme="minorEastAsia" w:hint="eastAsia"/>
                <w:color w:val="000000"/>
                <w:sz w:val="21"/>
                <w:szCs w:val="21"/>
                <w:lang/>
              </w:rPr>
              <w:t>个月定期开放债券型发起式证券投资基金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19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004632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平安合意定期开放债券型发起式证券投资基金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004825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平安惠泽纯债债券型证券投资基金（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004826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平安惠悦纯债债券型证券投资基金（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004960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平安合泰</w:t>
            </w:r>
            <w:r>
              <w:rPr>
                <w:rFonts w:asciiTheme="minorEastAsia" w:eastAsiaTheme="minorEastAsia" w:hAnsiTheme="minorEastAsia" w:cstheme="minorEastAsia" w:hint="eastAsia"/>
                <w:color w:val="000000"/>
                <w:sz w:val="21"/>
                <w:szCs w:val="21"/>
                <w:lang/>
              </w:rPr>
              <w:t>3</w:t>
            </w:r>
            <w:r>
              <w:rPr>
                <w:rFonts w:asciiTheme="minorEastAsia" w:eastAsiaTheme="minorEastAsia" w:hAnsiTheme="minorEastAsia" w:cstheme="minorEastAsia" w:hint="eastAsia"/>
                <w:color w:val="000000"/>
                <w:sz w:val="21"/>
                <w:szCs w:val="21"/>
                <w:lang/>
              </w:rPr>
              <w:t>个月定期开放债券型发起式证券投资基金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005077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平安合韵定期开放纯债债券型发起式证券投资基金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lastRenderedPageBreak/>
              <w:t>24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005113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平安沪深</w:t>
            </w:r>
            <w:r>
              <w:rPr>
                <w:rFonts w:asciiTheme="minorEastAsia" w:eastAsiaTheme="minorEastAsia" w:hAnsiTheme="minorEastAsia" w:cstheme="minorEastAsia" w:hint="eastAsia"/>
                <w:color w:val="000000"/>
                <w:sz w:val="21"/>
                <w:szCs w:val="21"/>
                <w:lang/>
              </w:rPr>
              <w:t>300</w:t>
            </w:r>
            <w:r>
              <w:rPr>
                <w:rFonts w:asciiTheme="minorEastAsia" w:eastAsiaTheme="minorEastAsia" w:hAnsiTheme="minorEastAsia" w:cstheme="minorEastAsia" w:hint="eastAsia"/>
                <w:color w:val="000000"/>
                <w:sz w:val="21"/>
                <w:szCs w:val="21"/>
                <w:lang/>
              </w:rPr>
              <w:t>指数量化增强证券投资基金</w:t>
            </w:r>
            <w:r>
              <w:rPr>
                <w:rFonts w:asciiTheme="minorEastAsia" w:eastAsiaTheme="minorEastAsia" w:hAnsiTheme="minorEastAsia" w:cstheme="minorEastAsia" w:hint="eastAsia"/>
                <w:color w:val="000000"/>
                <w:sz w:val="21"/>
                <w:szCs w:val="21"/>
                <w:lang/>
              </w:rPr>
              <w:t xml:space="preserve"> (A</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005114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平安沪深</w:t>
            </w:r>
            <w:r>
              <w:rPr>
                <w:rFonts w:asciiTheme="minorEastAsia" w:eastAsiaTheme="minorEastAsia" w:hAnsiTheme="minorEastAsia" w:cstheme="minorEastAsia" w:hint="eastAsia"/>
                <w:color w:val="000000"/>
                <w:sz w:val="21"/>
                <w:szCs w:val="21"/>
                <w:lang/>
              </w:rPr>
              <w:t>300</w:t>
            </w:r>
            <w:r>
              <w:rPr>
                <w:rFonts w:asciiTheme="minorEastAsia" w:eastAsiaTheme="minorEastAsia" w:hAnsiTheme="minorEastAsia" w:cstheme="minorEastAsia" w:hint="eastAsia"/>
                <w:color w:val="000000"/>
                <w:sz w:val="21"/>
                <w:szCs w:val="21"/>
                <w:lang/>
              </w:rPr>
              <w:t>指数量化增强证券投资基金（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005127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平安合正定期开放纯债债券型发起式证券投资基金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005639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平安沪深</w:t>
            </w:r>
            <w:r>
              <w:rPr>
                <w:rFonts w:asciiTheme="minorEastAsia" w:eastAsiaTheme="minorEastAsia" w:hAnsiTheme="minorEastAsia" w:cstheme="minorEastAsia" w:hint="eastAsia"/>
                <w:color w:val="000000"/>
                <w:sz w:val="21"/>
                <w:szCs w:val="21"/>
                <w:lang/>
              </w:rPr>
              <w:t>300</w:t>
            </w:r>
            <w:r>
              <w:rPr>
                <w:rFonts w:asciiTheme="minorEastAsia" w:eastAsiaTheme="minorEastAsia" w:hAnsiTheme="minorEastAsia" w:cstheme="minorEastAsia" w:hint="eastAsia"/>
                <w:color w:val="000000"/>
                <w:sz w:val="21"/>
                <w:szCs w:val="21"/>
                <w:lang/>
              </w:rPr>
              <w:t>交易型开放式指数证券投资基金联接基金</w:t>
            </w:r>
            <w:r>
              <w:rPr>
                <w:rFonts w:asciiTheme="minorEastAsia" w:eastAsiaTheme="minorEastAsia" w:hAnsiTheme="minorEastAsia" w:cstheme="minorEastAsia" w:hint="eastAsia"/>
                <w:color w:val="000000"/>
                <w:sz w:val="21"/>
                <w:szCs w:val="21"/>
                <w:lang/>
              </w:rPr>
              <w:t xml:space="preserve"> (A</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005640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平安沪深</w:t>
            </w:r>
            <w:r>
              <w:rPr>
                <w:rFonts w:asciiTheme="minorEastAsia" w:eastAsiaTheme="minorEastAsia" w:hAnsiTheme="minorEastAsia" w:cstheme="minorEastAsia" w:hint="eastAsia"/>
                <w:color w:val="000000"/>
                <w:sz w:val="21"/>
                <w:szCs w:val="21"/>
                <w:lang/>
              </w:rPr>
              <w:t>300</w:t>
            </w:r>
            <w:r>
              <w:rPr>
                <w:rFonts w:asciiTheme="minorEastAsia" w:eastAsiaTheme="minorEastAsia" w:hAnsiTheme="minorEastAsia" w:cstheme="minorEastAsia" w:hint="eastAsia"/>
                <w:color w:val="000000"/>
                <w:sz w:val="21"/>
                <w:szCs w:val="21"/>
                <w:lang/>
              </w:rPr>
              <w:t>交易型开放式指数证券投资基金联接基金（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29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005766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平安合瑞定期开放债券型发起式证券投资基金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005868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w:t>
            </w:r>
            <w:r>
              <w:rPr>
                <w:rFonts w:asciiTheme="minorEastAsia" w:eastAsiaTheme="minorEastAsia" w:hAnsiTheme="minorEastAsia" w:cstheme="minorEastAsia" w:hint="eastAsia"/>
                <w:color w:val="000000"/>
                <w:sz w:val="21"/>
                <w:szCs w:val="21"/>
                <w:lang/>
              </w:rPr>
              <w:t>MSCI</w:t>
            </w:r>
            <w:r>
              <w:rPr>
                <w:rFonts w:asciiTheme="minorEastAsia" w:eastAsiaTheme="minorEastAsia" w:hAnsiTheme="minorEastAsia" w:cstheme="minorEastAsia" w:hint="eastAsia"/>
                <w:color w:val="000000"/>
                <w:sz w:val="21"/>
                <w:szCs w:val="21"/>
                <w:lang/>
              </w:rPr>
              <w:t>中国</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股国际交易型开放式指数证券投资基金联接基金</w:t>
            </w:r>
            <w:r>
              <w:rPr>
                <w:rFonts w:asciiTheme="minorEastAsia" w:eastAsiaTheme="minorEastAsia" w:hAnsiTheme="minorEastAsia" w:cstheme="minorEastAsia" w:hint="eastAsia"/>
                <w:color w:val="000000"/>
                <w:sz w:val="21"/>
                <w:szCs w:val="21"/>
                <w:lang/>
              </w:rPr>
              <w:t xml:space="preserve"> (A</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005869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w:t>
            </w:r>
            <w:r>
              <w:rPr>
                <w:rFonts w:asciiTheme="minorEastAsia" w:eastAsiaTheme="minorEastAsia" w:hAnsiTheme="minorEastAsia" w:cstheme="minorEastAsia" w:hint="eastAsia"/>
                <w:color w:val="000000"/>
                <w:sz w:val="21"/>
                <w:szCs w:val="21"/>
                <w:lang/>
              </w:rPr>
              <w:t>MSCI</w:t>
            </w:r>
            <w:r>
              <w:rPr>
                <w:rFonts w:asciiTheme="minorEastAsia" w:eastAsiaTheme="minorEastAsia" w:hAnsiTheme="minorEastAsia" w:cstheme="minorEastAsia" w:hint="eastAsia"/>
                <w:color w:val="000000"/>
                <w:sz w:val="21"/>
                <w:szCs w:val="21"/>
                <w:lang/>
              </w:rPr>
              <w:t>中国</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股国际交易型开放式指数证券投资基金联接基金</w:t>
            </w:r>
            <w:r>
              <w:rPr>
                <w:rFonts w:asciiTheme="minorEastAsia" w:eastAsiaTheme="minorEastAsia" w:hAnsiTheme="minorEastAsia" w:cstheme="minorEastAsia" w:hint="eastAsia"/>
                <w:color w:val="000000"/>
                <w:sz w:val="21"/>
                <w:szCs w:val="21"/>
                <w:lang/>
              </w:rPr>
              <w:t xml:space="preserve"> (C</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005884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平安合悦定期开放债券型发起式证券投资基金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005895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平安合丰定期开放纯债债券型发起式证券投资基金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005896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平安合慧定期开放纯债债券型发起式证券投资基金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005897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平安合颖定期开放纯债债券型发起式证券投资基金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005971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平安惠锦纯债债券型证券投资基金（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006016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平安惠安纯债债券型证券投资基金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006097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平安高等级债债券型证券投资基金</w:t>
            </w:r>
            <w:r>
              <w:rPr>
                <w:rFonts w:asciiTheme="minorEastAsia" w:eastAsiaTheme="minorEastAsia" w:hAnsiTheme="minorEastAsia" w:cstheme="minorEastAsia" w:hint="eastAsia"/>
                <w:color w:val="000000"/>
                <w:sz w:val="21"/>
                <w:szCs w:val="21"/>
                <w:lang/>
              </w:rPr>
              <w:t xml:space="preserve"> (A</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39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006214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平安中证</w:t>
            </w:r>
            <w:r>
              <w:rPr>
                <w:rFonts w:asciiTheme="minorEastAsia" w:eastAsiaTheme="minorEastAsia" w:hAnsiTheme="minorEastAsia" w:cstheme="minorEastAsia" w:hint="eastAsia"/>
                <w:color w:val="000000"/>
                <w:sz w:val="21"/>
                <w:szCs w:val="21"/>
                <w:lang/>
              </w:rPr>
              <w:t>500</w:t>
            </w:r>
            <w:r>
              <w:rPr>
                <w:rFonts w:asciiTheme="minorEastAsia" w:eastAsiaTheme="minorEastAsia" w:hAnsiTheme="minorEastAsia" w:cstheme="minorEastAsia" w:hint="eastAsia"/>
                <w:color w:val="000000"/>
                <w:sz w:val="21"/>
                <w:szCs w:val="21"/>
                <w:lang/>
              </w:rPr>
              <w:t>交易型开放式指数证券投资基金联接基金（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006215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w:t>
            </w:r>
            <w:r>
              <w:rPr>
                <w:rFonts w:asciiTheme="minorEastAsia" w:eastAsiaTheme="minorEastAsia" w:hAnsiTheme="minorEastAsia" w:cstheme="minorEastAsia" w:hint="eastAsia"/>
                <w:color w:val="000000"/>
                <w:sz w:val="21"/>
                <w:szCs w:val="21"/>
                <w:lang/>
              </w:rPr>
              <w:t>500</w:t>
            </w:r>
            <w:r>
              <w:rPr>
                <w:rFonts w:asciiTheme="minorEastAsia" w:eastAsiaTheme="minorEastAsia" w:hAnsiTheme="minorEastAsia" w:cstheme="minorEastAsia" w:hint="eastAsia"/>
                <w:color w:val="000000"/>
                <w:sz w:val="21"/>
                <w:szCs w:val="21"/>
                <w:lang/>
              </w:rPr>
              <w:t>交易型开放式指数证券投资基金联接基金（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006222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平安惠兴纯债债券型证券投资基金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006264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平安惠轩纯债债券型证券投资基金（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006316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平安惠诚纯债债券型证券投资基金（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006412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平安合锦定期开放债券型发起式证券投资基金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006433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平安鑫利灵活配置混合型证券投资基金（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006457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平安估值优势灵活配置混合型证券投资基金（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006458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平安估值优势灵活配置混合型证券投资基金（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006544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平安惠聚纯债债券型证券投资基金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49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006717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平安惠金定期开放债券型证券投资基金（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006932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w:t>
            </w:r>
            <w:r>
              <w:rPr>
                <w:rFonts w:asciiTheme="minorEastAsia" w:eastAsiaTheme="minorEastAsia" w:hAnsiTheme="minorEastAsia" w:cstheme="minorEastAsia" w:hint="eastAsia"/>
                <w:color w:val="000000"/>
                <w:sz w:val="21"/>
                <w:szCs w:val="21"/>
                <w:lang/>
              </w:rPr>
              <w:t>0-3</w:t>
            </w:r>
            <w:r>
              <w:rPr>
                <w:rFonts w:asciiTheme="minorEastAsia" w:eastAsiaTheme="minorEastAsia" w:hAnsiTheme="minorEastAsia" w:cstheme="minorEastAsia" w:hint="eastAsia"/>
                <w:color w:val="000000"/>
                <w:sz w:val="21"/>
                <w:szCs w:val="21"/>
                <w:lang/>
              </w:rPr>
              <w:t>年期政策性金融债债券型证券投资基金（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006934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w:t>
            </w:r>
            <w:r>
              <w:rPr>
                <w:rFonts w:asciiTheme="minorEastAsia" w:eastAsiaTheme="minorEastAsia" w:hAnsiTheme="minorEastAsia" w:cstheme="minorEastAsia" w:hint="eastAsia"/>
                <w:color w:val="000000"/>
                <w:sz w:val="21"/>
                <w:szCs w:val="21"/>
                <w:lang/>
              </w:rPr>
              <w:t>3-5</w:t>
            </w:r>
            <w:r>
              <w:rPr>
                <w:rFonts w:asciiTheme="minorEastAsia" w:eastAsiaTheme="minorEastAsia" w:hAnsiTheme="minorEastAsia" w:cstheme="minorEastAsia" w:hint="eastAsia"/>
                <w:color w:val="000000"/>
                <w:sz w:val="21"/>
                <w:szCs w:val="21"/>
                <w:lang/>
              </w:rPr>
              <w:t>年期政策性金融债债券型证券投资基金（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006935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w:t>
            </w:r>
            <w:r>
              <w:rPr>
                <w:rFonts w:asciiTheme="minorEastAsia" w:eastAsiaTheme="minorEastAsia" w:hAnsiTheme="minorEastAsia" w:cstheme="minorEastAsia" w:hint="eastAsia"/>
                <w:color w:val="000000"/>
                <w:sz w:val="21"/>
                <w:szCs w:val="21"/>
                <w:lang/>
              </w:rPr>
              <w:t>3-5</w:t>
            </w:r>
            <w:r>
              <w:rPr>
                <w:rFonts w:asciiTheme="minorEastAsia" w:eastAsiaTheme="minorEastAsia" w:hAnsiTheme="minorEastAsia" w:cstheme="minorEastAsia" w:hint="eastAsia"/>
                <w:color w:val="000000"/>
                <w:sz w:val="21"/>
                <w:szCs w:val="21"/>
                <w:lang/>
              </w:rPr>
              <w:t>年期政策性金融债债券型证券投资基金（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006997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平安惠添纯债债券型证券投资基金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007048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平安安心灵活配置混合型证券投资基金（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007049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平安鑫安混合型证券投资基金（</w:t>
            </w:r>
            <w:r>
              <w:rPr>
                <w:rFonts w:asciiTheme="minorEastAsia" w:eastAsiaTheme="minorEastAsia" w:hAnsiTheme="minorEastAsia" w:cstheme="minorEastAsia" w:hint="eastAsia"/>
                <w:color w:val="000000"/>
                <w:sz w:val="21"/>
                <w:szCs w:val="21"/>
                <w:lang/>
              </w:rPr>
              <w:t>E</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007158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平安合盛</w:t>
            </w:r>
            <w:r>
              <w:rPr>
                <w:rFonts w:asciiTheme="minorEastAsia" w:eastAsiaTheme="minorEastAsia" w:hAnsiTheme="minorEastAsia" w:cstheme="minorEastAsia" w:hint="eastAsia"/>
                <w:color w:val="000000"/>
                <w:sz w:val="21"/>
                <w:szCs w:val="21"/>
                <w:lang/>
              </w:rPr>
              <w:t>3</w:t>
            </w:r>
            <w:r>
              <w:rPr>
                <w:rFonts w:asciiTheme="minorEastAsia" w:eastAsiaTheme="minorEastAsia" w:hAnsiTheme="minorEastAsia" w:cstheme="minorEastAsia" w:hint="eastAsia"/>
                <w:color w:val="000000"/>
                <w:sz w:val="21"/>
                <w:szCs w:val="21"/>
                <w:lang/>
              </w:rPr>
              <w:t>个月定期开放债券型发起式证券投资基金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007196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平安惠合纯债债券型证券投资基金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007238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平安养老目标日期</w:t>
            </w:r>
            <w:r>
              <w:rPr>
                <w:rFonts w:asciiTheme="minorEastAsia" w:eastAsiaTheme="minorEastAsia" w:hAnsiTheme="minorEastAsia" w:cstheme="minorEastAsia" w:hint="eastAsia"/>
                <w:color w:val="000000"/>
                <w:sz w:val="21"/>
                <w:szCs w:val="21"/>
                <w:lang/>
              </w:rPr>
              <w:t>2035</w:t>
            </w:r>
            <w:r>
              <w:rPr>
                <w:rFonts w:asciiTheme="minorEastAsia" w:eastAsiaTheme="minorEastAsia" w:hAnsiTheme="minorEastAsia" w:cstheme="minorEastAsia" w:hint="eastAsia"/>
                <w:color w:val="000000"/>
                <w:sz w:val="21"/>
                <w:szCs w:val="21"/>
                <w:lang/>
              </w:rPr>
              <w:t>三年持有期混合型基金中基金（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59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007239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平安养老目标日期</w:t>
            </w:r>
            <w:r>
              <w:rPr>
                <w:rFonts w:asciiTheme="minorEastAsia" w:eastAsiaTheme="minorEastAsia" w:hAnsiTheme="minorEastAsia" w:cstheme="minorEastAsia" w:hint="eastAsia"/>
                <w:color w:val="000000"/>
                <w:sz w:val="21"/>
                <w:szCs w:val="21"/>
                <w:lang/>
              </w:rPr>
              <w:t>2035</w:t>
            </w:r>
            <w:r>
              <w:rPr>
                <w:rFonts w:asciiTheme="minorEastAsia" w:eastAsiaTheme="minorEastAsia" w:hAnsiTheme="minorEastAsia" w:cstheme="minorEastAsia" w:hint="eastAsia"/>
                <w:color w:val="000000"/>
                <w:sz w:val="21"/>
                <w:szCs w:val="21"/>
                <w:lang/>
              </w:rPr>
              <w:t>三年持有期混合型基金中基金（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007447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平安惠泰纯债债券型证券投资基金（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007645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平安季享裕三个月定期开放债券型证券投资基金</w:t>
            </w:r>
            <w:r>
              <w:rPr>
                <w:rFonts w:asciiTheme="minorEastAsia" w:eastAsiaTheme="minorEastAsia" w:hAnsiTheme="minorEastAsia" w:cstheme="minorEastAsia" w:hint="eastAsia"/>
                <w:color w:val="000000"/>
                <w:sz w:val="21"/>
                <w:szCs w:val="21"/>
                <w:lang/>
              </w:rPr>
              <w:t xml:space="preserve"> (A</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007646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平安季享裕三个月定期开放债券型证券投资基金（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007647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平安季享裕三个月定期开放债券型证券投资基金（</w:t>
            </w:r>
            <w:r>
              <w:rPr>
                <w:rFonts w:asciiTheme="minorEastAsia" w:eastAsiaTheme="minorEastAsia" w:hAnsiTheme="minorEastAsia" w:cstheme="minorEastAsia" w:hint="eastAsia"/>
                <w:color w:val="000000"/>
                <w:sz w:val="21"/>
                <w:szCs w:val="21"/>
                <w:lang/>
              </w:rPr>
              <w:t>E</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007663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平安安享灵活配置混合型证券投资基金（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007730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平安金管家货币市场基金（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007758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平安乐享一年定期开放债券型证券投资基金</w:t>
            </w:r>
            <w:r>
              <w:rPr>
                <w:rFonts w:asciiTheme="minorEastAsia" w:eastAsiaTheme="minorEastAsia" w:hAnsiTheme="minorEastAsia" w:cstheme="minorEastAsia" w:hint="eastAsia"/>
                <w:color w:val="000000"/>
                <w:sz w:val="21"/>
                <w:szCs w:val="21"/>
                <w:lang/>
              </w:rPr>
              <w:t xml:space="preserve"> </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007759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平安乐享一年定期开放债券型证券投资基金</w:t>
            </w:r>
            <w:r>
              <w:rPr>
                <w:rFonts w:asciiTheme="minorEastAsia" w:eastAsiaTheme="minorEastAsia" w:hAnsiTheme="minorEastAsia" w:cstheme="minorEastAsia" w:hint="eastAsia"/>
                <w:color w:val="000000"/>
                <w:sz w:val="21"/>
                <w:szCs w:val="21"/>
                <w:lang/>
              </w:rPr>
              <w:t xml:space="preserve"> </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007859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w:t>
            </w:r>
            <w:r>
              <w:rPr>
                <w:rFonts w:asciiTheme="minorEastAsia" w:eastAsiaTheme="minorEastAsia" w:hAnsiTheme="minorEastAsia" w:cstheme="minorEastAsia" w:hint="eastAsia"/>
                <w:color w:val="000000"/>
                <w:sz w:val="21"/>
                <w:szCs w:val="21"/>
                <w:lang/>
              </w:rPr>
              <w:t>5-10</w:t>
            </w:r>
            <w:r>
              <w:rPr>
                <w:rFonts w:asciiTheme="minorEastAsia" w:eastAsiaTheme="minorEastAsia" w:hAnsiTheme="minorEastAsia" w:cstheme="minorEastAsia" w:hint="eastAsia"/>
                <w:color w:val="000000"/>
                <w:sz w:val="21"/>
                <w:szCs w:val="21"/>
                <w:lang/>
              </w:rPr>
              <w:t>年期政策性金融债债券型证券投资基金</w:t>
            </w:r>
            <w:r>
              <w:rPr>
                <w:rFonts w:asciiTheme="minorEastAsia" w:eastAsiaTheme="minorEastAsia" w:hAnsiTheme="minorEastAsia" w:cstheme="minorEastAsia" w:hint="eastAsia"/>
                <w:color w:val="000000"/>
                <w:sz w:val="21"/>
                <w:szCs w:val="21"/>
                <w:lang/>
              </w:rPr>
              <w:t xml:space="preserve"> (A</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69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007860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w:t>
            </w:r>
            <w:r>
              <w:rPr>
                <w:rFonts w:asciiTheme="minorEastAsia" w:eastAsiaTheme="minorEastAsia" w:hAnsiTheme="minorEastAsia" w:cstheme="minorEastAsia" w:hint="eastAsia"/>
                <w:color w:val="000000"/>
                <w:sz w:val="21"/>
                <w:szCs w:val="21"/>
                <w:lang/>
              </w:rPr>
              <w:t>5-10</w:t>
            </w:r>
            <w:r>
              <w:rPr>
                <w:rFonts w:asciiTheme="minorEastAsia" w:eastAsiaTheme="minorEastAsia" w:hAnsiTheme="minorEastAsia" w:cstheme="minorEastAsia" w:hint="eastAsia"/>
                <w:color w:val="000000"/>
                <w:sz w:val="21"/>
                <w:szCs w:val="21"/>
                <w:lang/>
              </w:rPr>
              <w:t>年期政策性金融债债券型证券投资基金（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70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007893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平安估值精选混合型证券投资基金（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71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007894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平安估值精选混合型证券投资基金（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72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007925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平安鑫享混合型证券投资基金（</w:t>
            </w:r>
            <w:r>
              <w:rPr>
                <w:rFonts w:asciiTheme="minorEastAsia" w:eastAsiaTheme="minorEastAsia" w:hAnsiTheme="minorEastAsia" w:cstheme="minorEastAsia" w:hint="eastAsia"/>
                <w:color w:val="000000"/>
                <w:sz w:val="21"/>
                <w:szCs w:val="21"/>
                <w:lang/>
              </w:rPr>
              <w:t>E</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73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007953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平安惠文纯债债券型证券投资基金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74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007954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平安惠涌纯债债券型证券投资基金（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75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008594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平安合润</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76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008595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平安惠智纯债债券型证券投资基金（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77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008596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平安乐顺</w:t>
            </w:r>
            <w:r>
              <w:rPr>
                <w:rFonts w:asciiTheme="minorEastAsia" w:eastAsiaTheme="minorEastAsia" w:hAnsiTheme="minorEastAsia" w:cstheme="minorEastAsia" w:hint="eastAsia"/>
                <w:color w:val="000000"/>
                <w:sz w:val="21"/>
                <w:szCs w:val="21"/>
                <w:lang/>
              </w:rPr>
              <w:t>39</w:t>
            </w:r>
            <w:r>
              <w:rPr>
                <w:rFonts w:asciiTheme="minorEastAsia" w:eastAsiaTheme="minorEastAsia" w:hAnsiTheme="minorEastAsia" w:cstheme="minorEastAsia" w:hint="eastAsia"/>
                <w:color w:val="000000"/>
                <w:sz w:val="21"/>
                <w:szCs w:val="21"/>
                <w:lang/>
              </w:rPr>
              <w:t>个月定期开放债券型证券投资基金（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78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008597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平安乐顺</w:t>
            </w:r>
            <w:r>
              <w:rPr>
                <w:rFonts w:asciiTheme="minorEastAsia" w:eastAsiaTheme="minorEastAsia" w:hAnsiTheme="minorEastAsia" w:cstheme="minorEastAsia" w:hint="eastAsia"/>
                <w:color w:val="000000"/>
                <w:sz w:val="21"/>
                <w:szCs w:val="21"/>
                <w:lang/>
              </w:rPr>
              <w:t>39</w:t>
            </w:r>
            <w:r>
              <w:rPr>
                <w:rFonts w:asciiTheme="minorEastAsia" w:eastAsiaTheme="minorEastAsia" w:hAnsiTheme="minorEastAsia" w:cstheme="minorEastAsia" w:hint="eastAsia"/>
                <w:color w:val="000000"/>
                <w:sz w:val="21"/>
                <w:szCs w:val="21"/>
                <w:lang/>
              </w:rPr>
              <w:t>个月定期开放债券型证券投资基金（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79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008690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平安增利六个月定期开放债券型证券投资基金（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008691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平安增利六个月定期开放债券型证券投资基金</w:t>
            </w:r>
            <w:r>
              <w:rPr>
                <w:rFonts w:asciiTheme="minorEastAsia" w:eastAsiaTheme="minorEastAsia" w:hAnsiTheme="minorEastAsia" w:cstheme="minorEastAsia" w:hint="eastAsia"/>
                <w:color w:val="000000"/>
                <w:sz w:val="21"/>
                <w:szCs w:val="21"/>
                <w:lang/>
              </w:rPr>
              <w:t xml:space="preserve"> </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008692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平安增利六个月定期开放债券型证券投资基金</w:t>
            </w:r>
            <w:r>
              <w:rPr>
                <w:rFonts w:asciiTheme="minorEastAsia" w:eastAsiaTheme="minorEastAsia" w:hAnsiTheme="minorEastAsia" w:cstheme="minorEastAsia" w:hint="eastAsia"/>
                <w:color w:val="000000"/>
                <w:sz w:val="21"/>
                <w:szCs w:val="21"/>
                <w:lang/>
              </w:rPr>
              <w:t xml:space="preserve"> </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E</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008727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平安添裕债券型证券投资基金（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008912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平安元丰中短债债券型证券投资基金（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008949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平安匠心优选混合型证券投资基金</w:t>
            </w:r>
            <w:r>
              <w:rPr>
                <w:rFonts w:asciiTheme="minorEastAsia" w:eastAsiaTheme="minorEastAsia" w:hAnsiTheme="minorEastAsia" w:cstheme="minorEastAsia" w:hint="eastAsia"/>
                <w:color w:val="000000"/>
                <w:sz w:val="21"/>
                <w:szCs w:val="21"/>
                <w:lang/>
              </w:rPr>
              <w:t xml:space="preserve"> (A</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008950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平安匠心优选混合型证券投资基金（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009012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平安创业板交易型开放式指数证券投资基金联接基金（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009013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平安创业板交易型开放式指数证券投资基金联接基金（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009053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平安合庆</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89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009148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平安合聚</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009166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平安合享</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009227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平安增鑫六个月定期开放债券型证券投资基金（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009228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平安增鑫六个月定期开放债券型证券投资基金（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009229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平安增鑫六个月定期开放债券型证券投资基金</w:t>
            </w:r>
            <w:r>
              <w:rPr>
                <w:rFonts w:asciiTheme="minorEastAsia" w:eastAsiaTheme="minorEastAsia" w:hAnsiTheme="minorEastAsia" w:cstheme="minorEastAsia" w:hint="eastAsia"/>
                <w:color w:val="000000"/>
                <w:sz w:val="21"/>
                <w:szCs w:val="21"/>
                <w:lang/>
              </w:rPr>
              <w:t xml:space="preserve"> (E</w:t>
            </w:r>
            <w:r>
              <w:rPr>
                <w:rFonts w:asciiTheme="minorEastAsia" w:eastAsiaTheme="minorEastAsia" w:hAnsiTheme="minorEastAsia" w:cstheme="minorEastAsia" w:hint="eastAsia"/>
                <w:color w:val="000000"/>
                <w:sz w:val="21"/>
                <w:szCs w:val="21"/>
                <w:lang/>
              </w:rPr>
              <w:t>类</w:t>
            </w:r>
            <w:r>
              <w:rPr>
                <w:rFonts w:asciiTheme="minorEastAsia" w:eastAsiaTheme="minorEastAsia" w:hAnsiTheme="minorEastAsia" w:cstheme="minorEastAsia" w:hint="eastAsia"/>
                <w:color w:val="000000"/>
                <w:sz w:val="21"/>
                <w:szCs w:val="21"/>
                <w:lang/>
              </w:rPr>
              <w:t>)</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009306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平安惠铭纯债债券型证券投资基金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009336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w:t>
            </w:r>
            <w:r>
              <w:rPr>
                <w:rFonts w:asciiTheme="minorEastAsia" w:eastAsiaTheme="minorEastAsia" w:hAnsiTheme="minorEastAsia" w:cstheme="minorEastAsia" w:hint="eastAsia"/>
                <w:color w:val="000000"/>
                <w:sz w:val="21"/>
                <w:szCs w:val="21"/>
                <w:lang/>
              </w:rPr>
              <w:t>500</w:t>
            </w:r>
            <w:r>
              <w:rPr>
                <w:rFonts w:asciiTheme="minorEastAsia" w:eastAsiaTheme="minorEastAsia" w:hAnsiTheme="minorEastAsia" w:cstheme="minorEastAsia" w:hint="eastAsia"/>
                <w:color w:val="000000"/>
                <w:sz w:val="21"/>
                <w:szCs w:val="21"/>
                <w:lang/>
              </w:rPr>
              <w:t>指数增强型发起式证券投资基金（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009337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w:t>
            </w:r>
            <w:r>
              <w:rPr>
                <w:rFonts w:asciiTheme="minorEastAsia" w:eastAsiaTheme="minorEastAsia" w:hAnsiTheme="minorEastAsia" w:cstheme="minorEastAsia" w:hint="eastAsia"/>
                <w:color w:val="000000"/>
                <w:sz w:val="21"/>
                <w:szCs w:val="21"/>
                <w:lang/>
              </w:rPr>
              <w:t>500</w:t>
            </w:r>
            <w:r>
              <w:rPr>
                <w:rFonts w:asciiTheme="minorEastAsia" w:eastAsiaTheme="minorEastAsia" w:hAnsiTheme="minorEastAsia" w:cstheme="minorEastAsia" w:hint="eastAsia"/>
                <w:color w:val="000000"/>
                <w:sz w:val="21"/>
                <w:szCs w:val="21"/>
                <w:lang/>
              </w:rPr>
              <w:t>指数增强型发起式证券投资基金（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009404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平安惠享纯债债券型证券投资基金（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009405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平安惠隆纯债债券型证券投资基金（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99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009406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平安高等级债债券型证券投资基金（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009453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平安合兴</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009509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平安惠润纯债债券型证券投资基金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009721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平安中债</w:t>
            </w:r>
            <w:r>
              <w:rPr>
                <w:rFonts w:asciiTheme="minorEastAsia" w:eastAsiaTheme="minorEastAsia" w:hAnsiTheme="minorEastAsia" w:cstheme="minorEastAsia" w:hint="eastAsia"/>
                <w:color w:val="000000"/>
                <w:sz w:val="21"/>
                <w:szCs w:val="21"/>
                <w:lang/>
              </w:rPr>
              <w:t>1-5</w:t>
            </w:r>
            <w:r>
              <w:rPr>
                <w:rFonts w:asciiTheme="minorEastAsia" w:eastAsiaTheme="minorEastAsia" w:hAnsiTheme="minorEastAsia" w:cstheme="minorEastAsia" w:hint="eastAsia"/>
                <w:color w:val="000000"/>
                <w:sz w:val="21"/>
                <w:szCs w:val="21"/>
                <w:lang/>
              </w:rPr>
              <w:t>年政策性金融债指数证券投资基金（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009722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平安中债</w:t>
            </w:r>
            <w:r>
              <w:rPr>
                <w:rFonts w:asciiTheme="minorEastAsia" w:eastAsiaTheme="minorEastAsia" w:hAnsiTheme="minorEastAsia" w:cstheme="minorEastAsia" w:hint="eastAsia"/>
                <w:color w:val="000000"/>
                <w:sz w:val="21"/>
                <w:szCs w:val="21"/>
                <w:lang/>
              </w:rPr>
              <w:t>1-5</w:t>
            </w:r>
            <w:r>
              <w:rPr>
                <w:rFonts w:asciiTheme="minorEastAsia" w:eastAsiaTheme="minorEastAsia" w:hAnsiTheme="minorEastAsia" w:cstheme="minorEastAsia" w:hint="eastAsia"/>
                <w:color w:val="000000"/>
                <w:sz w:val="21"/>
                <w:szCs w:val="21"/>
                <w:lang/>
              </w:rPr>
              <w:t>年政策性金融债指数证券投资基金（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010035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平安高等级债债券型证券投资基金（</w:t>
            </w:r>
            <w:r>
              <w:rPr>
                <w:rFonts w:asciiTheme="minorEastAsia" w:eastAsiaTheme="minorEastAsia" w:hAnsiTheme="minorEastAsia" w:cstheme="minorEastAsia" w:hint="eastAsia"/>
                <w:color w:val="000000"/>
                <w:sz w:val="21"/>
                <w:szCs w:val="21"/>
                <w:lang/>
              </w:rPr>
              <w:t>E</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010056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平安瑞兴</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010057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平安瑞兴</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010127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平安价值成长混合型证券投资基金（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010239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平安瑞尚六个月持有期混合型证券投资基金</w:t>
            </w:r>
            <w:r>
              <w:rPr>
                <w:rFonts w:asciiTheme="minorEastAsia" w:eastAsiaTheme="minorEastAsia" w:hAnsiTheme="minorEastAsia" w:cstheme="minorEastAsia" w:hint="eastAsia"/>
                <w:color w:val="000000"/>
                <w:sz w:val="21"/>
                <w:szCs w:val="21"/>
                <w:lang/>
              </w:rPr>
              <w:t xml:space="preserve"> </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109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010240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平安季季享</w:t>
            </w:r>
            <w:r>
              <w:rPr>
                <w:rFonts w:asciiTheme="minorEastAsia" w:eastAsiaTheme="minorEastAsia" w:hAnsiTheme="minorEastAsia" w:cstheme="minorEastAsia" w:hint="eastAsia"/>
                <w:color w:val="000000"/>
                <w:sz w:val="21"/>
                <w:szCs w:val="21"/>
                <w:lang/>
              </w:rPr>
              <w:t>3</w:t>
            </w:r>
            <w:r>
              <w:rPr>
                <w:rFonts w:asciiTheme="minorEastAsia" w:eastAsiaTheme="minorEastAsia" w:hAnsiTheme="minorEastAsia" w:cstheme="minorEastAsia" w:hint="eastAsia"/>
                <w:color w:val="000000"/>
                <w:sz w:val="21"/>
                <w:szCs w:val="21"/>
                <w:lang/>
              </w:rPr>
              <w:t>个月持有期债券型证券投资基金（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010244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平安瑞尚六个月持有期混合型证券投资基金</w:t>
            </w:r>
            <w:r>
              <w:rPr>
                <w:rFonts w:asciiTheme="minorEastAsia" w:eastAsiaTheme="minorEastAsia" w:hAnsiTheme="minorEastAsia" w:cstheme="minorEastAsia" w:hint="eastAsia"/>
                <w:color w:val="000000"/>
                <w:sz w:val="21"/>
                <w:szCs w:val="21"/>
                <w:lang/>
              </w:rPr>
              <w:t xml:space="preserve"> </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010643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平安兴诚混合型基金中基金（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011557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平安稳健养老目标一年持有期混合型基金中基金（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011761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平安鑫瑞混合型证券投资基金（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011762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平安鑫瑞混合型证券投资基金（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011807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平安研究精选混合型证券投资基金（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011808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平安研究精选混合型证券投资基金（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012418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平安合进</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012440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平安惠信</w:t>
            </w:r>
            <w:r>
              <w:rPr>
                <w:rFonts w:asciiTheme="minorEastAsia" w:eastAsiaTheme="minorEastAsia" w:hAnsiTheme="minorEastAsia" w:cstheme="minorEastAsia" w:hint="eastAsia"/>
                <w:color w:val="000000"/>
                <w:sz w:val="21"/>
                <w:szCs w:val="21"/>
                <w:lang/>
              </w:rPr>
              <w:t>3</w:t>
            </w:r>
            <w:r>
              <w:rPr>
                <w:rFonts w:asciiTheme="minorEastAsia" w:eastAsiaTheme="minorEastAsia" w:hAnsiTheme="minorEastAsia" w:cstheme="minorEastAsia" w:hint="eastAsia"/>
                <w:color w:val="000000"/>
                <w:sz w:val="21"/>
                <w:szCs w:val="21"/>
                <w:lang/>
              </w:rPr>
              <w:t>个月定期开放债券型证券投资基金（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119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012441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平安惠信</w:t>
            </w:r>
            <w:r>
              <w:rPr>
                <w:rFonts w:asciiTheme="minorEastAsia" w:eastAsiaTheme="minorEastAsia" w:hAnsiTheme="minorEastAsia" w:cstheme="minorEastAsia" w:hint="eastAsia"/>
                <w:color w:val="000000"/>
                <w:sz w:val="21"/>
                <w:szCs w:val="21"/>
                <w:lang/>
              </w:rPr>
              <w:t>3</w:t>
            </w:r>
            <w:r>
              <w:rPr>
                <w:rFonts w:asciiTheme="minorEastAsia" w:eastAsiaTheme="minorEastAsia" w:hAnsiTheme="minorEastAsia" w:cstheme="minorEastAsia" w:hint="eastAsia"/>
                <w:color w:val="000000"/>
                <w:sz w:val="21"/>
                <w:szCs w:val="21"/>
                <w:lang/>
              </w:rPr>
              <w:t>个月定期开放债券型证券投资基金（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012470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平安财富宝货币市场基金（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012698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平安中证新能源汽车产业交易型开放式指数证券投资基金发起式联接基金（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012699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平安中证新能源汽车产业交易型开放式指数证券投资基金发起式联接基金（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012722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平安中证光伏产业指数型发起式证券投资基金（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012723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平安中证光伏产业指数型发起式证券投资基金（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012902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平安添悦债券型证券投资基金（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012903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平安添悦债券型证券投资基金（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012917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平安优势领航</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012918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平安优势领航</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129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012931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平安双季盈</w:t>
            </w:r>
            <w:r>
              <w:rPr>
                <w:rFonts w:asciiTheme="minorEastAsia" w:eastAsiaTheme="minorEastAsia" w:hAnsiTheme="minorEastAsia" w:cstheme="minorEastAsia" w:hint="eastAsia"/>
                <w:color w:val="000000"/>
                <w:sz w:val="21"/>
                <w:szCs w:val="21"/>
                <w:lang/>
              </w:rPr>
              <w:t>6</w:t>
            </w:r>
            <w:r>
              <w:rPr>
                <w:rFonts w:asciiTheme="minorEastAsia" w:eastAsiaTheme="minorEastAsia" w:hAnsiTheme="minorEastAsia" w:cstheme="minorEastAsia" w:hint="eastAsia"/>
                <w:color w:val="000000"/>
                <w:sz w:val="21"/>
                <w:szCs w:val="21"/>
                <w:lang/>
              </w:rPr>
              <w:t>个月持有期债券型证券投资基金（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012932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平安双季盈</w:t>
            </w:r>
            <w:r>
              <w:rPr>
                <w:rFonts w:asciiTheme="minorEastAsia" w:eastAsiaTheme="minorEastAsia" w:hAnsiTheme="minorEastAsia" w:cstheme="minorEastAsia" w:hint="eastAsia"/>
                <w:color w:val="000000"/>
                <w:sz w:val="21"/>
                <w:szCs w:val="21"/>
                <w:lang/>
              </w:rPr>
              <w:t>6</w:t>
            </w:r>
            <w:r>
              <w:rPr>
                <w:rFonts w:asciiTheme="minorEastAsia" w:eastAsiaTheme="minorEastAsia" w:hAnsiTheme="minorEastAsia" w:cstheme="minorEastAsia" w:hint="eastAsia"/>
                <w:color w:val="000000"/>
                <w:sz w:val="21"/>
                <w:szCs w:val="21"/>
                <w:lang/>
              </w:rPr>
              <w:t>个月持有期债券型证券投资基金（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012959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平安盈悦稳进回报</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012960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平安盈悦稳进回报</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012985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平安优势回报</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012986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平安优势回报</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013023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平安均衡优选</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013024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平安均衡优选</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013375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平安元鑫</w:t>
            </w:r>
            <w:r>
              <w:rPr>
                <w:rFonts w:asciiTheme="minorEastAsia" w:eastAsiaTheme="minorEastAsia" w:hAnsiTheme="minorEastAsia" w:cstheme="minorEastAsia" w:hint="eastAsia"/>
                <w:color w:val="000000"/>
                <w:sz w:val="21"/>
                <w:szCs w:val="21"/>
                <w:lang/>
              </w:rPr>
              <w:t>120</w:t>
            </w:r>
            <w:r>
              <w:rPr>
                <w:rFonts w:asciiTheme="minorEastAsia" w:eastAsiaTheme="minorEastAsia" w:hAnsiTheme="minorEastAsia" w:cstheme="minorEastAsia" w:hint="eastAsia"/>
                <w:color w:val="000000"/>
                <w:sz w:val="21"/>
                <w:szCs w:val="21"/>
                <w:lang/>
              </w:rPr>
              <w:t>天滚动持有中短债债券型证券投资基金（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013376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平安元鑫</w:t>
            </w:r>
            <w:r>
              <w:rPr>
                <w:rFonts w:asciiTheme="minorEastAsia" w:eastAsiaTheme="minorEastAsia" w:hAnsiTheme="minorEastAsia" w:cstheme="minorEastAsia" w:hint="eastAsia"/>
                <w:color w:val="000000"/>
                <w:sz w:val="21"/>
                <w:szCs w:val="21"/>
                <w:lang/>
              </w:rPr>
              <w:t>120</w:t>
            </w:r>
            <w:r>
              <w:rPr>
                <w:rFonts w:asciiTheme="minorEastAsia" w:eastAsiaTheme="minorEastAsia" w:hAnsiTheme="minorEastAsia" w:cstheme="minorEastAsia" w:hint="eastAsia"/>
                <w:color w:val="000000"/>
                <w:sz w:val="21"/>
                <w:szCs w:val="21"/>
                <w:lang/>
              </w:rPr>
              <w:t>天滚动持有中短债债券型证券投资基金（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139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013482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平安合轩</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013687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平安成长龙头</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013688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平安成长龙头</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013765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平安恒泰</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013766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平安恒泰</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013864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平安元泓</w:t>
            </w:r>
            <w:r>
              <w:rPr>
                <w:rFonts w:asciiTheme="minorEastAsia" w:eastAsiaTheme="minorEastAsia" w:hAnsiTheme="minorEastAsia" w:cstheme="minorEastAsia" w:hint="eastAsia"/>
                <w:color w:val="000000"/>
                <w:sz w:val="21"/>
                <w:szCs w:val="21"/>
                <w:lang/>
              </w:rPr>
              <w:t>30</w:t>
            </w:r>
            <w:r>
              <w:rPr>
                <w:rFonts w:asciiTheme="minorEastAsia" w:eastAsiaTheme="minorEastAsia" w:hAnsiTheme="minorEastAsia" w:cstheme="minorEastAsia" w:hint="eastAsia"/>
                <w:color w:val="000000"/>
                <w:sz w:val="21"/>
                <w:szCs w:val="21"/>
                <w:lang/>
              </w:rPr>
              <w:t>天滚动持有短债债券型证券投资基金（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013865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平安元泓</w:t>
            </w:r>
            <w:r>
              <w:rPr>
                <w:rFonts w:asciiTheme="minorEastAsia" w:eastAsiaTheme="minorEastAsia" w:hAnsiTheme="minorEastAsia" w:cstheme="minorEastAsia" w:hint="eastAsia"/>
                <w:color w:val="000000"/>
                <w:sz w:val="21"/>
                <w:szCs w:val="21"/>
                <w:lang/>
              </w:rPr>
              <w:t>30</w:t>
            </w:r>
            <w:r>
              <w:rPr>
                <w:rFonts w:asciiTheme="minorEastAsia" w:eastAsiaTheme="minorEastAsia" w:hAnsiTheme="minorEastAsia" w:cstheme="minorEastAsia" w:hint="eastAsia"/>
                <w:color w:val="000000"/>
                <w:sz w:val="21"/>
                <w:szCs w:val="21"/>
                <w:lang/>
              </w:rPr>
              <w:t>天滚动持有短债债券型证券投资基金（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014081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平安中债</w:t>
            </w:r>
            <w:r>
              <w:rPr>
                <w:rFonts w:asciiTheme="minorEastAsia" w:eastAsiaTheme="minorEastAsia" w:hAnsiTheme="minorEastAsia" w:cstheme="minorEastAsia" w:hint="eastAsia"/>
                <w:color w:val="000000"/>
                <w:sz w:val="21"/>
                <w:szCs w:val="21"/>
                <w:lang/>
              </w:rPr>
              <w:t>1-3</w:t>
            </w:r>
            <w:r>
              <w:rPr>
                <w:rFonts w:asciiTheme="minorEastAsia" w:eastAsiaTheme="minorEastAsia" w:hAnsiTheme="minorEastAsia" w:cstheme="minorEastAsia" w:hint="eastAsia"/>
                <w:color w:val="000000"/>
                <w:sz w:val="21"/>
                <w:szCs w:val="21"/>
                <w:lang/>
              </w:rPr>
              <w:t>年国开行债券指数证券投资基金（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014082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平安中债</w:t>
            </w:r>
            <w:r>
              <w:rPr>
                <w:rFonts w:asciiTheme="minorEastAsia" w:eastAsiaTheme="minorEastAsia" w:hAnsiTheme="minorEastAsia" w:cstheme="minorEastAsia" w:hint="eastAsia"/>
                <w:color w:val="000000"/>
                <w:sz w:val="21"/>
                <w:szCs w:val="21"/>
                <w:lang/>
              </w:rPr>
              <w:t>1-3</w:t>
            </w:r>
            <w:r>
              <w:rPr>
                <w:rFonts w:asciiTheme="minorEastAsia" w:eastAsiaTheme="minorEastAsia" w:hAnsiTheme="minorEastAsia" w:cstheme="minorEastAsia" w:hint="eastAsia"/>
                <w:color w:val="000000"/>
                <w:sz w:val="21"/>
                <w:szCs w:val="21"/>
                <w:lang/>
              </w:rPr>
              <w:t>年国开行债券指数证券投资基金（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014460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平安品质优选混合型证券投资基金（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149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014461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平安品质优选混合型证券投资基金（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014468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平安元和</w:t>
            </w:r>
            <w:r>
              <w:rPr>
                <w:rFonts w:asciiTheme="minorEastAsia" w:eastAsiaTheme="minorEastAsia" w:hAnsiTheme="minorEastAsia" w:cstheme="minorEastAsia" w:hint="eastAsia"/>
                <w:color w:val="000000"/>
                <w:sz w:val="21"/>
                <w:szCs w:val="21"/>
                <w:lang/>
              </w:rPr>
              <w:t>90</w:t>
            </w:r>
            <w:r>
              <w:rPr>
                <w:rFonts w:asciiTheme="minorEastAsia" w:eastAsiaTheme="minorEastAsia" w:hAnsiTheme="minorEastAsia" w:cstheme="minorEastAsia" w:hint="eastAsia"/>
                <w:color w:val="000000"/>
                <w:sz w:val="21"/>
                <w:szCs w:val="21"/>
                <w:lang/>
              </w:rPr>
              <w:t>天滚动持有短债债券型证券投资基金（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014469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平安元和</w:t>
            </w:r>
            <w:r>
              <w:rPr>
                <w:rFonts w:asciiTheme="minorEastAsia" w:eastAsiaTheme="minorEastAsia" w:hAnsiTheme="minorEastAsia" w:cstheme="minorEastAsia" w:hint="eastAsia"/>
                <w:color w:val="000000"/>
                <w:sz w:val="21"/>
                <w:szCs w:val="21"/>
                <w:lang/>
              </w:rPr>
              <w:t>90</w:t>
            </w:r>
            <w:r>
              <w:rPr>
                <w:rFonts w:asciiTheme="minorEastAsia" w:eastAsiaTheme="minorEastAsia" w:hAnsiTheme="minorEastAsia" w:cstheme="minorEastAsia" w:hint="eastAsia"/>
                <w:color w:val="000000"/>
                <w:sz w:val="21"/>
                <w:szCs w:val="21"/>
                <w:lang/>
              </w:rPr>
              <w:t>天滚动持有短债债券型证券投资基金（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014710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平安惠韵纯债债券型证券投资基金（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014711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平安惠韵纯债债券型证券投资基金（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014811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平安兴奕成长</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014812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平安兴奕成长</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015021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平安交易型货币市场基金（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015078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平安灵活配置混合型证券投资基金（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015168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平安盈瑞六个月持有期债券型基金中基金（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159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015169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平安盈瑞六个月持有期债券型基金中基金（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015485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平安策略优选</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015486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平安策略优选</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015509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平安养老目标日期</w:t>
            </w:r>
            <w:r>
              <w:rPr>
                <w:rFonts w:asciiTheme="minorEastAsia" w:eastAsiaTheme="minorEastAsia" w:hAnsiTheme="minorEastAsia" w:cstheme="minorEastAsia" w:hint="eastAsia"/>
                <w:color w:val="000000"/>
                <w:sz w:val="21"/>
                <w:szCs w:val="21"/>
                <w:lang/>
              </w:rPr>
              <w:t>2030</w:t>
            </w:r>
            <w:r>
              <w:rPr>
                <w:rFonts w:asciiTheme="minorEastAsia" w:eastAsiaTheme="minorEastAsia" w:hAnsiTheme="minorEastAsia" w:cstheme="minorEastAsia" w:hint="eastAsia"/>
                <w:color w:val="000000"/>
                <w:sz w:val="21"/>
                <w:szCs w:val="21"/>
                <w:lang/>
              </w:rPr>
              <w:t>一年持有期混合型基金中基金（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015510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平安价值领航混合型证券投资基金（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015511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平安价值领航混合型证券投资基金（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015622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平安合禧</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015625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平安添润债券型证券投资基金（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015626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平安添润债券型证券投资基金（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015645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平安中证同业存单</w:t>
            </w:r>
            <w:r>
              <w:rPr>
                <w:rFonts w:asciiTheme="minorEastAsia" w:eastAsiaTheme="minorEastAsia" w:hAnsiTheme="minorEastAsia" w:cstheme="minorEastAsia" w:hint="eastAsia"/>
                <w:color w:val="000000"/>
                <w:sz w:val="21"/>
                <w:szCs w:val="21"/>
                <w:lang/>
              </w:rPr>
              <w:t>AAA</w:t>
            </w:r>
            <w:r>
              <w:rPr>
                <w:rFonts w:asciiTheme="minorEastAsia" w:eastAsiaTheme="minorEastAsia" w:hAnsiTheme="minorEastAsia" w:cstheme="minorEastAsia" w:hint="eastAsia"/>
                <w:color w:val="000000"/>
                <w:sz w:val="21"/>
                <w:szCs w:val="21"/>
                <w:lang/>
              </w:rPr>
              <w:t>指数</w:t>
            </w:r>
            <w:r>
              <w:rPr>
                <w:rFonts w:asciiTheme="minorEastAsia" w:eastAsiaTheme="minorEastAsia" w:hAnsiTheme="minorEastAsia" w:cstheme="minorEastAsia" w:hint="eastAsia"/>
                <w:color w:val="000000"/>
                <w:sz w:val="21"/>
                <w:szCs w:val="21"/>
                <w:lang/>
              </w:rPr>
              <w:t>7</w:t>
            </w:r>
            <w:r>
              <w:rPr>
                <w:rFonts w:asciiTheme="minorEastAsia" w:eastAsiaTheme="minorEastAsia" w:hAnsiTheme="minorEastAsia" w:cstheme="minorEastAsia" w:hint="eastAsia"/>
                <w:color w:val="000000"/>
                <w:sz w:val="21"/>
                <w:szCs w:val="21"/>
                <w:lang/>
              </w:rPr>
              <w:t>天持有期证券投资基金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169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015699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平安均衡成长</w:t>
            </w:r>
            <w:r>
              <w:rPr>
                <w:rFonts w:asciiTheme="minorEastAsia" w:eastAsiaTheme="minorEastAsia" w:hAnsiTheme="minorEastAsia" w:cstheme="minorEastAsia" w:hint="eastAsia"/>
                <w:color w:val="000000"/>
                <w:sz w:val="21"/>
                <w:szCs w:val="21"/>
                <w:lang/>
              </w:rPr>
              <w:t>2</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015700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平安均衡成长</w:t>
            </w:r>
            <w:r>
              <w:rPr>
                <w:rFonts w:asciiTheme="minorEastAsia" w:eastAsiaTheme="minorEastAsia" w:hAnsiTheme="minorEastAsia" w:cstheme="minorEastAsia" w:hint="eastAsia"/>
                <w:color w:val="000000"/>
                <w:sz w:val="21"/>
                <w:szCs w:val="21"/>
                <w:lang/>
              </w:rPr>
              <w:t>2</w:t>
            </w:r>
            <w:r>
              <w:rPr>
                <w:rFonts w:asciiTheme="minorEastAsia" w:eastAsiaTheme="minorEastAsia" w:hAnsiTheme="minorEastAsia" w:cstheme="minorEastAsia" w:hint="eastAsia"/>
                <w:color w:val="000000"/>
                <w:sz w:val="21"/>
                <w:szCs w:val="21"/>
                <w:lang/>
              </w:rPr>
              <w:t>年持有期混合型证券投资基金（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015720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平安元悦</w:t>
            </w:r>
            <w:r>
              <w:rPr>
                <w:rFonts w:asciiTheme="minorEastAsia" w:eastAsiaTheme="minorEastAsia" w:hAnsiTheme="minorEastAsia" w:cstheme="minorEastAsia" w:hint="eastAsia"/>
                <w:color w:val="000000"/>
                <w:sz w:val="21"/>
                <w:szCs w:val="21"/>
                <w:lang/>
              </w:rPr>
              <w:t>60</w:t>
            </w:r>
            <w:r>
              <w:rPr>
                <w:rFonts w:asciiTheme="minorEastAsia" w:eastAsiaTheme="minorEastAsia" w:hAnsiTheme="minorEastAsia" w:cstheme="minorEastAsia" w:hint="eastAsia"/>
                <w:color w:val="000000"/>
                <w:sz w:val="21"/>
                <w:szCs w:val="21"/>
                <w:lang/>
              </w:rPr>
              <w:t>天滚动持有短债债券型证券投资基金（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015721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平安元悦</w:t>
            </w:r>
            <w:r>
              <w:rPr>
                <w:rFonts w:asciiTheme="minorEastAsia" w:eastAsiaTheme="minorEastAsia" w:hAnsiTheme="minorEastAsia" w:cstheme="minorEastAsia" w:hint="eastAsia"/>
                <w:color w:val="000000"/>
                <w:sz w:val="21"/>
                <w:szCs w:val="21"/>
                <w:lang/>
              </w:rPr>
              <w:t>60</w:t>
            </w:r>
            <w:r>
              <w:rPr>
                <w:rFonts w:asciiTheme="minorEastAsia" w:eastAsiaTheme="minorEastAsia" w:hAnsiTheme="minorEastAsia" w:cstheme="minorEastAsia" w:hint="eastAsia"/>
                <w:color w:val="000000"/>
                <w:sz w:val="21"/>
                <w:szCs w:val="21"/>
                <w:lang/>
              </w:rPr>
              <w:t>天滚动持有短债债券型证券投资基金（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015830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平安惠复纯债债券型证券投资基金（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015831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平安惠复纯债债券型证券投资基金（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015882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平安盈泽</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年持有期债券型基金中基金（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015883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平安盈泽</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年持有期债券型基金中基金（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015894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平安中证消费电子主题交易型开放式指数证券投资基金发起式联接基金（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015895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平安中证消费电子主题交易型开放式指数证券投资基金发起式联接基金（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179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015938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平安盈福</w:t>
            </w:r>
            <w:r>
              <w:rPr>
                <w:rFonts w:asciiTheme="minorEastAsia" w:eastAsiaTheme="minorEastAsia" w:hAnsiTheme="minorEastAsia" w:cstheme="minorEastAsia" w:hint="eastAsia"/>
                <w:color w:val="000000"/>
                <w:sz w:val="21"/>
                <w:szCs w:val="21"/>
                <w:lang/>
              </w:rPr>
              <w:t>6</w:t>
            </w:r>
            <w:r>
              <w:rPr>
                <w:rFonts w:asciiTheme="minorEastAsia" w:eastAsiaTheme="minorEastAsia" w:hAnsiTheme="minorEastAsia" w:cstheme="minorEastAsia" w:hint="eastAsia"/>
                <w:color w:val="000000"/>
                <w:sz w:val="21"/>
                <w:szCs w:val="21"/>
                <w:lang/>
              </w:rPr>
              <w:t>个月持有期债券型基金中基金（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015939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平安盈福</w:t>
            </w:r>
            <w:r>
              <w:rPr>
                <w:rFonts w:asciiTheme="minorEastAsia" w:eastAsiaTheme="minorEastAsia" w:hAnsiTheme="minorEastAsia" w:cstheme="minorEastAsia" w:hint="eastAsia"/>
                <w:color w:val="000000"/>
                <w:sz w:val="21"/>
                <w:szCs w:val="21"/>
                <w:lang/>
              </w:rPr>
              <w:t>6</w:t>
            </w:r>
            <w:r>
              <w:rPr>
                <w:rFonts w:asciiTheme="minorEastAsia" w:eastAsiaTheme="minorEastAsia" w:hAnsiTheme="minorEastAsia" w:cstheme="minorEastAsia" w:hint="eastAsia"/>
                <w:color w:val="000000"/>
                <w:sz w:val="21"/>
                <w:szCs w:val="21"/>
                <w:lang/>
              </w:rPr>
              <w:t>个月持有期债券型基金中基金（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016447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平安双盈添益债券型证券投资基金（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016448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平安双盈添益债券型证券投资基金（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016621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平安盈诚积极配置</w:t>
            </w:r>
            <w:r>
              <w:rPr>
                <w:rFonts w:asciiTheme="minorEastAsia" w:eastAsiaTheme="minorEastAsia" w:hAnsiTheme="minorEastAsia" w:cstheme="minorEastAsia" w:hint="eastAsia"/>
                <w:color w:val="000000"/>
                <w:sz w:val="21"/>
                <w:szCs w:val="21"/>
                <w:lang/>
              </w:rPr>
              <w:t>6</w:t>
            </w:r>
            <w:r>
              <w:rPr>
                <w:rFonts w:asciiTheme="minorEastAsia" w:eastAsiaTheme="minorEastAsia" w:hAnsiTheme="minorEastAsia" w:cstheme="minorEastAsia" w:hint="eastAsia"/>
                <w:color w:val="000000"/>
                <w:sz w:val="21"/>
                <w:szCs w:val="21"/>
                <w:lang/>
              </w:rPr>
              <w:t>个月持有期混合型基金中基金（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016622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平安盈诚积极配置</w:t>
            </w:r>
            <w:r>
              <w:rPr>
                <w:rFonts w:asciiTheme="minorEastAsia" w:eastAsiaTheme="minorEastAsia" w:hAnsiTheme="minorEastAsia" w:cstheme="minorEastAsia" w:hint="eastAsia"/>
                <w:color w:val="000000"/>
                <w:sz w:val="21"/>
                <w:szCs w:val="21"/>
                <w:lang/>
              </w:rPr>
              <w:t>6</w:t>
            </w:r>
            <w:r>
              <w:rPr>
                <w:rFonts w:asciiTheme="minorEastAsia" w:eastAsiaTheme="minorEastAsia" w:hAnsiTheme="minorEastAsia" w:cstheme="minorEastAsia" w:hint="eastAsia"/>
                <w:color w:val="000000"/>
                <w:sz w:val="21"/>
                <w:szCs w:val="21"/>
                <w:lang/>
              </w:rPr>
              <w:t>个月持有期混合型基金中基金（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016662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平安元福短债债券型发起式证券投资基金（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016663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平安元福短债债券型发起式证券投资基金（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016783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平安养老目标日期</w:t>
            </w:r>
            <w:r>
              <w:rPr>
                <w:rFonts w:asciiTheme="minorEastAsia" w:eastAsiaTheme="minorEastAsia" w:hAnsiTheme="minorEastAsia" w:cstheme="minorEastAsia" w:hint="eastAsia"/>
                <w:color w:val="000000"/>
                <w:sz w:val="21"/>
                <w:szCs w:val="21"/>
                <w:lang/>
              </w:rPr>
              <w:t>2050</w:t>
            </w:r>
            <w:r>
              <w:rPr>
                <w:rFonts w:asciiTheme="minorEastAsia" w:eastAsiaTheme="minorEastAsia" w:hAnsiTheme="minorEastAsia" w:cstheme="minorEastAsia" w:hint="eastAsia"/>
                <w:color w:val="000000"/>
                <w:sz w:val="21"/>
                <w:szCs w:val="21"/>
                <w:lang/>
              </w:rPr>
              <w:t>三年持有期混合型发起式基金中基金</w:t>
            </w:r>
            <w:r>
              <w:rPr>
                <w:rFonts w:asciiTheme="minorEastAsia" w:eastAsiaTheme="minorEastAsia" w:hAnsiTheme="minorEastAsia" w:cstheme="minorEastAsia" w:hint="eastAsia"/>
                <w:color w:val="000000"/>
                <w:sz w:val="21"/>
                <w:szCs w:val="21"/>
                <w:lang/>
              </w:rPr>
              <w:t>(FOF)</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017207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平安惠禧纯债债券型证券投资基金（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189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017208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平安惠禧纯债债券型证券投资基金（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017532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平安研究优选混合型证券投资基金（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017533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平安研究优选混合型证券投资基金（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017549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平安策略回报混合型证券投资基金（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017550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平安策略回报混合型证券投资基金（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017755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平安养老目标日期</w:t>
            </w:r>
            <w:r>
              <w:rPr>
                <w:rFonts w:asciiTheme="minorEastAsia" w:eastAsiaTheme="minorEastAsia" w:hAnsiTheme="minorEastAsia" w:cstheme="minorEastAsia" w:hint="eastAsia"/>
                <w:color w:val="000000"/>
                <w:sz w:val="21"/>
                <w:szCs w:val="21"/>
                <w:lang/>
              </w:rPr>
              <w:t>2040</w:t>
            </w:r>
            <w:r>
              <w:rPr>
                <w:rFonts w:asciiTheme="minorEastAsia" w:eastAsiaTheme="minorEastAsia" w:hAnsiTheme="minorEastAsia" w:cstheme="minorEastAsia" w:hint="eastAsia"/>
                <w:color w:val="000000"/>
                <w:sz w:val="21"/>
                <w:szCs w:val="21"/>
                <w:lang/>
              </w:rPr>
              <w:t>三年持有期混合型发起式基金中基金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017776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平安合顺</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年定期开放债券型发起式证券投资基金</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018253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平安利率债债券型证券投资基金（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018254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平安利率债债券型证券投资基金（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018714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平安新鑫优选混合型证券投资基金（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199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018715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平安新鑫优选混合型证券投资基金（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019285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平安惠旭纯债债券型证券投资基金（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019286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平安惠旭纯债债券型证券投资基金（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019457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平安先进制造主题股票型发起式证券投资基金（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019458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平安先进制造主题股票型发起式证券投资基金（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019591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w:t>
            </w:r>
            <w:r>
              <w:rPr>
                <w:rFonts w:asciiTheme="minorEastAsia" w:eastAsiaTheme="minorEastAsia" w:hAnsiTheme="minorEastAsia" w:cstheme="minorEastAsia" w:hint="eastAsia"/>
                <w:color w:val="000000"/>
                <w:sz w:val="21"/>
                <w:szCs w:val="21"/>
                <w:lang/>
              </w:rPr>
              <w:t>0-3</w:t>
            </w:r>
            <w:r>
              <w:rPr>
                <w:rFonts w:asciiTheme="minorEastAsia" w:eastAsiaTheme="minorEastAsia" w:hAnsiTheme="minorEastAsia" w:cstheme="minorEastAsia" w:hint="eastAsia"/>
                <w:color w:val="000000"/>
                <w:sz w:val="21"/>
                <w:szCs w:val="21"/>
                <w:lang/>
              </w:rPr>
              <w:t>年期政策性金融债债券型证券投资基金（</w:t>
            </w:r>
            <w:r>
              <w:rPr>
                <w:rFonts w:asciiTheme="minorEastAsia" w:eastAsiaTheme="minorEastAsia" w:hAnsiTheme="minorEastAsia" w:cstheme="minorEastAsia" w:hint="eastAsia"/>
                <w:color w:val="000000"/>
                <w:sz w:val="21"/>
                <w:szCs w:val="21"/>
                <w:lang/>
              </w:rPr>
              <w:t>D</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019598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平安中证港股通医药卫生综合交易型开放式指数证券投资基金联接基金（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019599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平安中证港股通医药卫生综合交易型开放式指数证券投资基金联接基金（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019952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平安价值远见混合型证券投资基金（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019953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平安价值远见混合型证券投资基金（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209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020137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平安医疗健康混合型证券投资基金（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210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020262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平安鑫惠</w:t>
            </w:r>
            <w:r>
              <w:rPr>
                <w:rFonts w:asciiTheme="minorEastAsia" w:eastAsiaTheme="minorEastAsia" w:hAnsiTheme="minorEastAsia" w:cstheme="minorEastAsia" w:hint="eastAsia"/>
                <w:color w:val="000000"/>
                <w:sz w:val="21"/>
                <w:szCs w:val="21"/>
                <w:lang/>
              </w:rPr>
              <w:t>90</w:t>
            </w:r>
            <w:r>
              <w:rPr>
                <w:rFonts w:asciiTheme="minorEastAsia" w:eastAsiaTheme="minorEastAsia" w:hAnsiTheme="minorEastAsia" w:cstheme="minorEastAsia" w:hint="eastAsia"/>
                <w:color w:val="000000"/>
                <w:sz w:val="21"/>
                <w:szCs w:val="21"/>
                <w:lang/>
              </w:rPr>
              <w:t>天持有期债券型证券投资基金（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211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020263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平安鑫惠</w:t>
            </w:r>
            <w:r>
              <w:rPr>
                <w:rFonts w:asciiTheme="minorEastAsia" w:eastAsiaTheme="minorEastAsia" w:hAnsiTheme="minorEastAsia" w:cstheme="minorEastAsia" w:hint="eastAsia"/>
                <w:color w:val="000000"/>
                <w:sz w:val="21"/>
                <w:szCs w:val="21"/>
                <w:lang/>
              </w:rPr>
              <w:t>90</w:t>
            </w:r>
            <w:r>
              <w:rPr>
                <w:rFonts w:asciiTheme="minorEastAsia" w:eastAsiaTheme="minorEastAsia" w:hAnsiTheme="minorEastAsia" w:cstheme="minorEastAsia" w:hint="eastAsia"/>
                <w:color w:val="000000"/>
                <w:sz w:val="21"/>
                <w:szCs w:val="21"/>
                <w:lang/>
              </w:rPr>
              <w:t>天持有期债券型证券投资基金（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212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020301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平安惠嘉纯债债券型证券投资基金（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213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020302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平安惠嘉纯债债券型证券投资基金（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214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020322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平安惠智纯债债券型证券投资基金（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215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020456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平安上证红利低波动指数型证券投资基金（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216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020457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平安上证红利低波动指数型证券投资基金（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217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020458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平安医药精选股票型证券投资基金（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bookmarkStart w:id="0" w:name="_GoBack" w:colFirst="3" w:colLast="5"/>
            <w:r>
              <w:rPr>
                <w:rFonts w:hint="eastAsia"/>
                <w:color w:val="000000"/>
                <w:sz w:val="21"/>
                <w:szCs w:val="21"/>
                <w:lang/>
              </w:rPr>
              <w:t>218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020459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平安医药精选股票型证券投资基金（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219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020781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平安富时中国国企开放共赢交易型开放式指数证券投资基金联接基金（</w:t>
            </w:r>
            <w:r>
              <w:rPr>
                <w:rFonts w:hint="eastAsia"/>
                <w:color w:val="000000"/>
                <w:sz w:val="21"/>
                <w:szCs w:val="21"/>
                <w:lang/>
              </w:rPr>
              <w:t>A</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020782</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平安富时中国国企开放共赢交易型开放式指数证券投资基金联接基金（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020930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平安鼎信债券型证券投资基金（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020958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平安惠涌纯债债券型证券投资基金（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021001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平安惠利纯债债券型证券投资基金（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021003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平安惠利纯债债券型证券投资基金（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021046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平安港股通红利精选混合型发起式证券投资基金（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021047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平安港股通红利精选混合型发起式证券投资基金（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021155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平安惠锦纯债债券型证券投资基金（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021183</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平安中证</w:t>
            </w:r>
            <w:r>
              <w:rPr>
                <w:rFonts w:hint="eastAsia"/>
                <w:color w:val="000000"/>
                <w:sz w:val="21"/>
                <w:szCs w:val="21"/>
                <w:lang/>
              </w:rPr>
              <w:t>A50</w:t>
            </w:r>
            <w:r>
              <w:rPr>
                <w:rFonts w:hint="eastAsia"/>
                <w:color w:val="000000"/>
                <w:sz w:val="21"/>
                <w:szCs w:val="21"/>
                <w:lang/>
              </w:rPr>
              <w:t>交易型开放式指数证券投资基金联接基金（</w:t>
            </w:r>
            <w:r>
              <w:rPr>
                <w:rFonts w:hint="eastAsia"/>
                <w:color w:val="000000"/>
                <w:sz w:val="21"/>
                <w:szCs w:val="21"/>
                <w:lang/>
              </w:rPr>
              <w:t>A</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229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021184</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平安中证</w:t>
            </w:r>
            <w:r>
              <w:rPr>
                <w:rFonts w:hint="eastAsia"/>
                <w:color w:val="000000"/>
                <w:sz w:val="21"/>
                <w:szCs w:val="21"/>
                <w:lang/>
              </w:rPr>
              <w:t>A50</w:t>
            </w:r>
            <w:r>
              <w:rPr>
                <w:rFonts w:hint="eastAsia"/>
                <w:color w:val="000000"/>
                <w:sz w:val="21"/>
                <w:szCs w:val="21"/>
                <w:lang/>
              </w:rPr>
              <w:t>交易型开放式指数证券投资基金联接基金（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021409</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平安元利</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231</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021410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平安元利</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232</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021507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w:t>
            </w:r>
            <w:r>
              <w:rPr>
                <w:rFonts w:hint="eastAsia"/>
                <w:color w:val="000000"/>
                <w:sz w:val="21"/>
                <w:szCs w:val="21"/>
                <w:lang/>
              </w:rPr>
              <w:t>CFETS0-3</w:t>
            </w:r>
            <w:r>
              <w:rPr>
                <w:rFonts w:hint="eastAsia"/>
                <w:color w:val="000000"/>
                <w:sz w:val="21"/>
                <w:szCs w:val="21"/>
                <w:lang/>
              </w:rPr>
              <w:t>年期政策性金融债指数证券投资基金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233</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021508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w:t>
            </w:r>
            <w:r>
              <w:rPr>
                <w:rFonts w:hint="eastAsia"/>
                <w:color w:val="000000"/>
                <w:sz w:val="21"/>
                <w:szCs w:val="21"/>
                <w:lang/>
              </w:rPr>
              <w:t>CFETS0-3</w:t>
            </w:r>
            <w:r>
              <w:rPr>
                <w:rFonts w:hint="eastAsia"/>
                <w:color w:val="000000"/>
                <w:sz w:val="21"/>
                <w:szCs w:val="21"/>
                <w:lang/>
              </w:rPr>
              <w:t>年期政策性金融债指数证券投资基金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234</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021576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平安研究智选混合型证券投资基金（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235</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021577</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平安研究智选混合型证券投资基金（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236</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021675</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平安双季鑫</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237</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021676</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平安双季鑫</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238</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021901</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平安惠轩纯债债券型证券投资基金（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239</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021970</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w:t>
            </w:r>
            <w:r>
              <w:rPr>
                <w:rFonts w:hint="eastAsia"/>
                <w:color w:val="000000"/>
                <w:sz w:val="21"/>
                <w:szCs w:val="21"/>
                <w:lang/>
              </w:rPr>
              <w:t>5-10</w:t>
            </w:r>
            <w:r>
              <w:rPr>
                <w:rFonts w:hint="eastAsia"/>
                <w:color w:val="000000"/>
                <w:sz w:val="21"/>
                <w:szCs w:val="21"/>
                <w:lang/>
              </w:rPr>
              <w:t>年期政策性金融债债券型证券投资基金（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r w:rsidR="00361FF5">
        <w:trPr>
          <w:trHeight w:val="227"/>
        </w:trPr>
        <w:tc>
          <w:tcPr>
            <w:tcW w:w="658"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240</w:t>
            </w:r>
          </w:p>
        </w:tc>
        <w:tc>
          <w:tcPr>
            <w:tcW w:w="1112"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022138</w:t>
            </w:r>
          </w:p>
        </w:tc>
        <w:tc>
          <w:tcPr>
            <w:tcW w:w="4320" w:type="dxa"/>
            <w:vAlign w:val="center"/>
          </w:tcPr>
          <w:p w:rsidR="00361FF5" w:rsidRDefault="00023B74">
            <w:pPr>
              <w:textAlignment w:val="center"/>
              <w:rPr>
                <w:rFonts w:asciiTheme="minorEastAsia" w:eastAsiaTheme="minorEastAsia" w:hAnsiTheme="minorEastAsia" w:cstheme="minorEastAsia"/>
                <w:color w:val="000000"/>
                <w:sz w:val="21"/>
                <w:szCs w:val="21"/>
                <w:lang/>
              </w:rPr>
            </w:pPr>
            <w:r>
              <w:rPr>
                <w:rFonts w:hint="eastAsia"/>
                <w:color w:val="000000"/>
                <w:sz w:val="21"/>
                <w:szCs w:val="21"/>
                <w:lang/>
              </w:rPr>
              <w:t>平安元泓</w:t>
            </w:r>
            <w:r>
              <w:rPr>
                <w:rFonts w:hint="eastAsia"/>
                <w:color w:val="000000"/>
                <w:sz w:val="21"/>
                <w:szCs w:val="21"/>
                <w:lang/>
              </w:rPr>
              <w:t>30</w:t>
            </w:r>
            <w:r>
              <w:rPr>
                <w:rFonts w:hint="eastAsia"/>
                <w:color w:val="000000"/>
                <w:sz w:val="21"/>
                <w:szCs w:val="21"/>
                <w:lang/>
              </w:rPr>
              <w:t>天滚动持有短债债券型证券投资基金（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361FF5" w:rsidRDefault="00023B74">
            <w:pPr>
              <w:jc w:val="center"/>
              <w:textAlignment w:val="center"/>
              <w:rPr>
                <w:rFonts w:asciiTheme="minorEastAsia" w:eastAsiaTheme="minorEastAsia" w:hAnsiTheme="minorEastAsia" w:cstheme="minorEastAsia"/>
                <w:color w:val="000000"/>
                <w:sz w:val="21"/>
                <w:szCs w:val="21"/>
                <w:lang/>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361FF5" w:rsidRDefault="00023B74">
            <w:pPr>
              <w:jc w:val="center"/>
              <w:rPr>
                <w:rFonts w:cs="Arial"/>
                <w:sz w:val="21"/>
                <w:szCs w:val="21"/>
              </w:rPr>
            </w:pPr>
            <w:r>
              <w:rPr>
                <w:rFonts w:cs="Arial" w:hint="eastAsia"/>
                <w:sz w:val="21"/>
                <w:szCs w:val="21"/>
              </w:rPr>
              <w:t>参加</w:t>
            </w:r>
          </w:p>
        </w:tc>
      </w:tr>
    </w:tbl>
    <w:bookmarkEnd w:id="0"/>
    <w:p w:rsidR="00361FF5" w:rsidRDefault="00023B74">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361FF5" w:rsidRDefault="00023B74">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361FF5" w:rsidRDefault="00023B74">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构办理注册登记的其他基金的基金份额的行为。基金转换业务规则与转换业务的收费计算公式参见本公司网站的《平安基金管理有限公司关于旗下开放式基金转换业务规则说明的公告》。</w:t>
      </w:r>
    </w:p>
    <w:p w:rsidR="00361FF5" w:rsidRDefault="00023B74">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361FF5" w:rsidRDefault="00023B7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泰信财富</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泰信财富</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泰信财富</w:t>
      </w:r>
      <w:r>
        <w:rPr>
          <w:rFonts w:asciiTheme="minorEastAsia" w:eastAsiaTheme="minorEastAsia" w:hAnsiTheme="minorEastAsia" w:hint="eastAsia"/>
          <w:sz w:val="21"/>
          <w:szCs w:val="21"/>
        </w:rPr>
        <w:t>。本公司对其申购费率、定期定额申购费率以及转换业务的申购补差费率均不设折扣限制，优惠活动的费率折扣由</w:t>
      </w:r>
      <w:r>
        <w:rPr>
          <w:rFonts w:asciiTheme="minorEastAsia" w:eastAsiaTheme="minorEastAsia" w:hAnsiTheme="minorEastAsia" w:hint="eastAsia"/>
          <w:sz w:val="21"/>
          <w:szCs w:val="21"/>
        </w:rPr>
        <w:t>泰信财富</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泰信财富</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泰信财富</w:t>
      </w:r>
      <w:r>
        <w:rPr>
          <w:rFonts w:asciiTheme="minorEastAsia" w:eastAsiaTheme="minorEastAsia" w:hAnsiTheme="minorEastAsia" w:hint="eastAsia"/>
          <w:sz w:val="21"/>
          <w:szCs w:val="21"/>
        </w:rPr>
        <w:t>的活动公告为准，本公司不再另行公告。</w:t>
      </w:r>
    </w:p>
    <w:p w:rsidR="00361FF5" w:rsidRDefault="00023B7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361FF5" w:rsidRDefault="00023B74">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泰信财富基金销售有限公司</w:t>
      </w:r>
    </w:p>
    <w:p w:rsidR="00361FF5" w:rsidRDefault="00023B74">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4000048821</w:t>
      </w:r>
    </w:p>
    <w:p w:rsidR="00361FF5" w:rsidRDefault="00023B74">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www.taixincf.com</w:t>
      </w:r>
    </w:p>
    <w:p w:rsidR="00361FF5" w:rsidRDefault="00023B74">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361FF5" w:rsidRDefault="00023B74">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361FF5" w:rsidRDefault="00023B74">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361FF5" w:rsidRDefault="00023B7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w:t>
      </w:r>
      <w:r>
        <w:rPr>
          <w:rFonts w:asciiTheme="minorEastAsia" w:eastAsiaTheme="minorEastAsia" w:hAnsiTheme="minorEastAsia" w:hint="eastAsia"/>
          <w:sz w:val="21"/>
          <w:szCs w:val="21"/>
        </w:rPr>
        <w:t>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361FF5" w:rsidRDefault="00023B74">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361FF5" w:rsidRDefault="00361FF5">
      <w:pPr>
        <w:pStyle w:val="Default"/>
        <w:spacing w:line="360" w:lineRule="auto"/>
        <w:ind w:right="630" w:firstLineChars="2900" w:firstLine="6090"/>
        <w:rPr>
          <w:rFonts w:asciiTheme="minorEastAsia" w:eastAsiaTheme="minorEastAsia" w:hAnsiTheme="minorEastAsia"/>
          <w:sz w:val="21"/>
          <w:szCs w:val="21"/>
        </w:rPr>
      </w:pPr>
    </w:p>
    <w:p w:rsidR="00361FF5" w:rsidRDefault="00023B74">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361FF5" w:rsidRDefault="00023B74">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w:t>
      </w:r>
    </w:p>
    <w:sectPr w:rsidR="00361FF5" w:rsidSect="00361FF5">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12D9D"/>
    <w:rsid w:val="0002140B"/>
    <w:rsid w:val="00023B74"/>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2A27"/>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1FF5"/>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8E945A2"/>
    <w:rsid w:val="0A7905FD"/>
    <w:rsid w:val="0CBC30DB"/>
    <w:rsid w:val="0DB01F82"/>
    <w:rsid w:val="10FE7748"/>
    <w:rsid w:val="12FD03B3"/>
    <w:rsid w:val="13B05FD3"/>
    <w:rsid w:val="141B4B0A"/>
    <w:rsid w:val="18CB3795"/>
    <w:rsid w:val="18CF0341"/>
    <w:rsid w:val="1955189F"/>
    <w:rsid w:val="1C614DDB"/>
    <w:rsid w:val="1CD303EC"/>
    <w:rsid w:val="1F6422CD"/>
    <w:rsid w:val="21193631"/>
    <w:rsid w:val="247321DC"/>
    <w:rsid w:val="24B551A0"/>
    <w:rsid w:val="26F453D6"/>
    <w:rsid w:val="27A2716F"/>
    <w:rsid w:val="2CF653D4"/>
    <w:rsid w:val="31113B8D"/>
    <w:rsid w:val="32295481"/>
    <w:rsid w:val="373D1531"/>
    <w:rsid w:val="38413546"/>
    <w:rsid w:val="38C71038"/>
    <w:rsid w:val="3B865D6F"/>
    <w:rsid w:val="3DBD6105"/>
    <w:rsid w:val="3F9E79D3"/>
    <w:rsid w:val="4187034A"/>
    <w:rsid w:val="42726210"/>
    <w:rsid w:val="44E672FE"/>
    <w:rsid w:val="4671757A"/>
    <w:rsid w:val="477E3253"/>
    <w:rsid w:val="49E25BFB"/>
    <w:rsid w:val="49ED225A"/>
    <w:rsid w:val="49FB190C"/>
    <w:rsid w:val="4E0A2F23"/>
    <w:rsid w:val="4E6E4107"/>
    <w:rsid w:val="4E797F0A"/>
    <w:rsid w:val="50016951"/>
    <w:rsid w:val="51CF7E46"/>
    <w:rsid w:val="52071447"/>
    <w:rsid w:val="540A1CEF"/>
    <w:rsid w:val="54DF655A"/>
    <w:rsid w:val="5ABE2BBA"/>
    <w:rsid w:val="5DAD3226"/>
    <w:rsid w:val="5FF87482"/>
    <w:rsid w:val="60241DE6"/>
    <w:rsid w:val="6308378C"/>
    <w:rsid w:val="64EE2935"/>
    <w:rsid w:val="659506B8"/>
    <w:rsid w:val="66C80289"/>
    <w:rsid w:val="6728524B"/>
    <w:rsid w:val="67FF457E"/>
    <w:rsid w:val="6AF0063E"/>
    <w:rsid w:val="6C2731EE"/>
    <w:rsid w:val="6D0B68C2"/>
    <w:rsid w:val="6DF468AD"/>
    <w:rsid w:val="6E3E0599"/>
    <w:rsid w:val="74E03A9D"/>
    <w:rsid w:val="7558149C"/>
    <w:rsid w:val="75793CCE"/>
    <w:rsid w:val="761949E6"/>
    <w:rsid w:val="767A6DD9"/>
    <w:rsid w:val="7728448C"/>
    <w:rsid w:val="77AE5116"/>
    <w:rsid w:val="77E92C49"/>
    <w:rsid w:val="793F6DBB"/>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F5"/>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361FF5"/>
  </w:style>
  <w:style w:type="paragraph" w:styleId="a4">
    <w:name w:val="Balloon Text"/>
    <w:basedOn w:val="a"/>
    <w:link w:val="Char0"/>
    <w:semiHidden/>
    <w:unhideWhenUsed/>
    <w:qFormat/>
    <w:rsid w:val="00361FF5"/>
    <w:rPr>
      <w:sz w:val="18"/>
      <w:szCs w:val="18"/>
    </w:rPr>
  </w:style>
  <w:style w:type="paragraph" w:styleId="a5">
    <w:name w:val="footer"/>
    <w:basedOn w:val="a"/>
    <w:link w:val="Char1"/>
    <w:uiPriority w:val="99"/>
    <w:unhideWhenUsed/>
    <w:qFormat/>
    <w:rsid w:val="00361FF5"/>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361FF5"/>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361FF5"/>
    <w:rPr>
      <w:b/>
      <w:bCs/>
    </w:rPr>
  </w:style>
  <w:style w:type="character" w:styleId="a8">
    <w:name w:val="Hyperlink"/>
    <w:basedOn w:val="a0"/>
    <w:unhideWhenUsed/>
    <w:qFormat/>
    <w:rsid w:val="00361FF5"/>
    <w:rPr>
      <w:color w:val="0000FF" w:themeColor="hyperlink"/>
      <w:u w:val="single"/>
    </w:rPr>
  </w:style>
  <w:style w:type="character" w:styleId="a9">
    <w:name w:val="annotation reference"/>
    <w:basedOn w:val="a0"/>
    <w:semiHidden/>
    <w:unhideWhenUsed/>
    <w:qFormat/>
    <w:rsid w:val="00361FF5"/>
    <w:rPr>
      <w:sz w:val="21"/>
      <w:szCs w:val="21"/>
    </w:rPr>
  </w:style>
  <w:style w:type="paragraph" w:customStyle="1" w:styleId="Default">
    <w:name w:val="Default"/>
    <w:qFormat/>
    <w:rsid w:val="00361FF5"/>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361FF5"/>
    <w:rPr>
      <w:sz w:val="18"/>
      <w:szCs w:val="18"/>
    </w:rPr>
  </w:style>
  <w:style w:type="character" w:customStyle="1" w:styleId="Char1">
    <w:name w:val="页脚 Char"/>
    <w:basedOn w:val="a0"/>
    <w:link w:val="a5"/>
    <w:uiPriority w:val="99"/>
    <w:qFormat/>
    <w:rsid w:val="00361FF5"/>
    <w:rPr>
      <w:sz w:val="18"/>
      <w:szCs w:val="18"/>
    </w:rPr>
  </w:style>
  <w:style w:type="character" w:customStyle="1" w:styleId="Char0">
    <w:name w:val="批注框文本 Char"/>
    <w:basedOn w:val="a0"/>
    <w:link w:val="a4"/>
    <w:semiHidden/>
    <w:qFormat/>
    <w:rsid w:val="00361FF5"/>
    <w:rPr>
      <w:rFonts w:ascii="宋体" w:hAnsi="宋体" w:cs="宋体"/>
      <w:sz w:val="18"/>
      <w:szCs w:val="18"/>
    </w:rPr>
  </w:style>
  <w:style w:type="character" w:customStyle="1" w:styleId="Char">
    <w:name w:val="批注文字 Char"/>
    <w:basedOn w:val="a0"/>
    <w:link w:val="a3"/>
    <w:semiHidden/>
    <w:qFormat/>
    <w:rsid w:val="00361FF5"/>
    <w:rPr>
      <w:rFonts w:ascii="宋体" w:hAnsi="宋体" w:cs="宋体"/>
      <w:sz w:val="24"/>
      <w:szCs w:val="24"/>
    </w:rPr>
  </w:style>
  <w:style w:type="character" w:customStyle="1" w:styleId="Char3">
    <w:name w:val="批注主题 Char"/>
    <w:basedOn w:val="Char"/>
    <w:link w:val="a7"/>
    <w:semiHidden/>
    <w:qFormat/>
    <w:rsid w:val="00361FF5"/>
    <w:rPr>
      <w:rFonts w:ascii="宋体" w:hAnsi="宋体" w:cs="宋体"/>
      <w:b/>
      <w:bCs/>
      <w:sz w:val="24"/>
      <w:szCs w:val="24"/>
    </w:rPr>
  </w:style>
  <w:style w:type="paragraph" w:styleId="aa">
    <w:name w:val="List Paragraph"/>
    <w:basedOn w:val="a"/>
    <w:uiPriority w:val="34"/>
    <w:qFormat/>
    <w:rsid w:val="00361FF5"/>
    <w:pPr>
      <w:ind w:firstLineChars="200" w:firstLine="420"/>
    </w:pPr>
  </w:style>
  <w:style w:type="character" w:customStyle="1" w:styleId="font31">
    <w:name w:val="font31"/>
    <w:basedOn w:val="a0"/>
    <w:qFormat/>
    <w:rsid w:val="00361FF5"/>
    <w:rPr>
      <w:rFonts w:ascii="Helvetica" w:eastAsia="Helvetica" w:hAnsi="Helvetica" w:cs="Helvetica"/>
      <w:color w:val="333333"/>
      <w:sz w:val="24"/>
      <w:szCs w:val="24"/>
      <w:u w:val="none"/>
    </w:rPr>
  </w:style>
  <w:style w:type="character" w:customStyle="1" w:styleId="font41">
    <w:name w:val="font41"/>
    <w:basedOn w:val="a0"/>
    <w:qFormat/>
    <w:rsid w:val="00361FF5"/>
    <w:rPr>
      <w:rFonts w:ascii="宋体" w:eastAsia="宋体" w:hAnsi="宋体" w:cs="宋体" w:hint="eastAsia"/>
      <w:color w:val="333333"/>
      <w:sz w:val="24"/>
      <w:szCs w:val="24"/>
      <w:u w:val="none"/>
    </w:rPr>
  </w:style>
  <w:style w:type="character" w:customStyle="1" w:styleId="font01">
    <w:name w:val="font01"/>
    <w:basedOn w:val="a0"/>
    <w:qFormat/>
    <w:rsid w:val="00361FF5"/>
    <w:rPr>
      <w:rFonts w:ascii="Calibri" w:hAnsi="Calibri" w:cs="Calibri" w:hint="default"/>
      <w:color w:val="000000"/>
      <w:sz w:val="24"/>
      <w:szCs w:val="24"/>
      <w:u w:val="none"/>
    </w:rPr>
  </w:style>
  <w:style w:type="character" w:customStyle="1" w:styleId="font11">
    <w:name w:val="font11"/>
    <w:basedOn w:val="a0"/>
    <w:qFormat/>
    <w:rsid w:val="00361FF5"/>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1761</Words>
  <Characters>10044</Characters>
  <Application>Microsoft Office Word</Application>
  <DocSecurity>4</DocSecurity>
  <Lines>83</Lines>
  <Paragraphs>23</Paragraphs>
  <ScaleCrop>false</ScaleCrop>
  <Company>中国平安保险(集团)股份有限公司</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2026-04-21T16:03:00Z</dcterms:created>
  <dcterms:modified xsi:type="dcterms:W3CDTF">2026-04-21T16:03:00Z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