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68" w:rsidRDefault="00BE306F" w:rsidP="00BE306F">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南方基金</w:t>
      </w:r>
      <w:r>
        <w:rPr>
          <w:rFonts w:ascii="仿宋" w:eastAsia="仿宋" w:hAnsi="仿宋"/>
          <w:b/>
          <w:color w:val="000000" w:themeColor="text1"/>
          <w:sz w:val="36"/>
          <w:szCs w:val="36"/>
        </w:rPr>
        <w:t>管理股份有限公司</w:t>
      </w:r>
      <w:r>
        <w:rPr>
          <w:rFonts w:ascii="仿宋" w:eastAsia="仿宋" w:hAnsi="仿宋" w:hint="eastAsia"/>
          <w:b/>
          <w:color w:val="000000" w:themeColor="text1"/>
          <w:sz w:val="36"/>
          <w:szCs w:val="36"/>
        </w:rPr>
        <w:t>旗下基金</w:t>
      </w:r>
    </w:p>
    <w:p w:rsidR="005D6368" w:rsidRDefault="00BE306F" w:rsidP="00BE306F">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2026</w:t>
      </w:r>
      <w:r>
        <w:rPr>
          <w:rFonts w:ascii="仿宋" w:eastAsia="仿宋" w:hAnsi="仿宋" w:hint="eastAsia"/>
          <w:b/>
          <w:color w:val="000000" w:themeColor="text1"/>
          <w:sz w:val="36"/>
          <w:szCs w:val="36"/>
        </w:rPr>
        <w:t>年第一季度报告提示性公告</w:t>
      </w:r>
    </w:p>
    <w:p w:rsidR="005D6368" w:rsidRDefault="005D6368" w:rsidP="00BE306F">
      <w:pPr>
        <w:spacing w:line="540" w:lineRule="exact"/>
        <w:ind w:firstLineChars="50" w:firstLine="180"/>
        <w:jc w:val="center"/>
        <w:rPr>
          <w:rFonts w:ascii="仿宋" w:eastAsia="仿宋" w:hAnsi="仿宋"/>
          <w:b/>
          <w:color w:val="000000" w:themeColor="text1"/>
          <w:sz w:val="36"/>
          <w:szCs w:val="36"/>
        </w:rPr>
      </w:pPr>
    </w:p>
    <w:p w:rsidR="005D6368" w:rsidRDefault="00BE306F">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r>
        <w:rPr>
          <w:rFonts w:ascii="仿宋" w:eastAsia="仿宋" w:hAnsi="仿宋" w:hint="eastAsia"/>
          <w:color w:val="000000" w:themeColor="text1"/>
          <w:sz w:val="28"/>
          <w:szCs w:val="28"/>
        </w:rPr>
        <w:t>（以下简称“本公司”）董事会及董事保证基金</w:t>
      </w:r>
      <w:r>
        <w:rPr>
          <w:rFonts w:ascii="仿宋" w:eastAsia="仿宋" w:hAnsi="仿宋" w:hint="eastAsia"/>
          <w:color w:val="000000" w:themeColor="text1"/>
          <w:sz w:val="28"/>
          <w:szCs w:val="28"/>
        </w:rPr>
        <w:t>202</w:t>
      </w:r>
      <w:r>
        <w:rPr>
          <w:rFonts w:ascii="仿宋" w:eastAsia="仿宋" w:hAnsi="仿宋"/>
          <w:color w:val="000000" w:themeColor="text1"/>
          <w:sz w:val="28"/>
          <w:szCs w:val="28"/>
        </w:rPr>
        <w:t>6</w:t>
      </w:r>
      <w:r>
        <w:rPr>
          <w:rFonts w:ascii="仿宋" w:eastAsia="仿宋" w:hAnsi="仿宋" w:hint="eastAsia"/>
          <w:color w:val="000000" w:themeColor="text1"/>
          <w:sz w:val="28"/>
          <w:szCs w:val="28"/>
        </w:rPr>
        <w:t>年第一季度报告所载资料不存在虚假记载、误导性陈述或重大遗漏，并对其内容的真实性、准确性和完整性承担个别及连带责任。</w:t>
      </w:r>
    </w:p>
    <w:p w:rsidR="005D6368" w:rsidRDefault="00BE306F">
      <w:pPr>
        <w:spacing w:line="540" w:lineRule="exact"/>
        <w:ind w:firstLine="57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Pr>
          <w:rFonts w:ascii="仿宋" w:eastAsia="仿宋" w:hAnsi="仿宋" w:hint="eastAsia"/>
          <w:color w:val="000000" w:themeColor="text1"/>
          <w:sz w:val="28"/>
          <w:szCs w:val="28"/>
        </w:rPr>
        <w:t>202</w:t>
      </w:r>
      <w:r>
        <w:rPr>
          <w:rFonts w:ascii="仿宋" w:eastAsia="仿宋" w:hAnsi="仿宋"/>
          <w:color w:val="000000" w:themeColor="text1"/>
          <w:sz w:val="28"/>
          <w:szCs w:val="28"/>
        </w:rPr>
        <w:t>6</w:t>
      </w:r>
      <w:r>
        <w:rPr>
          <w:rFonts w:ascii="仿宋" w:eastAsia="仿宋" w:hAnsi="仿宋" w:hint="eastAsia"/>
          <w:color w:val="000000" w:themeColor="text1"/>
          <w:sz w:val="28"/>
          <w:szCs w:val="28"/>
        </w:rPr>
        <w:t>年第一季度报告涉及基金明细如下：</w:t>
      </w:r>
    </w:p>
    <w:tbl>
      <w:tblPr>
        <w:tblW w:w="12040" w:type="dxa"/>
        <w:tblLook w:val="04A0"/>
      </w:tblPr>
      <w:tblGrid>
        <w:gridCol w:w="12040"/>
      </w:tblGrid>
      <w:tr w:rsidR="005D6368">
        <w:trPr>
          <w:trHeight w:val="285"/>
        </w:trPr>
        <w:tc>
          <w:tcPr>
            <w:tcW w:w="12040" w:type="dxa"/>
            <w:tcBorders>
              <w:top w:val="nil"/>
              <w:left w:val="nil"/>
              <w:bottom w:val="nil"/>
              <w:right w:val="nil"/>
            </w:tcBorders>
            <w:shd w:val="clear" w:color="auto" w:fill="auto"/>
            <w:vAlign w:val="center"/>
          </w:tcPr>
          <w:tbl>
            <w:tblPr>
              <w:tblW w:w="10840" w:type="dxa"/>
              <w:tblLook w:val="04A0"/>
            </w:tblPr>
            <w:tblGrid>
              <w:gridCol w:w="10840"/>
            </w:tblGrid>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南方稳健成长证券投资基金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南方宝元债券型基金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南方现金增利基金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南方积极配置混合型证券投资基金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南方高增长混合型证券投资基金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南方多利增强债券型证券投资基金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南方稳健成长贰号证券投资基金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南方绩优成长混合型证券投资基金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南方成份精选混合型证券投资基金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南方全球精选配置证券投资基金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南方隆元产业主题混合型证券投资基金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南方盛元红利混合型证券投资基金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南方优选价值混合型证券投资基金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A100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交易型开放式指数证券投资基金联接基金</w:t>
                  </w:r>
                  <w:r>
                    <w:rPr>
                      <w:rFonts w:ascii="仿宋" w:eastAsia="仿宋" w:hAnsi="仿宋" w:hint="eastAsia"/>
                      <w:color w:val="000000" w:themeColor="text1"/>
                      <w:sz w:val="28"/>
                      <w:szCs w:val="28"/>
                    </w:rPr>
                    <w:t>(LOF)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深证成份交易型开放式指数证券投资基金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南方深证成份交易型开放式指数证券投资基金联接基金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南方策略优化混合型证券投资基金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中证南方小康产业交易型开放式指数证券投资基金联接基金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中证南方小康产业交易型开放式指数证券投资基金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南方广利回报债券型证券投资基金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南方优选成长混合型证券投资基金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南方平衡配置混合型证券投资基金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上证</w:t>
                  </w:r>
                  <w:r>
                    <w:rPr>
                      <w:rFonts w:ascii="仿宋" w:eastAsia="仿宋" w:hAnsi="仿宋" w:hint="eastAsia"/>
                      <w:color w:val="000000" w:themeColor="text1"/>
                      <w:sz w:val="28"/>
                      <w:szCs w:val="28"/>
                    </w:rPr>
                    <w:t>380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380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南方香港优选股票型证券投资基金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南方新兴消费增长股票型证券投资基金</w:t>
                  </w:r>
                  <w:r>
                    <w:rPr>
                      <w:rFonts w:ascii="仿宋" w:eastAsia="仿宋" w:hAnsi="仿宋" w:hint="eastAsia"/>
                      <w:color w:val="000000" w:themeColor="text1"/>
                      <w:sz w:val="28"/>
                      <w:szCs w:val="28"/>
                    </w:rPr>
                    <w:t>(LOF)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南方金利定期开放债券型证券投资基金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南方润元纯债债券型证券投资基金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南方旺元</w:t>
                  </w:r>
                  <w:r>
                    <w:rPr>
                      <w:rFonts w:ascii="仿宋" w:eastAsia="仿宋" w:hAnsi="仿宋" w:hint="eastAsia"/>
                      <w:color w:val="000000" w:themeColor="text1"/>
                      <w:sz w:val="28"/>
                      <w:szCs w:val="28"/>
                    </w:rPr>
                    <w:t>60</w:t>
                  </w:r>
                  <w:r>
                    <w:rPr>
                      <w:rFonts w:ascii="仿宋" w:eastAsia="仿宋" w:hAnsi="仿宋" w:hint="eastAsia"/>
                      <w:color w:val="000000" w:themeColor="text1"/>
                      <w:sz w:val="28"/>
                      <w:szCs w:val="28"/>
                    </w:rPr>
                    <w:t>天滚动持有中短债债券型证券投资基金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南方核心竞争混合型证券投资基金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南方收益宝货币市场基金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南方稳利</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南方丰元信用增强债券型证券投资基金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南方现金通货币市场基金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南方医药保健灵活配置混合型证券投资基金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南方新优享灵活配置混合型证券投资基金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南方通利债券型证券投资基金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中国梦灵活配置混合型证券投资基金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南方薪金宝货币市场基金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南方天元新产业股票型证券投资基金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南方高端装备混合型证券投资基金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南方启元债券型证券投资基金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南方绝对收益策略定期开放混合型发起式证券投资基金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南方理财金交易型货币市场基金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南方产业活力股票型证券投资基金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南方双元债券型证券投资基金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南方创新经济灵活配置混合型证券投资基金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南方利淘灵活配置混合型证券投资基金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南方大数据</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南方改革机遇灵活配置混合型证券投资基金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南方利鑫灵活配置混合型证券投资基金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南方利众灵活配置混合型证券投资基金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南方潜力新蓝筹混合型证券投资基金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南方中证高铁产业指数证券投资基金（</w:t>
                  </w:r>
                  <w:r>
                    <w:rPr>
                      <w:rFonts w:ascii="仿宋" w:eastAsia="仿宋" w:hAnsi="仿宋" w:hint="eastAsia"/>
                      <w:color w:val="000000" w:themeColor="text1"/>
                      <w:sz w:val="28"/>
                      <w:szCs w:val="28"/>
                    </w:rPr>
                    <w:t>LOF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南方大数据</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南方量化成长股票型证券投资基金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信息技术指数交易型开放式指数证券投资基金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南方利达灵活配置混合型证券投资基金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南方国策动力股票型证券投资基金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南方香港成长灵活配置混合型证券投资基金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南方中小盘成长股票型证券投资基金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南方利安灵活配置混合型证券投资基金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南方荣光灵活配置混合型证券投资基金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南方弘利定期开放债券型发起式证券投资基金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南方益和灵活配置混合型证券投资基金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南方君选灵活配置混合型证券投资基金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南方日添益货币市场基金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南方亚洲美元收益债券型证券投资基金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南方转型驱动灵活配置混合型证券投资基金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南方新兴龙头灵活配置混合型证券投资基金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南方原油证券投资基金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南方品质优选灵活配置混合型证券投资基金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南方转型增长灵活配置混合型证券投资基金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信息技术指数交易型开放式指数证券投资基金发起式联接基金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南方安泰混合型证券投资基金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南方颐元定期开放债券型发起式证券投资基金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1000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南方天天利货币市场基金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南方卓元债券型证券投资基金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南方安裕混合型证券投资基金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量化增强股票型发起式证券投资基金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南方宣利定期开放债券型证券投资基金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南方安颐混合型证券投资基金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南方宏元定期开放债券型发起式证券投资基金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南方产业智选股票型证券投资基金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南方军工改革灵活配置混合型证券投资基金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南方中证全指证券公司交易型开放式指数证券投资基金联接基金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南方中证全指证券公司交易型开放式指数证券投资基金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南方智慧精选灵活配置混合型证券投资基金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南方和元债券型证券投资基金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南方纯元债券型证券投资基金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南方安康混合型证券投资基金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南方中证银行交易型开放式指数证券投资基金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南方中证银行交易型开放式指数证券投资基金发起式联接基金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南方金融主题灵活配置混合型证券投资基金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南方中证申万有色金属交易型开放式指数证券投资基金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南方祥元债券型证券投资基金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南方天天宝货币市场基金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南方中证全指房地产交易型开放式指数证券投资基金发起式联接基金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南方中证全指房地产交易型开放式指数证券投资基金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南方中证申万有色金属交易型开放式指数证券投资基金发起式联接基金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南方兴利半年定期开放债券型发起式证券投资基金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南方兴盛先锋混合型证券投资基金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南方全天候策略混合型基金中基金</w:t>
                  </w:r>
                  <w:r>
                    <w:rPr>
                      <w:rFonts w:ascii="仿宋" w:eastAsia="仿宋" w:hAnsi="仿宋" w:hint="eastAsia"/>
                      <w:color w:val="000000" w:themeColor="text1"/>
                      <w:sz w:val="28"/>
                      <w:szCs w:val="28"/>
                    </w:rPr>
                    <w:t>(FOF)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南方道琼斯美国精选</w:t>
                  </w:r>
                  <w:r>
                    <w:rPr>
                      <w:rFonts w:ascii="仿宋" w:eastAsia="仿宋" w:hAnsi="仿宋" w:hint="eastAsia"/>
                      <w:color w:val="000000" w:themeColor="text1"/>
                      <w:sz w:val="28"/>
                      <w:szCs w:val="28"/>
                    </w:rPr>
                    <w:t>REIT</w:t>
                  </w:r>
                  <w:r>
                    <w:rPr>
                      <w:rFonts w:ascii="仿宋" w:eastAsia="仿宋" w:hAnsi="仿宋" w:hint="eastAsia"/>
                      <w:color w:val="000000" w:themeColor="text1"/>
                      <w:sz w:val="28"/>
                      <w:szCs w:val="28"/>
                    </w:rPr>
                    <w:t>指数证券投资基金（</w:t>
                  </w:r>
                  <w:r>
                    <w:rPr>
                      <w:rFonts w:ascii="仿宋" w:eastAsia="仿宋" w:hAnsi="仿宋" w:hint="eastAsia"/>
                      <w:color w:val="000000" w:themeColor="text1"/>
                      <w:sz w:val="28"/>
                      <w:szCs w:val="28"/>
                    </w:rPr>
                    <w:t>QDII-LOF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南方安福混合型证券投资基金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南方优享分红灵活配置混合型证券投资基金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南方卓利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南方恒生中国企业交易型开放式指数证券投资基金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南方恒生中国企业交易型开放式指数证券投资基金联接基金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南方浙利定期开放债券型发起式证券投资基金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南方乾利定期开放债券型发起式证券投资基金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南方希元可转债债券型证券投资基金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股国际通交易型开放式指数证券投资基金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南方涪利定期开放债券型发起式证券投资基金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南方成安优选灵活配置混合型证券投资基金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南方瑞祥一年定期开放灵活配置混合型证券投资基金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南方君信灵活配置混合型证券投资基金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股国际通交易型开放式指数证券投资基金发起式联接基金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南方优势产业灵活配置混合型证券投资基金</w:t>
                  </w:r>
                  <w:r>
                    <w:rPr>
                      <w:rFonts w:ascii="仿宋" w:eastAsia="仿宋" w:hAnsi="仿宋" w:hint="eastAsia"/>
                      <w:color w:val="000000" w:themeColor="text1"/>
                      <w:sz w:val="28"/>
                      <w:szCs w:val="28"/>
                    </w:rPr>
                    <w:t>(LOF)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南方瑞合三年定期开放混合型发起式证券投资基金</w:t>
                  </w:r>
                  <w:r>
                    <w:rPr>
                      <w:rFonts w:ascii="仿宋" w:eastAsia="仿宋" w:hAnsi="仿宋" w:hint="eastAsia"/>
                      <w:color w:val="000000" w:themeColor="text1"/>
                      <w:sz w:val="28"/>
                      <w:szCs w:val="28"/>
                    </w:rPr>
                    <w:t>(LOF)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南方泽元债券型证券投资基金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南方赢元债券型证券投资基金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南方人工智能主题混合型证券投资基金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2035</w:t>
                  </w:r>
                  <w:r>
                    <w:rPr>
                      <w:rFonts w:ascii="仿宋" w:eastAsia="仿宋" w:hAnsi="仿宋" w:hint="eastAsia"/>
                      <w:color w:val="000000" w:themeColor="text1"/>
                      <w:sz w:val="28"/>
                      <w:szCs w:val="28"/>
                    </w:rPr>
                    <w:t>三年持有期混合型基金中基金</w:t>
                  </w:r>
                  <w:r>
                    <w:rPr>
                      <w:rFonts w:ascii="仿宋" w:eastAsia="仿宋" w:hAnsi="仿宋" w:hint="eastAsia"/>
                      <w:color w:val="000000" w:themeColor="text1"/>
                      <w:sz w:val="28"/>
                      <w:szCs w:val="28"/>
                    </w:rPr>
                    <w:t>(FOF)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1-3</w:t>
                  </w:r>
                  <w:r>
                    <w:rPr>
                      <w:rFonts w:ascii="仿宋" w:eastAsia="仿宋" w:hAnsi="仿宋" w:hint="eastAsia"/>
                      <w:color w:val="000000" w:themeColor="text1"/>
                      <w:sz w:val="28"/>
                      <w:szCs w:val="28"/>
                    </w:rPr>
                    <w:t>年国开行债券指数证券投资基金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南方吉元短债债券型证券投资基金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3-5</w:t>
                  </w:r>
                  <w:r>
                    <w:rPr>
                      <w:rFonts w:ascii="仿宋" w:eastAsia="仿宋" w:hAnsi="仿宋" w:hint="eastAsia"/>
                      <w:color w:val="000000" w:themeColor="text1"/>
                      <w:sz w:val="28"/>
                      <w:szCs w:val="28"/>
                    </w:rPr>
                    <w:t>年农发行债券指数证券投资基金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南方交元债券型证券投资基金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南方畅利定期开放债券型发起式证券投资基金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南方昌元可转债债券型证券投资基金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南方国利</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南方合顺多资产配置混合型基金中基金</w:t>
                  </w:r>
                  <w:r>
                    <w:rPr>
                      <w:rFonts w:ascii="仿宋" w:eastAsia="仿宋" w:hAnsi="仿宋" w:hint="eastAsia"/>
                      <w:color w:val="000000" w:themeColor="text1"/>
                      <w:sz w:val="28"/>
                      <w:szCs w:val="28"/>
                    </w:rPr>
                    <w:t>(FOF)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南方华元债券型证券投资基金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南方臻元债券型证券投资基金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南方亨元债券型发起式证券投资基金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南方智诚混合型证券投资基金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7-10</w:t>
                  </w:r>
                  <w:r>
                    <w:rPr>
                      <w:rFonts w:ascii="仿宋" w:eastAsia="仿宋" w:hAnsi="仿宋" w:hint="eastAsia"/>
                      <w:color w:val="000000" w:themeColor="text1"/>
                      <w:sz w:val="28"/>
                      <w:szCs w:val="28"/>
                    </w:rPr>
                    <w:t>年国开行债券指数证券投资基金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南方鑫利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南方惠利</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个月定期开放债券型证券投资基金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南方科技创新混合型证券投资基金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南方富元稳健养老目标一年持有期混合型基金中基金（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南方恒庆一年定期开放债券型证券投资基金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南方致远混合型证券投资基金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南方顶峰</w:t>
                  </w:r>
                  <w:r>
                    <w:rPr>
                      <w:rFonts w:ascii="仿宋" w:eastAsia="仿宋" w:hAnsi="仿宋" w:hint="eastAsia"/>
                      <w:color w:val="000000" w:themeColor="text1"/>
                      <w:sz w:val="28"/>
                      <w:szCs w:val="28"/>
                    </w:rPr>
                    <w:t>TOPIX</w:t>
                  </w:r>
                  <w:r>
                    <w:rPr>
                      <w:rFonts w:ascii="仿宋" w:eastAsia="仿宋" w:hAnsi="仿宋" w:hint="eastAsia"/>
                      <w:color w:val="000000" w:themeColor="text1"/>
                      <w:sz w:val="28"/>
                      <w:szCs w:val="28"/>
                    </w:rPr>
                    <w:t>交易型开放式指数证券投资基金</w:t>
                  </w:r>
                  <w:r>
                    <w:rPr>
                      <w:rFonts w:ascii="仿宋" w:eastAsia="仿宋" w:hAnsi="仿宋" w:hint="eastAsia"/>
                      <w:color w:val="000000" w:themeColor="text1"/>
                      <w:sz w:val="28"/>
                      <w:szCs w:val="28"/>
                    </w:rPr>
                    <w:t>(QDII)</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南方初元中短债债券型发起式证券投资基金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南方信息创新混合型证券投资基金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南方旭元债券型发起式证券投资基金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南方泰元债券型发起式证券投资基金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南方恒新</w:t>
                  </w:r>
                  <w:r>
                    <w:rPr>
                      <w:rFonts w:ascii="仿宋" w:eastAsia="仿宋" w:hAnsi="仿宋" w:hint="eastAsia"/>
                      <w:color w:val="000000" w:themeColor="text1"/>
                      <w:sz w:val="28"/>
                      <w:szCs w:val="28"/>
                    </w:rPr>
                    <w:t>39</w:t>
                  </w:r>
                  <w:r>
                    <w:rPr>
                      <w:rFonts w:ascii="仿宋" w:eastAsia="仿宋" w:hAnsi="仿宋" w:hint="eastAsia"/>
                      <w:color w:val="000000" w:themeColor="text1"/>
                      <w:sz w:val="28"/>
                      <w:szCs w:val="28"/>
                    </w:rPr>
                    <w:t>个月定期开放债券型证券投资基金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南方贺元利率债债券型证券投资基金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南方聪元债券型发起式证券投资基金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南方智锐混合型证券投资基金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南方梦元短债债券型证券投资基金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南方定元中短债债券型证券投资基金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南方皓元短债债券型证券投资基金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2030</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ESG</w:t>
                  </w:r>
                  <w:r>
                    <w:rPr>
                      <w:rFonts w:ascii="仿宋" w:eastAsia="仿宋" w:hAnsi="仿宋" w:hint="eastAsia"/>
                      <w:color w:val="000000" w:themeColor="text1"/>
                      <w:sz w:val="28"/>
                      <w:szCs w:val="28"/>
                    </w:rPr>
                    <w:t>主题股票型证券投资基金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南方远利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南方宝泰一年持有期混合型证券投资基金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南方宁利一年定期开放债券型发起式证券投资基金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南方标普中国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股大盘红利低波</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南方标普中国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股大盘红利低波</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南方内需增长两年持有期股票型证券投资基金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南方尊利一年定期开放债券型发起式证券投资基金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南方鼎利一年定期开放债券型发起式证券投资基金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南方骏元中短期利率债债券型证券投资基金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南方宝丰混合型证券投资基金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南方乐元中短期利率债债券型证券投资基金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南方得利一年定期开放债券型发起式证券投资基金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1-5</w:t>
                  </w:r>
                  <w:r>
                    <w:rPr>
                      <w:rFonts w:ascii="仿宋" w:eastAsia="仿宋" w:hAnsi="仿宋" w:hint="eastAsia"/>
                      <w:color w:val="000000" w:themeColor="text1"/>
                      <w:sz w:val="28"/>
                      <w:szCs w:val="28"/>
                    </w:rPr>
                    <w:t>年国开行债券指数证券投资基金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南方瑞盛三年持有期混合型证券投资基金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指数增强型发起式证券投资基金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指数增强型证券投资基金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南方誉慧一年持有期混合型证券投资基金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南方招利一年定期开放债券型发起式证券投资基金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南方昭元债券型发起式证券投资基金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南方成长先锋混合型证券投资基金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南方升元中短期利率债债券型证券投资基金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南方核心成长混合型证券投资基金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南方创新精选一年定期开放混合型发起式证券投资基金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2045</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南方高股息主题股票型证券投资基金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南方科创板</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年定期开放混合型证券投资基金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2040</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南方景气驱动混合型证券投资基金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0-2</w:t>
                  </w:r>
                  <w:r>
                    <w:rPr>
                      <w:rFonts w:ascii="仿宋" w:eastAsia="仿宋" w:hAnsi="仿宋" w:hint="eastAsia"/>
                      <w:color w:val="000000" w:themeColor="text1"/>
                      <w:sz w:val="28"/>
                      <w:szCs w:val="28"/>
                    </w:rPr>
                    <w:t>年国开行债券指数证券投资基金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南方产业优势两年持有期混合型证券投资基金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南方创新驱动混合型证券投资基金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w:t>
                  </w: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年定期开放混合型证券投资基金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南方创新成长混合型证券投资基金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南方行业精选一年持有期混合型证券投资基金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南方誉尚一年持有期混合型证券投资基金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南方中证互联网指数证券投资基金</w:t>
                  </w:r>
                  <w:r>
                    <w:rPr>
                      <w:rFonts w:ascii="仿宋" w:eastAsia="仿宋" w:hAnsi="仿宋" w:hint="eastAsia"/>
                      <w:color w:val="000000" w:themeColor="text1"/>
                      <w:sz w:val="28"/>
                      <w:szCs w:val="28"/>
                    </w:rPr>
                    <w:t>(LOF)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南方产业升级混合型证券投资基金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南方沪港深核心优势混合型证券投资基金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南方宁悦一年持有期混合型证券投资基金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南方宝升混合型证券投资基金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南方阿尔法混合型证券投资基金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南方消费升级混合型证券投资基金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南方中证新能源交易型开放式指数证券投资基金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南方匠心优选股票型证券投资基金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南方兴润价值一年持有期混合型证券投资基金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南方卓越优选</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南方医药创新股票型证券投资基金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南方优质企业混合型证券投资基金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南方中证创新药产业交易型开放式指数证券投资基金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南方宝顺混合型证券投资基金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南方远见回报股票型证券投资基金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南方崇元纯债债券型证券投资基金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南方誉享一年持有期混合型证券投资基金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南方浩睿进取京选</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南方均衡回报混合型证券投资基金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南方誉浦一年持有期混合型证券投资基金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南方晖元</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南方宝恒混合型证券投资基金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南方景元中高等级信用债债券型证券投资基金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南方臻利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南方佳元</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南方价值臻选混合型证券投资基金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南方中证科创创业</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南方中证香港科技交易型开放式指数证券投资基金</w:t>
                  </w:r>
                  <w:r>
                    <w:rPr>
                      <w:rFonts w:ascii="仿宋" w:eastAsia="仿宋" w:hAnsi="仿宋" w:hint="eastAsia"/>
                      <w:color w:val="000000" w:themeColor="text1"/>
                      <w:sz w:val="28"/>
                      <w:szCs w:val="28"/>
                    </w:rPr>
                    <w:t>(QDII)</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南方港股通优势企业混合型证券投资基金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南方富瑞稳健养老目标一年持有期混合型基金中基金</w:t>
                  </w:r>
                  <w:r>
                    <w:rPr>
                      <w:rFonts w:ascii="仿宋" w:eastAsia="仿宋" w:hAnsi="仿宋" w:hint="eastAsia"/>
                      <w:color w:val="000000" w:themeColor="text1"/>
                      <w:sz w:val="28"/>
                      <w:szCs w:val="28"/>
                    </w:rPr>
                    <w:t>(FOF)</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南方行业领先混合型证券投资基金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南方中国新兴经济</w:t>
                  </w:r>
                  <w:r>
                    <w:rPr>
                      <w:rFonts w:ascii="仿宋" w:eastAsia="仿宋" w:hAnsi="仿宋" w:hint="eastAsia"/>
                      <w:color w:val="000000" w:themeColor="text1"/>
                      <w:sz w:val="28"/>
                      <w:szCs w:val="28"/>
                    </w:rPr>
                    <w:t>9</w:t>
                  </w:r>
                  <w:r>
                    <w:rPr>
                      <w:rFonts w:ascii="仿宋" w:eastAsia="仿宋" w:hAnsi="仿宋" w:hint="eastAsia"/>
                      <w:color w:val="000000" w:themeColor="text1"/>
                      <w:sz w:val="28"/>
                      <w:szCs w:val="28"/>
                    </w:rPr>
                    <w:t>个月持有期混合型证券投资基金</w:t>
                  </w:r>
                  <w:r>
                    <w:rPr>
                      <w:rFonts w:ascii="仿宋" w:eastAsia="仿宋" w:hAnsi="仿宋" w:hint="eastAsia"/>
                      <w:color w:val="000000" w:themeColor="text1"/>
                      <w:sz w:val="28"/>
                      <w:szCs w:val="28"/>
                    </w:rPr>
                    <w:t>(QDII)</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南方中证科创创业</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南方中证新能源交易型开放式指数证券投资基金联接基金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南方新能源产业趋势混合型证券投资基金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南方均衡优选一年持有期混合型证券投资基金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南方蓝筹成长混合型证券投资基金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1000</w:t>
                  </w:r>
                  <w:r>
                    <w:rPr>
                      <w:rFonts w:ascii="仿宋" w:eastAsia="仿宋" w:hAnsi="仿宋" w:hint="eastAsia"/>
                      <w:color w:val="000000" w:themeColor="text1"/>
                      <w:sz w:val="28"/>
                      <w:szCs w:val="28"/>
                    </w:rPr>
                    <w:t>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南方富誉稳健养老目标一年持有期混合型基金中基金（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南方中证全指医疗保健设备与服务交易型开放式指数证券投资基金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南方永元一年持有期债券型证券投资基金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A50</w:t>
                  </w:r>
                  <w:r>
                    <w:rPr>
                      <w:rFonts w:ascii="仿宋" w:eastAsia="仿宋" w:hAnsi="仿宋" w:hint="eastAsia"/>
                      <w:color w:val="000000" w:themeColor="text1"/>
                      <w:sz w:val="28"/>
                      <w:szCs w:val="28"/>
                    </w:rPr>
                    <w:t>互联互通交易型开放式指数证券投资基金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南方中证物联网主题交易型开放式指数证券投资基金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南方月月享</w:t>
                  </w:r>
                  <w:r>
                    <w:rPr>
                      <w:rFonts w:ascii="仿宋" w:eastAsia="仿宋" w:hAnsi="仿宋" w:hint="eastAsia"/>
                      <w:color w:val="000000" w:themeColor="text1"/>
                      <w:sz w:val="28"/>
                      <w:szCs w:val="28"/>
                    </w:rPr>
                    <w:t>30</w:t>
                  </w:r>
                  <w:r>
                    <w:rPr>
                      <w:rFonts w:ascii="仿宋" w:eastAsia="仿宋" w:hAnsi="仿宋" w:hint="eastAsia"/>
                      <w:color w:val="000000" w:themeColor="text1"/>
                      <w:sz w:val="28"/>
                      <w:szCs w:val="28"/>
                    </w:rPr>
                    <w:t>天滚动持有债券型发起式证券投资基金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南方领航优选混合型证券投资基金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南方北交所精选两年定期开放混合型发起式证券投资基金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南方定利一年定期开放债券型证券投资基金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南方中证长江保护主题交易型开放式指数证券投资基金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南方誉盈一年持有期混合型证券投资基金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成份交易型开放式指数证券投资基金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南方富时中国国企开放共赢交易型开放式指数证券投资基金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南方中证同业存单</w:t>
                  </w:r>
                  <w:r>
                    <w:rPr>
                      <w:rFonts w:ascii="仿宋" w:eastAsia="仿宋" w:hAnsi="仿宋" w:hint="eastAsia"/>
                      <w:color w:val="000000" w:themeColor="text1"/>
                      <w:sz w:val="28"/>
                      <w:szCs w:val="28"/>
                    </w:rPr>
                    <w:t>AAA</w:t>
                  </w:r>
                  <w:r>
                    <w:rPr>
                      <w:rFonts w:ascii="仿宋" w:eastAsia="仿宋" w:hAnsi="仿宋" w:hint="eastAsia"/>
                      <w:color w:val="000000" w:themeColor="text1"/>
                      <w:sz w:val="28"/>
                      <w:szCs w:val="28"/>
                    </w:rPr>
                    <w:t>指数</w:t>
                  </w:r>
                  <w:r>
                    <w:rPr>
                      <w:rFonts w:ascii="仿宋" w:eastAsia="仿宋" w:hAnsi="仿宋" w:hint="eastAsia"/>
                      <w:color w:val="000000" w:themeColor="text1"/>
                      <w:sz w:val="28"/>
                      <w:szCs w:val="28"/>
                    </w:rPr>
                    <w:t>7</w:t>
                  </w:r>
                  <w:r>
                    <w:rPr>
                      <w:rFonts w:ascii="仿宋" w:eastAsia="仿宋" w:hAnsi="仿宋" w:hint="eastAsia"/>
                      <w:color w:val="000000" w:themeColor="text1"/>
                      <w:sz w:val="28"/>
                      <w:szCs w:val="28"/>
                    </w:rPr>
                    <w:t>天持有期证券投资基金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南方港股创新视野一年持有期混合型证券投资基金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南方国证在线消费交易型开放式指数证券投资基金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南方专精特新混合型证券投资基金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A50</w:t>
                  </w:r>
                  <w:r>
                    <w:rPr>
                      <w:rFonts w:ascii="仿宋" w:eastAsia="仿宋" w:hAnsi="仿宋" w:hint="eastAsia"/>
                      <w:color w:val="000000" w:themeColor="text1"/>
                      <w:sz w:val="28"/>
                      <w:szCs w:val="28"/>
                    </w:rPr>
                    <w:t>互联互通交易型开放式指数证券投资基金联接基金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南方宝昌混合型证券投资基金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增强策略交易型开放式指数证券投资基金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南方通元</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南方比较优势混合型证券投资基金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南方新兴产业混合型证券投资基金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南方宝裕混合型证券投资基金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南方上海金交易型开放式证券投资基金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南方发展机遇一年持有期混合型证券投资基金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2050</w:t>
                  </w:r>
                  <w:r>
                    <w:rPr>
                      <w:rFonts w:ascii="仿宋" w:eastAsia="仿宋" w:hAnsi="仿宋" w:hint="eastAsia"/>
                      <w:color w:val="000000" w:themeColor="text1"/>
                      <w:sz w:val="28"/>
                      <w:szCs w:val="28"/>
                    </w:rPr>
                    <w:t>五年持有期混合型发起式基金中基金（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南方信元债券型证券投资基金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南方竞争优势混合型证券投资基金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南方富祥稳健养老目标一年持有期混合型基金中基金（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南方浩益进取聚申</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南方誉稳一年持有期混合型证券投资基金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南方恒生生物科技交易型开放式指数证券投资基金</w:t>
                  </w:r>
                  <w:r>
                    <w:rPr>
                      <w:rFonts w:ascii="仿宋" w:eastAsia="仿宋" w:hAnsi="仿宋" w:hint="eastAsia"/>
                      <w:color w:val="000000" w:themeColor="text1"/>
                      <w:sz w:val="28"/>
                      <w:szCs w:val="28"/>
                    </w:rPr>
                    <w:t>(QDII)</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南方宝嘉混合型证券投资基金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南方中证上海环交所碳中和交易型开放式指数证券投资基金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南方晨利一年定期开放债券型发起式证券投资基金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南方宝祥混合型证券投资基金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南方高质量优选混合型证券投资基金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南方鑫悦</w:t>
                  </w:r>
                  <w:r>
                    <w:rPr>
                      <w:rFonts w:ascii="仿宋" w:eastAsia="仿宋" w:hAnsi="仿宋" w:hint="eastAsia"/>
                      <w:color w:val="000000" w:themeColor="text1"/>
                      <w:sz w:val="28"/>
                      <w:szCs w:val="28"/>
                    </w:rPr>
                    <w:t>15</w:t>
                  </w:r>
                  <w:r>
                    <w:rPr>
                      <w:rFonts w:ascii="仿宋" w:eastAsia="仿宋" w:hAnsi="仿宋" w:hint="eastAsia"/>
                      <w:color w:val="000000" w:themeColor="text1"/>
                      <w:sz w:val="28"/>
                      <w:szCs w:val="28"/>
                    </w:rPr>
                    <w:t>个月持有期混合型证券投资基金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南方耀元债券型证券投资基金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南方光元债券型证券投资基金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南方上证科创板新材料交易型开放式指数证券投资基金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南方均衡成长混合型证券投资基金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南方浩鑫稳健优选</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南方振元债券型发起式证券投资基金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南方浩誉稳健</w:t>
                  </w:r>
                  <w:r>
                    <w:rPr>
                      <w:rFonts w:ascii="仿宋" w:eastAsia="仿宋" w:hAnsi="仿宋" w:hint="eastAsia"/>
                      <w:color w:val="000000" w:themeColor="text1"/>
                      <w:sz w:val="28"/>
                      <w:szCs w:val="28"/>
                    </w:rPr>
                    <w:t>18</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南方君誉混合型证券投资基金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南方国证交通运输行业交易型开放式指数证券投资基金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南方稳鑫</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南方纳斯达克</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指数发起式证券投资基金（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成份增强策略交易型开放式指数证券投资基金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南方基金南方东英富时亚太低碳精选交易型开放式指数证券投资基金（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南方中证政策性金融债指数证券投资基金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南方北证</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成份指数发起式证券投资基金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2060</w:t>
                  </w:r>
                  <w:r>
                    <w:rPr>
                      <w:rFonts w:ascii="仿宋" w:eastAsia="仿宋" w:hAnsi="仿宋" w:hint="eastAsia"/>
                      <w:color w:val="000000" w:themeColor="text1"/>
                      <w:sz w:val="28"/>
                      <w:szCs w:val="28"/>
                    </w:rPr>
                    <w:t>五年持有期混合型发起式基金中基金（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南方前瞻动力混合型证券投资基金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南方浩祥</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个月持有期债券型发起式基金中基金（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南方中证主要消费交易型开放式指数证券投资基金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南方景气前瞻混合型证券投资基金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南方新材料股票型发起式证券投资基金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南方标普</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2055</w:t>
                  </w:r>
                  <w:r>
                    <w:rPr>
                      <w:rFonts w:ascii="仿宋" w:eastAsia="仿宋" w:hAnsi="仿宋" w:hint="eastAsia"/>
                      <w:color w:val="000000" w:themeColor="text1"/>
                      <w:sz w:val="28"/>
                      <w:szCs w:val="28"/>
                    </w:rPr>
                    <w:t>五年持有期混合型发起式基金中基金（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南方达元债券型证券投资基金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南方浩恒稳健优选</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南方中证长江保护主题交易型开放式指数证券投资基金联接基金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300ESG</w:t>
                  </w:r>
                  <w:r>
                    <w:rPr>
                      <w:rFonts w:ascii="仿宋" w:eastAsia="仿宋" w:hAnsi="仿宋" w:hint="eastAsia"/>
                      <w:color w:val="000000" w:themeColor="text1"/>
                      <w:sz w:val="28"/>
                      <w:szCs w:val="28"/>
                    </w:rPr>
                    <w:t>基准交易型开放式指数证券投资基金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南方中证全指电力公用事业交易型开放式指数证券投资基金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南方浩稳优选</w:t>
                  </w:r>
                  <w:r>
                    <w:rPr>
                      <w:rFonts w:ascii="仿宋" w:eastAsia="仿宋" w:hAnsi="仿宋" w:hint="eastAsia"/>
                      <w:color w:val="000000" w:themeColor="text1"/>
                      <w:sz w:val="28"/>
                      <w:szCs w:val="28"/>
                    </w:rPr>
                    <w:t>9</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南方浩盈进取精选一年持有期混合型基金中基金（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南方浩升稳健优选</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南方浩达稳健优选一年持有期混合型基金中基金（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ESG</w:t>
                  </w:r>
                  <w:r>
                    <w:rPr>
                      <w:rFonts w:ascii="仿宋" w:eastAsia="仿宋" w:hAnsi="仿宋" w:hint="eastAsia"/>
                      <w:color w:val="000000" w:themeColor="text1"/>
                      <w:sz w:val="28"/>
                      <w:szCs w:val="28"/>
                    </w:rPr>
                    <w:t>纯债债券型发起式证券投资基金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南方恒生生物科技交易型开放式指数证券投资基金发起式联接基金（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南方贤元一年持有期债券型证券投资基金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南方中证上海环交所碳中和交易型开放式指数证券投资基金联接基金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南方津享稳健添利债券型证券投资基金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南方中证国新央企科技引领交易型开放式指数证券投资基金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南方核心科技一年持有期混合型证券投资基金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南方上海金交易型开放式证券投资基金发起式联接基金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南方中证通信服务交易型开放式指数证券投资基金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南方稳瑞</w:t>
                  </w:r>
                  <w:r>
                    <w:rPr>
                      <w:rFonts w:ascii="仿宋" w:eastAsia="仿宋" w:hAnsi="仿宋" w:hint="eastAsia"/>
                      <w:color w:val="000000" w:themeColor="text1"/>
                      <w:sz w:val="28"/>
                      <w:szCs w:val="28"/>
                    </w:rPr>
                    <w:t>90</w:t>
                  </w:r>
                  <w:r>
                    <w:rPr>
                      <w:rFonts w:ascii="仿宋" w:eastAsia="仿宋" w:hAnsi="仿宋" w:hint="eastAsia"/>
                      <w:color w:val="000000" w:themeColor="text1"/>
                      <w:sz w:val="28"/>
                      <w:szCs w:val="28"/>
                    </w:rPr>
                    <w:t>天持有期债券型证券投资基金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南方宁元债券型证券投资基金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南方康乐养老目标日期</w:t>
                  </w:r>
                  <w:r>
                    <w:rPr>
                      <w:rFonts w:ascii="仿宋" w:eastAsia="仿宋" w:hAnsi="仿宋" w:hint="eastAsia"/>
                      <w:color w:val="000000" w:themeColor="text1"/>
                      <w:sz w:val="28"/>
                      <w:szCs w:val="28"/>
                    </w:rPr>
                    <w:t>2045</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2000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南方智信混合型证券投资基金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南方中证全指医疗保健设备与服务交易型开放式指数证券投资基金发起式联接基金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南方港股医药行业混合型发起式证券投资基金（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南方港股数字经济混合型发起式证券投资基金（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南方惠享稳健添利债券型证券投资基金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南方数字经济混合型证券投资基金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南方富时中国国企开放共赢交易型开放式指数证券投资基金发起式联接基金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南方前瞻共赢三年定期开放混合型证券投资基金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南方恩元债券型发起式证券投资基金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南方国证交通运输行业交易型开放式指数证券投资基金发起式联接基金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南方中证电池主题交易型开放式指数证券投资基金发起式联接基金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南方金添利三年定期开放债券型证券投资基金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南方睿阳稳健添利</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南方中证国新央企科技引领交易型开放式指数证券投资基金联接基金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南方中证全指计算机交易型开放式指数证券投资基金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南方上证科创板新材料交易型开放式指数证券投</w:t>
                  </w:r>
                  <w:r>
                    <w:rPr>
                      <w:rFonts w:ascii="仿宋" w:eastAsia="仿宋" w:hAnsi="仿宋" w:hint="eastAsia"/>
                      <w:color w:val="000000" w:themeColor="text1"/>
                      <w:sz w:val="28"/>
                      <w:szCs w:val="28"/>
                    </w:rPr>
                    <w:t>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南方中证机器人交易型开放式指数证券投资基金发起式联接基金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南方中证光伏产业指数发起式证券投资基金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南方中证半导体产业指数发起式证券投资基金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南方上证科创板芯片交易型开放式指数证券投资基金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南方中证创新药产业交易型开放式指数证券投资基金发起式联接基金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南方半导体产业股票型发起式证券投资基金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南方稳福</w:t>
                  </w:r>
                  <w:r>
                    <w:rPr>
                      <w:rFonts w:ascii="仿宋" w:eastAsia="仿宋" w:hAnsi="仿宋" w:hint="eastAsia"/>
                      <w:color w:val="000000" w:themeColor="text1"/>
                      <w:sz w:val="28"/>
                      <w:szCs w:val="28"/>
                    </w:rPr>
                    <w:t>120</w:t>
                  </w:r>
                  <w:r>
                    <w:rPr>
                      <w:rFonts w:ascii="仿宋" w:eastAsia="仿宋" w:hAnsi="仿宋" w:hint="eastAsia"/>
                      <w:color w:val="000000" w:themeColor="text1"/>
                      <w:sz w:val="28"/>
                      <w:szCs w:val="28"/>
                    </w:rPr>
                    <w:t>天持有期债券型证券投资基金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南方中证通信服务交易型开放式指数证券投资基金发起式联接基金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南方恒生科技交易型开放式指数证券投资基金发起式联接基金（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南方基金南方东英富时亚太低碳精选交易型开放式指数证券投资基金发起式联接基金（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南方深证主板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0-3</w:t>
                  </w:r>
                  <w:r>
                    <w:rPr>
                      <w:rFonts w:ascii="仿宋" w:eastAsia="仿宋" w:hAnsi="仿宋" w:hint="eastAsia"/>
                      <w:color w:val="000000" w:themeColor="text1"/>
                      <w:sz w:val="28"/>
                      <w:szCs w:val="28"/>
                    </w:rPr>
                    <w:t>年农发行债券指数证券投资基金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南方中证国新港股通央企红利交易型开放式指数证券投资基金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南方基金南方东英沙特阿拉伯交易型开放式指数证券投资基金（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南方上证科创板芯片交易型开放式指数证券投资基金发起式联接基金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南方中证全指电力公用事业交易型开放式指数证券投资基金发起式联接基金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南方尊享稳健增利债券型证券投资基金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南方中证全指计算机交易型开放式指数证券投资基金发起式联接基金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南方智弘混合型证券投资基金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南方中证全指汽车指数发起式证券投资基金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南方中证国新港股通央企红利交易型开放式指数证券投资基金发起式联接基金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南方周期优选混合型发起式证券投资基金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南方稳信</w:t>
                  </w:r>
                  <w:r>
                    <w:rPr>
                      <w:rFonts w:ascii="仿宋" w:eastAsia="仿宋" w:hAnsi="仿宋" w:hint="eastAsia"/>
                      <w:color w:val="000000" w:themeColor="text1"/>
                      <w:sz w:val="28"/>
                      <w:szCs w:val="28"/>
                    </w:rPr>
                    <w:t>180</w:t>
                  </w:r>
                  <w:r>
                    <w:rPr>
                      <w:rFonts w:ascii="仿宋" w:eastAsia="仿宋" w:hAnsi="仿宋" w:hint="eastAsia"/>
                      <w:color w:val="000000" w:themeColor="text1"/>
                      <w:sz w:val="28"/>
                      <w:szCs w:val="28"/>
                    </w:rPr>
                    <w:t>天持有期债券型证券投资基金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A500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南方深证主板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南方中证半导体行业精选交易型开放式指数证券投资基金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南方中证沪深港黄金产业股票指数发起式证券投资基金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A500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A100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180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南方上证基准做市公司债交易型开放式指数证券投资基金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南方中证港股通汽车产业主题指数发起式证券投资基金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180</w:t>
                  </w:r>
                  <w:r>
                    <w:rPr>
                      <w:rFonts w:ascii="仿宋" w:eastAsia="仿宋" w:hAnsi="仿宋" w:hint="eastAsia"/>
                      <w:color w:val="000000" w:themeColor="text1"/>
                      <w:sz w:val="28"/>
                      <w:szCs w:val="28"/>
                    </w:rPr>
                    <w:t>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南方悦享稳健添利债券型证券投资基金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南方上证科创板综合交易型开放式指数证券投资基金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南方泽享稳健添利债券型证券投资基金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南方顺丰仓储物流封闭式基础设施证券投资基金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南方上证科创板综合交易型开放式指数证券投资基金联接基金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南方创业板人工智能交易型开放式指数证券投资基金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南方中证全指自由现金流交易型开放式指数证券投资基金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南方稳见</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南方中证物联网主题交易型开放式指数证券投资基金发起式联接基金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南方上证科创板成长交易型开放式指数证券投资基金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南方瑞享混合型证券投资基金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南方中证港股通科技交易型开放式指数证券投资基金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AAA</w:t>
                  </w:r>
                  <w:r>
                    <w:rPr>
                      <w:rFonts w:ascii="仿宋" w:eastAsia="仿宋" w:hAnsi="仿宋" w:hint="eastAsia"/>
                      <w:color w:val="000000" w:themeColor="text1"/>
                      <w:sz w:val="28"/>
                      <w:szCs w:val="28"/>
                    </w:rPr>
                    <w:t>科技创新公司债交易型开放式指数证券投资基金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南方创业板中盘</w:t>
                  </w:r>
                  <w:r>
                    <w:rPr>
                      <w:rFonts w:ascii="仿宋" w:eastAsia="仿宋" w:hAnsi="仿宋" w:hint="eastAsia"/>
                      <w:color w:val="000000" w:themeColor="text1"/>
                      <w:sz w:val="28"/>
                      <w:szCs w:val="28"/>
                    </w:rPr>
                    <w:t>200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南方万国数据中心封闭式基础设施证券投资基金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南方润泽科技数据中心封闭式基础设施证券投资基金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南方中证机器人交易型开放式指数证券投资基金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南方益稳稳健增利债券型证券投资基金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南方中证通用航空主题交易型开放式指数证券投资基金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南方中证全指家用电器指数发起式证券投资基金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A500</w:t>
                  </w:r>
                  <w:r>
                    <w:rPr>
                      <w:rFonts w:ascii="仿宋" w:eastAsia="仿宋" w:hAnsi="仿宋" w:hint="eastAsia"/>
                      <w:color w:val="000000" w:themeColor="text1"/>
                      <w:sz w:val="28"/>
                      <w:szCs w:val="28"/>
                    </w:rPr>
                    <w:t>指数增强型证券投资基金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南方国证港股通创新药交易型开放式指数证券投资基金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南方瑞景混合型证券投资基金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南方稳航</w:t>
                  </w:r>
                  <w:r>
                    <w:rPr>
                      <w:rFonts w:ascii="仿宋" w:eastAsia="仿宋" w:hAnsi="仿宋" w:hint="eastAsia"/>
                      <w:color w:val="000000" w:themeColor="text1"/>
                      <w:sz w:val="28"/>
                      <w:szCs w:val="28"/>
                    </w:rPr>
                    <w:t>120</w:t>
                  </w:r>
                  <w:r>
                    <w:rPr>
                      <w:rFonts w:ascii="仿宋" w:eastAsia="仿宋" w:hAnsi="仿宋" w:hint="eastAsia"/>
                      <w:color w:val="000000" w:themeColor="text1"/>
                      <w:sz w:val="28"/>
                      <w:szCs w:val="28"/>
                    </w:rPr>
                    <w:t>天滚动持有债券型证券投资基金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南方上证科创板人工智能交易型开放式指数证券投资基金发起式联接基金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南方中证港股通科技交易型开放式指数证券投资基金发起式联接基金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南方中证通用航空主题交易型开放式指数证券投资基金发起式联接基金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南方中证港股通互联网交易型开放式指数证券投资基金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南方恒生科技交易型开放式指数证券投资基金（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南方创业板人工智能交易型开放式指数证券投资基金联接基金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南方多元价值一年持有期混合型证券投资基金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南方创业板中盘</w:t>
                  </w:r>
                  <w:r>
                    <w:rPr>
                      <w:rFonts w:ascii="仿宋" w:eastAsia="仿宋" w:hAnsi="仿宋" w:hint="eastAsia"/>
                      <w:color w:val="000000" w:themeColor="text1"/>
                      <w:sz w:val="28"/>
                      <w:szCs w:val="28"/>
                    </w:rPr>
                    <w:t>200</w:t>
                  </w:r>
                  <w:r>
                    <w:rPr>
                      <w:rFonts w:ascii="仿宋" w:eastAsia="仿宋" w:hAnsi="仿宋" w:hint="eastAsia"/>
                      <w:color w:val="000000" w:themeColor="text1"/>
                      <w:sz w:val="28"/>
                      <w:szCs w:val="28"/>
                    </w:rPr>
                    <w:t>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南方中证港股通高股息投资交易型开放式指数证券投资基金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南方中证全指电子行业指数证券投资基金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南方中证全指自由现金流交易型开放式指数证券投资基金联接基金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成份交易型开放式指数证券投资基金联接基金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南方中证电池主题交易型开放式指数证券投资基金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南方上证科创板人工智能交易型开放式指数证券投资基金</w:t>
                  </w:r>
                </w:p>
              </w:tc>
            </w:tr>
            <w:tr w:rsidR="005D6368">
              <w:trPr>
                <w:trHeight w:val="300"/>
              </w:trPr>
              <w:tc>
                <w:tcPr>
                  <w:tcW w:w="10840" w:type="dxa"/>
                  <w:tcBorders>
                    <w:top w:val="nil"/>
                    <w:left w:val="nil"/>
                    <w:bottom w:val="nil"/>
                    <w:right w:val="nil"/>
                  </w:tcBorders>
                  <w:shd w:val="clear" w:color="auto" w:fill="auto"/>
                  <w:vAlign w:val="center"/>
                </w:tcPr>
                <w:p w:rsidR="005D6368" w:rsidRDefault="00BE306F">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南方惠益稳健添利债券型证券投资基金</w:t>
                  </w:r>
                </w:p>
              </w:tc>
            </w:tr>
          </w:tbl>
          <w:p w:rsidR="005D6368" w:rsidRDefault="005D6368">
            <w:pPr>
              <w:widowControl/>
              <w:jc w:val="left"/>
              <w:rPr>
                <w:rFonts w:ascii="仿宋" w:eastAsia="仿宋" w:hAnsi="仿宋"/>
                <w:color w:val="000000" w:themeColor="text1"/>
                <w:sz w:val="28"/>
                <w:szCs w:val="28"/>
              </w:rPr>
            </w:pPr>
          </w:p>
        </w:tc>
      </w:tr>
    </w:tbl>
    <w:p w:rsidR="005D6368" w:rsidRDefault="00BE306F">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上述基金</w:t>
      </w:r>
      <w:r>
        <w:rPr>
          <w:rFonts w:ascii="仿宋" w:eastAsia="仿宋" w:hAnsi="仿宋" w:hint="eastAsia"/>
          <w:color w:val="000000" w:themeColor="text1"/>
          <w:sz w:val="28"/>
          <w:szCs w:val="28"/>
        </w:rPr>
        <w:t>202</w:t>
      </w:r>
      <w:r>
        <w:rPr>
          <w:rFonts w:ascii="仿宋" w:eastAsia="仿宋" w:hAnsi="仿宋"/>
          <w:color w:val="000000" w:themeColor="text1"/>
          <w:sz w:val="28"/>
          <w:szCs w:val="28"/>
        </w:rPr>
        <w:t>6</w:t>
      </w:r>
      <w:r>
        <w:rPr>
          <w:rFonts w:ascii="仿宋" w:eastAsia="仿宋" w:hAnsi="仿宋" w:hint="eastAsia"/>
          <w:color w:val="000000" w:themeColor="text1"/>
          <w:sz w:val="28"/>
          <w:szCs w:val="28"/>
        </w:rPr>
        <w:t>年第一季度</w:t>
      </w:r>
      <w:r>
        <w:rPr>
          <w:rFonts w:ascii="仿宋" w:eastAsia="仿宋" w:hAnsi="仿宋"/>
          <w:color w:val="000000" w:themeColor="text1"/>
          <w:sz w:val="28"/>
          <w:szCs w:val="28"/>
        </w:rPr>
        <w:t>报告全文</w:t>
      </w:r>
      <w:r>
        <w:rPr>
          <w:rFonts w:ascii="仿宋" w:eastAsia="仿宋" w:hAnsi="仿宋" w:hint="eastAsia"/>
          <w:color w:val="000000" w:themeColor="text1"/>
          <w:sz w:val="28"/>
          <w:szCs w:val="28"/>
        </w:rPr>
        <w:t>于</w:t>
      </w:r>
      <w:r>
        <w:rPr>
          <w:rFonts w:ascii="仿宋" w:eastAsia="仿宋" w:hAnsi="仿宋" w:hint="eastAsia"/>
          <w:color w:val="000000" w:themeColor="text1"/>
          <w:sz w:val="28"/>
          <w:szCs w:val="28"/>
        </w:rPr>
        <w:t>202</w:t>
      </w:r>
      <w:r>
        <w:rPr>
          <w:rFonts w:ascii="仿宋" w:eastAsia="仿宋" w:hAnsi="仿宋"/>
          <w:color w:val="000000" w:themeColor="text1"/>
          <w:sz w:val="28"/>
          <w:szCs w:val="28"/>
        </w:rPr>
        <w:t>6</w:t>
      </w:r>
      <w:r>
        <w:rPr>
          <w:rFonts w:ascii="仿宋" w:eastAsia="仿宋" w:hAnsi="仿宋" w:hint="eastAsia"/>
          <w:color w:val="000000" w:themeColor="text1"/>
          <w:sz w:val="28"/>
          <w:szCs w:val="28"/>
        </w:rPr>
        <w:t>年</w:t>
      </w:r>
      <w:r>
        <w:rPr>
          <w:rFonts w:ascii="仿宋" w:eastAsia="仿宋" w:hAnsi="仿宋"/>
          <w:color w:val="000000" w:themeColor="text1"/>
          <w:sz w:val="28"/>
          <w:szCs w:val="28"/>
        </w:rPr>
        <w:t>4</w:t>
      </w:r>
      <w:r>
        <w:rPr>
          <w:rFonts w:ascii="仿宋" w:eastAsia="仿宋" w:hAnsi="仿宋" w:hint="eastAsia"/>
          <w:color w:val="000000" w:themeColor="text1"/>
          <w:sz w:val="28"/>
          <w:szCs w:val="28"/>
        </w:rPr>
        <w:t>月</w:t>
      </w:r>
      <w:r>
        <w:rPr>
          <w:rFonts w:ascii="仿宋" w:eastAsia="仿宋" w:hAnsi="仿宋"/>
          <w:color w:val="000000" w:themeColor="text1"/>
          <w:sz w:val="28"/>
          <w:szCs w:val="28"/>
        </w:rPr>
        <w:t>22</w:t>
      </w:r>
      <w:r>
        <w:rPr>
          <w:rFonts w:ascii="仿宋" w:eastAsia="仿宋" w:hAnsi="仿宋" w:hint="eastAsia"/>
          <w:color w:val="000000" w:themeColor="text1"/>
          <w:sz w:val="28"/>
          <w:szCs w:val="28"/>
        </w:rPr>
        <w:t>日在</w:t>
      </w:r>
      <w:r>
        <w:rPr>
          <w:rFonts w:ascii="仿宋" w:eastAsia="仿宋" w:hAnsi="仿宋"/>
          <w:color w:val="000000" w:themeColor="text1"/>
          <w:sz w:val="28"/>
          <w:szCs w:val="28"/>
        </w:rPr>
        <w:t>本公司网站</w:t>
      </w:r>
      <w:r>
        <w:rPr>
          <w:rFonts w:ascii="仿宋" w:eastAsia="仿宋" w:hAnsi="仿宋" w:hint="eastAsia"/>
          <w:color w:val="000000" w:themeColor="text1"/>
          <w:sz w:val="28"/>
          <w:szCs w:val="28"/>
        </w:rPr>
        <w:t>（</w:t>
      </w:r>
      <w:r>
        <w:rPr>
          <w:rFonts w:ascii="仿宋" w:eastAsia="仿宋" w:hAnsi="仿宋"/>
          <w:color w:val="000000" w:themeColor="text1"/>
          <w:sz w:val="28"/>
          <w:szCs w:val="28"/>
          <w:u w:val="single"/>
        </w:rPr>
        <w:t>www.nffund.com</w:t>
      </w:r>
      <w:r>
        <w:rPr>
          <w:rFonts w:ascii="仿宋" w:eastAsia="仿宋" w:hAnsi="仿宋" w:hint="eastAsia"/>
          <w:color w:val="000000" w:themeColor="text1"/>
          <w:sz w:val="28"/>
          <w:szCs w:val="28"/>
        </w:rPr>
        <w:t>）</w:t>
      </w:r>
      <w:r>
        <w:rPr>
          <w:rFonts w:ascii="仿宋" w:eastAsia="仿宋" w:hAnsi="仿宋"/>
          <w:color w:val="000000" w:themeColor="text1"/>
          <w:sz w:val="28"/>
          <w:szCs w:val="28"/>
        </w:rPr>
        <w:t>和中国证监会</w:t>
      </w:r>
      <w:r>
        <w:rPr>
          <w:rFonts w:ascii="仿宋" w:eastAsia="仿宋" w:hAnsi="仿宋" w:hint="eastAsia"/>
          <w:color w:val="000000" w:themeColor="text1"/>
          <w:sz w:val="28"/>
          <w:szCs w:val="28"/>
        </w:rPr>
        <w:t>基金</w:t>
      </w:r>
      <w:r>
        <w:rPr>
          <w:rFonts w:ascii="仿宋" w:eastAsia="仿宋" w:hAnsi="仿宋"/>
          <w:color w:val="000000" w:themeColor="text1"/>
          <w:sz w:val="28"/>
          <w:szCs w:val="28"/>
        </w:rPr>
        <w:t>电子披露网站</w:t>
      </w:r>
      <w:r>
        <w:rPr>
          <w:rFonts w:ascii="仿宋" w:eastAsia="仿宋" w:hAnsi="仿宋" w:hint="eastAsia"/>
          <w:color w:val="000000" w:themeColor="text1"/>
          <w:sz w:val="28"/>
          <w:szCs w:val="28"/>
        </w:rPr>
        <w:t>（</w:t>
      </w:r>
      <w:hyperlink r:id="rId7" w:history="1">
        <w:r>
          <w:rPr>
            <w:rStyle w:val="a9"/>
            <w:rFonts w:ascii="仿宋" w:eastAsia="仿宋" w:hAnsi="仿宋" w:hint="eastAsia"/>
            <w:sz w:val="28"/>
            <w:szCs w:val="28"/>
          </w:rPr>
          <w:t>http://eid.csrc.gov.cn/fund</w:t>
        </w:r>
      </w:hyperlink>
      <w:r>
        <w:rPr>
          <w:rFonts w:ascii="仿宋" w:eastAsia="仿宋" w:hAnsi="仿宋" w:hint="eastAsia"/>
          <w:color w:val="000000" w:themeColor="text1"/>
          <w:sz w:val="28"/>
          <w:szCs w:val="28"/>
        </w:rPr>
        <w:t>）</w:t>
      </w:r>
      <w:r>
        <w:rPr>
          <w:rFonts w:ascii="仿宋" w:eastAsia="仿宋" w:hAnsi="仿宋"/>
          <w:color w:val="000000" w:themeColor="text1"/>
          <w:sz w:val="28"/>
          <w:szCs w:val="28"/>
        </w:rPr>
        <w:t>披露，供投资者查阅。</w:t>
      </w:r>
      <w:r>
        <w:rPr>
          <w:rFonts w:ascii="仿宋" w:eastAsia="仿宋" w:hAnsi="仿宋" w:hint="eastAsia"/>
          <w:color w:val="000000" w:themeColor="text1"/>
          <w:sz w:val="28"/>
          <w:szCs w:val="28"/>
        </w:rPr>
        <w:t>如有疑问可拨打本公司客服电话（</w:t>
      </w:r>
      <w:r>
        <w:rPr>
          <w:rFonts w:ascii="仿宋" w:eastAsia="仿宋" w:hAnsi="仿宋"/>
          <w:color w:val="000000" w:themeColor="text1"/>
          <w:sz w:val="28"/>
          <w:szCs w:val="28"/>
        </w:rPr>
        <w:t>400-889-8899</w:t>
      </w:r>
      <w:r>
        <w:rPr>
          <w:rFonts w:ascii="仿宋" w:eastAsia="仿宋" w:hAnsi="仿宋" w:hint="eastAsia"/>
          <w:color w:val="000000" w:themeColor="text1"/>
          <w:sz w:val="28"/>
          <w:szCs w:val="28"/>
        </w:rPr>
        <w:t>）咨询</w:t>
      </w:r>
      <w:r>
        <w:rPr>
          <w:rFonts w:ascii="仿宋" w:eastAsia="仿宋" w:hAnsi="仿宋"/>
          <w:color w:val="000000" w:themeColor="text1"/>
          <w:sz w:val="28"/>
          <w:szCs w:val="28"/>
        </w:rPr>
        <w:t>。</w:t>
      </w:r>
    </w:p>
    <w:p w:rsidR="005D6368" w:rsidRDefault="00BE306F">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w:t>
      </w:r>
      <w:r>
        <w:rPr>
          <w:rFonts w:ascii="仿宋" w:eastAsia="仿宋" w:hAnsi="仿宋" w:hint="eastAsia"/>
          <w:color w:val="000000" w:themeColor="text1"/>
          <w:sz w:val="28"/>
          <w:szCs w:val="28"/>
        </w:rPr>
        <w:t>充分了解基金的风险收益特征，审慎做出投资决定。</w:t>
      </w:r>
    </w:p>
    <w:p w:rsidR="005D6368" w:rsidRDefault="00BE306F">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5D6368" w:rsidRDefault="00BE306F">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p>
    <w:p w:rsidR="005D6368" w:rsidRDefault="00BE306F">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202</w:t>
      </w:r>
      <w:r>
        <w:rPr>
          <w:rFonts w:ascii="仿宋" w:eastAsia="仿宋" w:hAnsi="仿宋"/>
          <w:color w:val="000000" w:themeColor="text1"/>
          <w:sz w:val="28"/>
          <w:szCs w:val="28"/>
        </w:rPr>
        <w:t>6</w:t>
      </w:r>
      <w:r>
        <w:rPr>
          <w:rFonts w:ascii="仿宋" w:eastAsia="仿宋" w:hAnsi="仿宋" w:hint="eastAsia"/>
          <w:color w:val="000000" w:themeColor="text1"/>
          <w:sz w:val="28"/>
          <w:szCs w:val="28"/>
        </w:rPr>
        <w:t>年</w:t>
      </w:r>
      <w:r>
        <w:rPr>
          <w:rFonts w:ascii="仿宋" w:eastAsia="仿宋" w:hAnsi="仿宋"/>
          <w:color w:val="000000" w:themeColor="text1"/>
          <w:sz w:val="28"/>
          <w:szCs w:val="28"/>
        </w:rPr>
        <w:t>4</w:t>
      </w:r>
      <w:r>
        <w:rPr>
          <w:rFonts w:ascii="仿宋" w:eastAsia="仿宋" w:hAnsi="仿宋" w:hint="eastAsia"/>
          <w:color w:val="000000" w:themeColor="text1"/>
          <w:sz w:val="28"/>
          <w:szCs w:val="28"/>
        </w:rPr>
        <w:t>月</w:t>
      </w:r>
      <w:r>
        <w:rPr>
          <w:rFonts w:ascii="仿宋" w:eastAsia="仿宋" w:hAnsi="仿宋"/>
          <w:color w:val="000000" w:themeColor="text1"/>
          <w:sz w:val="28"/>
          <w:szCs w:val="28"/>
        </w:rPr>
        <w:t>22</w:t>
      </w:r>
      <w:r>
        <w:rPr>
          <w:rFonts w:ascii="仿宋" w:eastAsia="仿宋" w:hAnsi="仿宋" w:hint="eastAsia"/>
          <w:color w:val="000000" w:themeColor="text1"/>
          <w:sz w:val="28"/>
          <w:szCs w:val="28"/>
        </w:rPr>
        <w:t>日</w:t>
      </w:r>
    </w:p>
    <w:sectPr w:rsidR="005D6368" w:rsidSect="005D6368">
      <w:footerReference w:type="default" r:id="rId8"/>
      <w:footerReference w:type="first" r:id="rId9"/>
      <w:pgSz w:w="11906" w:h="16838"/>
      <w:pgMar w:top="720" w:right="720" w:bottom="720" w:left="72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68" w:rsidRDefault="005D6368" w:rsidP="005D6368">
      <w:r>
        <w:separator/>
      </w:r>
    </w:p>
  </w:endnote>
  <w:endnote w:type="continuationSeparator" w:id="0">
    <w:p w:rsidR="005D6368" w:rsidRDefault="005D6368" w:rsidP="005D6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5D6368" w:rsidRDefault="005D6368">
        <w:pPr>
          <w:pStyle w:val="a5"/>
          <w:jc w:val="center"/>
        </w:pPr>
        <w:r>
          <w:fldChar w:fldCharType="begin"/>
        </w:r>
        <w:r w:rsidR="00BE306F">
          <w:instrText>PAGE   \* MERGEFORMAT</w:instrText>
        </w:r>
        <w:r>
          <w:fldChar w:fldCharType="separate"/>
        </w:r>
        <w:r w:rsidR="00BE306F" w:rsidRPr="00BE306F">
          <w:rPr>
            <w:noProof/>
            <w:lang w:val="zh-CN"/>
          </w:rPr>
          <w:t>2</w:t>
        </w:r>
        <w:r>
          <w:fldChar w:fldCharType="end"/>
        </w:r>
      </w:p>
    </w:sdtContent>
  </w:sdt>
  <w:p w:rsidR="005D6368" w:rsidRDefault="005D636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5D6368" w:rsidRDefault="005D6368">
        <w:pPr>
          <w:pStyle w:val="a5"/>
          <w:jc w:val="center"/>
        </w:pPr>
        <w:r>
          <w:fldChar w:fldCharType="begin"/>
        </w:r>
        <w:r w:rsidR="00BE306F">
          <w:instrText>PAGE   \* MERGEFORMAT</w:instrText>
        </w:r>
        <w:r>
          <w:fldChar w:fldCharType="separate"/>
        </w:r>
        <w:r w:rsidR="00BE306F" w:rsidRPr="00BE306F">
          <w:rPr>
            <w:noProof/>
            <w:lang w:val="zh-CN"/>
          </w:rPr>
          <w:t>1</w:t>
        </w:r>
        <w:r>
          <w:fldChar w:fldCharType="end"/>
        </w:r>
      </w:p>
    </w:sdtContent>
  </w:sdt>
  <w:p w:rsidR="005D6368" w:rsidRDefault="005D63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68" w:rsidRDefault="005D6368" w:rsidP="005D6368">
      <w:r>
        <w:separator/>
      </w:r>
    </w:p>
  </w:footnote>
  <w:footnote w:type="continuationSeparator" w:id="0">
    <w:p w:rsidR="005D6368" w:rsidRDefault="005D6368" w:rsidP="005D63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ocumentProtection w:formatting="1" w:enforcement="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RlMzk1ZGVkOWQwZDBlYzc3YjFkNjAxNWRiZWJmYzUifQ=="/>
  </w:docVars>
  <w:rsids>
    <w:rsidRoot w:val="009A149B"/>
    <w:rsid w:val="00001760"/>
    <w:rsid w:val="00007257"/>
    <w:rsid w:val="00010044"/>
    <w:rsid w:val="00022ABD"/>
    <w:rsid w:val="00025D40"/>
    <w:rsid w:val="000300E5"/>
    <w:rsid w:val="0003246C"/>
    <w:rsid w:val="00033010"/>
    <w:rsid w:val="00033204"/>
    <w:rsid w:val="000475F0"/>
    <w:rsid w:val="000539F6"/>
    <w:rsid w:val="00056EE0"/>
    <w:rsid w:val="00057323"/>
    <w:rsid w:val="0006161A"/>
    <w:rsid w:val="000731E3"/>
    <w:rsid w:val="0008010F"/>
    <w:rsid w:val="00081ADE"/>
    <w:rsid w:val="00084E7D"/>
    <w:rsid w:val="00087988"/>
    <w:rsid w:val="0009227A"/>
    <w:rsid w:val="00093E55"/>
    <w:rsid w:val="00093ED2"/>
    <w:rsid w:val="00094F20"/>
    <w:rsid w:val="000A0272"/>
    <w:rsid w:val="000A0ECE"/>
    <w:rsid w:val="000A1F16"/>
    <w:rsid w:val="000A588E"/>
    <w:rsid w:val="000B53A5"/>
    <w:rsid w:val="000B673F"/>
    <w:rsid w:val="000C06E1"/>
    <w:rsid w:val="000C1032"/>
    <w:rsid w:val="000C7383"/>
    <w:rsid w:val="000D18EF"/>
    <w:rsid w:val="000D1979"/>
    <w:rsid w:val="000E13E9"/>
    <w:rsid w:val="000E33D2"/>
    <w:rsid w:val="000E7D66"/>
    <w:rsid w:val="000F07E6"/>
    <w:rsid w:val="000F407E"/>
    <w:rsid w:val="000F6458"/>
    <w:rsid w:val="001039BC"/>
    <w:rsid w:val="0011696C"/>
    <w:rsid w:val="001176C6"/>
    <w:rsid w:val="001279BE"/>
    <w:rsid w:val="0013251E"/>
    <w:rsid w:val="00134BBF"/>
    <w:rsid w:val="001445A9"/>
    <w:rsid w:val="00146307"/>
    <w:rsid w:val="001520F9"/>
    <w:rsid w:val="001533B2"/>
    <w:rsid w:val="001623CF"/>
    <w:rsid w:val="00164F70"/>
    <w:rsid w:val="00165D5C"/>
    <w:rsid w:val="00166B15"/>
    <w:rsid w:val="00167CFB"/>
    <w:rsid w:val="001724A8"/>
    <w:rsid w:val="00174C8C"/>
    <w:rsid w:val="0017571E"/>
    <w:rsid w:val="00175AED"/>
    <w:rsid w:val="00190CB2"/>
    <w:rsid w:val="00191702"/>
    <w:rsid w:val="00192262"/>
    <w:rsid w:val="001A593B"/>
    <w:rsid w:val="001D04AB"/>
    <w:rsid w:val="001D2521"/>
    <w:rsid w:val="001D74AE"/>
    <w:rsid w:val="001E4D38"/>
    <w:rsid w:val="001E7CAD"/>
    <w:rsid w:val="001F125D"/>
    <w:rsid w:val="001F15CB"/>
    <w:rsid w:val="001F533E"/>
    <w:rsid w:val="0021172E"/>
    <w:rsid w:val="00221DE2"/>
    <w:rsid w:val="00234298"/>
    <w:rsid w:val="002343BD"/>
    <w:rsid w:val="002471D4"/>
    <w:rsid w:val="00253326"/>
    <w:rsid w:val="0025441D"/>
    <w:rsid w:val="00254FD6"/>
    <w:rsid w:val="00261CDE"/>
    <w:rsid w:val="0026276F"/>
    <w:rsid w:val="00276CA4"/>
    <w:rsid w:val="002823E9"/>
    <w:rsid w:val="00282A7F"/>
    <w:rsid w:val="00283187"/>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0AC6"/>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C7A10"/>
    <w:rsid w:val="003D0424"/>
    <w:rsid w:val="003D32D7"/>
    <w:rsid w:val="003E7F7A"/>
    <w:rsid w:val="003F1D55"/>
    <w:rsid w:val="003F4E13"/>
    <w:rsid w:val="003F6960"/>
    <w:rsid w:val="0040020D"/>
    <w:rsid w:val="00405ADB"/>
    <w:rsid w:val="004254EE"/>
    <w:rsid w:val="00430D19"/>
    <w:rsid w:val="00433480"/>
    <w:rsid w:val="0043655D"/>
    <w:rsid w:val="00437D86"/>
    <w:rsid w:val="00441246"/>
    <w:rsid w:val="00441E0B"/>
    <w:rsid w:val="004476AA"/>
    <w:rsid w:val="00452A46"/>
    <w:rsid w:val="00454581"/>
    <w:rsid w:val="00454978"/>
    <w:rsid w:val="00467E81"/>
    <w:rsid w:val="0047229F"/>
    <w:rsid w:val="004744B6"/>
    <w:rsid w:val="004748B9"/>
    <w:rsid w:val="00477BA8"/>
    <w:rsid w:val="00477EB2"/>
    <w:rsid w:val="0048111A"/>
    <w:rsid w:val="00487BF1"/>
    <w:rsid w:val="00491FCB"/>
    <w:rsid w:val="004975AD"/>
    <w:rsid w:val="00497943"/>
    <w:rsid w:val="00497A8B"/>
    <w:rsid w:val="004A0E45"/>
    <w:rsid w:val="004A54A6"/>
    <w:rsid w:val="004B1105"/>
    <w:rsid w:val="004C158E"/>
    <w:rsid w:val="004C3109"/>
    <w:rsid w:val="004C44C4"/>
    <w:rsid w:val="004C625A"/>
    <w:rsid w:val="004C6355"/>
    <w:rsid w:val="004D08C9"/>
    <w:rsid w:val="004E1D5E"/>
    <w:rsid w:val="004E630B"/>
    <w:rsid w:val="004F7313"/>
    <w:rsid w:val="00500D4F"/>
    <w:rsid w:val="00506317"/>
    <w:rsid w:val="00511AA9"/>
    <w:rsid w:val="005158A6"/>
    <w:rsid w:val="0052094C"/>
    <w:rsid w:val="00534A41"/>
    <w:rsid w:val="0053650E"/>
    <w:rsid w:val="00542535"/>
    <w:rsid w:val="00544E6E"/>
    <w:rsid w:val="00547910"/>
    <w:rsid w:val="00551033"/>
    <w:rsid w:val="00560AC4"/>
    <w:rsid w:val="00563FE4"/>
    <w:rsid w:val="00565378"/>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D6368"/>
    <w:rsid w:val="005E05FC"/>
    <w:rsid w:val="005E088E"/>
    <w:rsid w:val="005E0F00"/>
    <w:rsid w:val="005F4D9C"/>
    <w:rsid w:val="005F7E5C"/>
    <w:rsid w:val="00603182"/>
    <w:rsid w:val="00604996"/>
    <w:rsid w:val="00605B67"/>
    <w:rsid w:val="00606DBF"/>
    <w:rsid w:val="006078C2"/>
    <w:rsid w:val="006163B1"/>
    <w:rsid w:val="00616874"/>
    <w:rsid w:val="006248F7"/>
    <w:rsid w:val="0062589F"/>
    <w:rsid w:val="00626EA8"/>
    <w:rsid w:val="00635F5D"/>
    <w:rsid w:val="00641CEA"/>
    <w:rsid w:val="0065080E"/>
    <w:rsid w:val="00655229"/>
    <w:rsid w:val="00656B0C"/>
    <w:rsid w:val="0066309A"/>
    <w:rsid w:val="0066627D"/>
    <w:rsid w:val="006763A1"/>
    <w:rsid w:val="006832A2"/>
    <w:rsid w:val="00684A20"/>
    <w:rsid w:val="00690EC4"/>
    <w:rsid w:val="006962CB"/>
    <w:rsid w:val="006A0BB0"/>
    <w:rsid w:val="006A2606"/>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07C6"/>
    <w:rsid w:val="0074144B"/>
    <w:rsid w:val="00741A3E"/>
    <w:rsid w:val="007443C2"/>
    <w:rsid w:val="00756CAD"/>
    <w:rsid w:val="007629BB"/>
    <w:rsid w:val="00762A82"/>
    <w:rsid w:val="007633B5"/>
    <w:rsid w:val="007703B8"/>
    <w:rsid w:val="00771227"/>
    <w:rsid w:val="00772D42"/>
    <w:rsid w:val="00775751"/>
    <w:rsid w:val="00781015"/>
    <w:rsid w:val="00787132"/>
    <w:rsid w:val="007900FC"/>
    <w:rsid w:val="007926CF"/>
    <w:rsid w:val="00794869"/>
    <w:rsid w:val="00797876"/>
    <w:rsid w:val="007A5116"/>
    <w:rsid w:val="007A5263"/>
    <w:rsid w:val="007B19C6"/>
    <w:rsid w:val="007B3A14"/>
    <w:rsid w:val="007B4EC6"/>
    <w:rsid w:val="007B549A"/>
    <w:rsid w:val="007B5745"/>
    <w:rsid w:val="007B6893"/>
    <w:rsid w:val="007B781B"/>
    <w:rsid w:val="007C01CE"/>
    <w:rsid w:val="007C3F2C"/>
    <w:rsid w:val="007C51E4"/>
    <w:rsid w:val="007D4066"/>
    <w:rsid w:val="007E3EED"/>
    <w:rsid w:val="007F136D"/>
    <w:rsid w:val="007F60CB"/>
    <w:rsid w:val="00801AAB"/>
    <w:rsid w:val="0080773A"/>
    <w:rsid w:val="00812700"/>
    <w:rsid w:val="0081523B"/>
    <w:rsid w:val="0081788D"/>
    <w:rsid w:val="00825398"/>
    <w:rsid w:val="008263AE"/>
    <w:rsid w:val="008317EE"/>
    <w:rsid w:val="008318C0"/>
    <w:rsid w:val="00831A29"/>
    <w:rsid w:val="00832B61"/>
    <w:rsid w:val="00834CAD"/>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E2E"/>
    <w:rsid w:val="008E4CD7"/>
    <w:rsid w:val="008E58F7"/>
    <w:rsid w:val="008E6EC1"/>
    <w:rsid w:val="008F3DFA"/>
    <w:rsid w:val="0090326C"/>
    <w:rsid w:val="00903815"/>
    <w:rsid w:val="00903C0A"/>
    <w:rsid w:val="009062C4"/>
    <w:rsid w:val="0090723B"/>
    <w:rsid w:val="00910193"/>
    <w:rsid w:val="00913D58"/>
    <w:rsid w:val="0092312D"/>
    <w:rsid w:val="00933628"/>
    <w:rsid w:val="00941C3C"/>
    <w:rsid w:val="009465EA"/>
    <w:rsid w:val="00946B0C"/>
    <w:rsid w:val="009506DC"/>
    <w:rsid w:val="009566C4"/>
    <w:rsid w:val="00956DD9"/>
    <w:rsid w:val="009628AE"/>
    <w:rsid w:val="00967A04"/>
    <w:rsid w:val="00973509"/>
    <w:rsid w:val="00977BBE"/>
    <w:rsid w:val="00977E7B"/>
    <w:rsid w:val="0098095F"/>
    <w:rsid w:val="00986792"/>
    <w:rsid w:val="009871EF"/>
    <w:rsid w:val="00991292"/>
    <w:rsid w:val="00991AEE"/>
    <w:rsid w:val="0099252E"/>
    <w:rsid w:val="00992A28"/>
    <w:rsid w:val="00993CBF"/>
    <w:rsid w:val="00997D63"/>
    <w:rsid w:val="009A149B"/>
    <w:rsid w:val="009B33C8"/>
    <w:rsid w:val="009B5D57"/>
    <w:rsid w:val="009C15E2"/>
    <w:rsid w:val="009C33BF"/>
    <w:rsid w:val="009C3820"/>
    <w:rsid w:val="009E35EB"/>
    <w:rsid w:val="009E64F2"/>
    <w:rsid w:val="009E7875"/>
    <w:rsid w:val="009F72D1"/>
    <w:rsid w:val="00A03346"/>
    <w:rsid w:val="00A144A6"/>
    <w:rsid w:val="00A21627"/>
    <w:rsid w:val="00A30191"/>
    <w:rsid w:val="00A37A94"/>
    <w:rsid w:val="00A41611"/>
    <w:rsid w:val="00A441B7"/>
    <w:rsid w:val="00A447AF"/>
    <w:rsid w:val="00A46430"/>
    <w:rsid w:val="00A547BB"/>
    <w:rsid w:val="00A5780A"/>
    <w:rsid w:val="00A62B15"/>
    <w:rsid w:val="00A63901"/>
    <w:rsid w:val="00A63F21"/>
    <w:rsid w:val="00A7247E"/>
    <w:rsid w:val="00A72BFA"/>
    <w:rsid w:val="00A72FCD"/>
    <w:rsid w:val="00A74844"/>
    <w:rsid w:val="00A81D7B"/>
    <w:rsid w:val="00A829F8"/>
    <w:rsid w:val="00A87DCB"/>
    <w:rsid w:val="00A932B1"/>
    <w:rsid w:val="00AB49A1"/>
    <w:rsid w:val="00AC1161"/>
    <w:rsid w:val="00AC260A"/>
    <w:rsid w:val="00AD18DD"/>
    <w:rsid w:val="00AD562B"/>
    <w:rsid w:val="00AD7A8E"/>
    <w:rsid w:val="00AE3F47"/>
    <w:rsid w:val="00AE3F77"/>
    <w:rsid w:val="00AE69BF"/>
    <w:rsid w:val="00AF0E8B"/>
    <w:rsid w:val="00AF7347"/>
    <w:rsid w:val="00B014DF"/>
    <w:rsid w:val="00B0625A"/>
    <w:rsid w:val="00B11B77"/>
    <w:rsid w:val="00B12AB0"/>
    <w:rsid w:val="00B16987"/>
    <w:rsid w:val="00B16EB0"/>
    <w:rsid w:val="00B17EF5"/>
    <w:rsid w:val="00B2068A"/>
    <w:rsid w:val="00B23F95"/>
    <w:rsid w:val="00B25BAB"/>
    <w:rsid w:val="00B26285"/>
    <w:rsid w:val="00B33F4A"/>
    <w:rsid w:val="00B41297"/>
    <w:rsid w:val="00B47898"/>
    <w:rsid w:val="00B504F2"/>
    <w:rsid w:val="00B50694"/>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259"/>
    <w:rsid w:val="00BB3501"/>
    <w:rsid w:val="00BB3A06"/>
    <w:rsid w:val="00BB7A7F"/>
    <w:rsid w:val="00BC3F72"/>
    <w:rsid w:val="00BC5B84"/>
    <w:rsid w:val="00BC64B2"/>
    <w:rsid w:val="00BC662F"/>
    <w:rsid w:val="00BC6FFD"/>
    <w:rsid w:val="00BC778B"/>
    <w:rsid w:val="00BC7AFE"/>
    <w:rsid w:val="00BD1958"/>
    <w:rsid w:val="00BD3CFA"/>
    <w:rsid w:val="00BD5D07"/>
    <w:rsid w:val="00BD7C42"/>
    <w:rsid w:val="00BE2CDD"/>
    <w:rsid w:val="00BE306F"/>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435"/>
    <w:rsid w:val="00C44634"/>
    <w:rsid w:val="00C45644"/>
    <w:rsid w:val="00C51B56"/>
    <w:rsid w:val="00C5361C"/>
    <w:rsid w:val="00C53B3E"/>
    <w:rsid w:val="00C61988"/>
    <w:rsid w:val="00C64316"/>
    <w:rsid w:val="00C67F89"/>
    <w:rsid w:val="00C71F74"/>
    <w:rsid w:val="00C73CFC"/>
    <w:rsid w:val="00C7490E"/>
    <w:rsid w:val="00C75104"/>
    <w:rsid w:val="00C81CAD"/>
    <w:rsid w:val="00C82913"/>
    <w:rsid w:val="00C84743"/>
    <w:rsid w:val="00C86E10"/>
    <w:rsid w:val="00C9160A"/>
    <w:rsid w:val="00C91F16"/>
    <w:rsid w:val="00C972C4"/>
    <w:rsid w:val="00CA1FEF"/>
    <w:rsid w:val="00CA25FC"/>
    <w:rsid w:val="00CA6A56"/>
    <w:rsid w:val="00CB2CEE"/>
    <w:rsid w:val="00CB4DE3"/>
    <w:rsid w:val="00CC0242"/>
    <w:rsid w:val="00CC2F35"/>
    <w:rsid w:val="00CC40C3"/>
    <w:rsid w:val="00CD1514"/>
    <w:rsid w:val="00CD42C4"/>
    <w:rsid w:val="00CE43F8"/>
    <w:rsid w:val="00CE7C8B"/>
    <w:rsid w:val="00CF01CC"/>
    <w:rsid w:val="00CF6D5C"/>
    <w:rsid w:val="00D10B1F"/>
    <w:rsid w:val="00D11E1F"/>
    <w:rsid w:val="00D15C95"/>
    <w:rsid w:val="00D1749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4177"/>
    <w:rsid w:val="00DA2D7C"/>
    <w:rsid w:val="00DB6F0A"/>
    <w:rsid w:val="00DD5B29"/>
    <w:rsid w:val="00DD7BAA"/>
    <w:rsid w:val="00DE0FFA"/>
    <w:rsid w:val="00DE6A70"/>
    <w:rsid w:val="00DF3DF3"/>
    <w:rsid w:val="00DF5AA8"/>
    <w:rsid w:val="00E11585"/>
    <w:rsid w:val="00E11D7D"/>
    <w:rsid w:val="00E1254C"/>
    <w:rsid w:val="00E16895"/>
    <w:rsid w:val="00E32614"/>
    <w:rsid w:val="00E33250"/>
    <w:rsid w:val="00E3526B"/>
    <w:rsid w:val="00E5059C"/>
    <w:rsid w:val="00E54C06"/>
    <w:rsid w:val="00E5664A"/>
    <w:rsid w:val="00E7407A"/>
    <w:rsid w:val="00E81A0A"/>
    <w:rsid w:val="00E964F7"/>
    <w:rsid w:val="00E967FD"/>
    <w:rsid w:val="00EA6F84"/>
    <w:rsid w:val="00EB7931"/>
    <w:rsid w:val="00ED548C"/>
    <w:rsid w:val="00ED7F3F"/>
    <w:rsid w:val="00EF043C"/>
    <w:rsid w:val="00EF0594"/>
    <w:rsid w:val="00EF49B3"/>
    <w:rsid w:val="00EF56E1"/>
    <w:rsid w:val="00EF73FD"/>
    <w:rsid w:val="00F00561"/>
    <w:rsid w:val="00F01150"/>
    <w:rsid w:val="00F01331"/>
    <w:rsid w:val="00F01E3D"/>
    <w:rsid w:val="00F04DC2"/>
    <w:rsid w:val="00F064A3"/>
    <w:rsid w:val="00F066D9"/>
    <w:rsid w:val="00F25F52"/>
    <w:rsid w:val="00F26E5A"/>
    <w:rsid w:val="00F31225"/>
    <w:rsid w:val="00F41CFF"/>
    <w:rsid w:val="00F469D5"/>
    <w:rsid w:val="00F47FEE"/>
    <w:rsid w:val="00F527B3"/>
    <w:rsid w:val="00F576E3"/>
    <w:rsid w:val="00F632AF"/>
    <w:rsid w:val="00F6382D"/>
    <w:rsid w:val="00F63F55"/>
    <w:rsid w:val="00F66378"/>
    <w:rsid w:val="00F71C51"/>
    <w:rsid w:val="00F77F4B"/>
    <w:rsid w:val="00F9100C"/>
    <w:rsid w:val="00F929A2"/>
    <w:rsid w:val="00FA0934"/>
    <w:rsid w:val="00FA653D"/>
    <w:rsid w:val="00FA6B42"/>
    <w:rsid w:val="00FB23EE"/>
    <w:rsid w:val="00FC34DF"/>
    <w:rsid w:val="00FD658E"/>
    <w:rsid w:val="00FE0C5A"/>
    <w:rsid w:val="00FE13A2"/>
    <w:rsid w:val="08133574"/>
    <w:rsid w:val="336D041F"/>
    <w:rsid w:val="4E4624FB"/>
    <w:rsid w:val="53082135"/>
    <w:rsid w:val="71DA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3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D6368"/>
    <w:pPr>
      <w:jc w:val="left"/>
    </w:pPr>
  </w:style>
  <w:style w:type="paragraph" w:styleId="a4">
    <w:name w:val="Balloon Text"/>
    <w:basedOn w:val="a"/>
    <w:link w:val="Char0"/>
    <w:uiPriority w:val="99"/>
    <w:semiHidden/>
    <w:unhideWhenUsed/>
    <w:qFormat/>
    <w:rsid w:val="005D6368"/>
    <w:rPr>
      <w:sz w:val="18"/>
      <w:szCs w:val="18"/>
    </w:rPr>
  </w:style>
  <w:style w:type="paragraph" w:styleId="a5">
    <w:name w:val="footer"/>
    <w:basedOn w:val="a"/>
    <w:link w:val="Char1"/>
    <w:uiPriority w:val="99"/>
    <w:unhideWhenUsed/>
    <w:qFormat/>
    <w:rsid w:val="005D636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D636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5D6368"/>
    <w:pPr>
      <w:snapToGrid w:val="0"/>
      <w:jc w:val="left"/>
    </w:pPr>
    <w:rPr>
      <w:sz w:val="18"/>
      <w:szCs w:val="18"/>
    </w:rPr>
  </w:style>
  <w:style w:type="paragraph" w:styleId="a8">
    <w:name w:val="annotation subject"/>
    <w:basedOn w:val="a3"/>
    <w:next w:val="a3"/>
    <w:link w:val="Char4"/>
    <w:uiPriority w:val="99"/>
    <w:semiHidden/>
    <w:unhideWhenUsed/>
    <w:qFormat/>
    <w:rsid w:val="005D6368"/>
    <w:rPr>
      <w:b/>
      <w:bCs/>
    </w:rPr>
  </w:style>
  <w:style w:type="character" w:styleId="a9">
    <w:name w:val="Hyperlink"/>
    <w:basedOn w:val="a0"/>
    <w:uiPriority w:val="99"/>
    <w:unhideWhenUsed/>
    <w:qFormat/>
    <w:rsid w:val="005D6368"/>
    <w:rPr>
      <w:color w:val="0000FF" w:themeColor="hyperlink"/>
      <w:u w:val="single"/>
    </w:rPr>
  </w:style>
  <w:style w:type="character" w:styleId="aa">
    <w:name w:val="annotation reference"/>
    <w:basedOn w:val="a0"/>
    <w:uiPriority w:val="99"/>
    <w:semiHidden/>
    <w:unhideWhenUsed/>
    <w:qFormat/>
    <w:rsid w:val="005D6368"/>
    <w:rPr>
      <w:sz w:val="21"/>
      <w:szCs w:val="21"/>
    </w:rPr>
  </w:style>
  <w:style w:type="character" w:styleId="ab">
    <w:name w:val="footnote reference"/>
    <w:basedOn w:val="a0"/>
    <w:uiPriority w:val="99"/>
    <w:semiHidden/>
    <w:unhideWhenUsed/>
    <w:qFormat/>
    <w:rsid w:val="005D6368"/>
    <w:rPr>
      <w:vertAlign w:val="superscript"/>
    </w:rPr>
  </w:style>
  <w:style w:type="character" w:customStyle="1" w:styleId="Char2">
    <w:name w:val="页眉 Char"/>
    <w:basedOn w:val="a0"/>
    <w:link w:val="a6"/>
    <w:uiPriority w:val="99"/>
    <w:qFormat/>
    <w:rsid w:val="005D6368"/>
    <w:rPr>
      <w:sz w:val="18"/>
      <w:szCs w:val="18"/>
    </w:rPr>
  </w:style>
  <w:style w:type="character" w:customStyle="1" w:styleId="Char1">
    <w:name w:val="页脚 Char"/>
    <w:basedOn w:val="a0"/>
    <w:link w:val="a5"/>
    <w:uiPriority w:val="99"/>
    <w:qFormat/>
    <w:rsid w:val="005D6368"/>
    <w:rPr>
      <w:sz w:val="18"/>
      <w:szCs w:val="18"/>
    </w:rPr>
  </w:style>
  <w:style w:type="paragraph" w:styleId="ac">
    <w:name w:val="List Paragraph"/>
    <w:basedOn w:val="a"/>
    <w:uiPriority w:val="34"/>
    <w:qFormat/>
    <w:rsid w:val="005D6368"/>
    <w:pPr>
      <w:ind w:firstLineChars="200" w:firstLine="420"/>
    </w:pPr>
  </w:style>
  <w:style w:type="character" w:customStyle="1" w:styleId="Char0">
    <w:name w:val="批注框文本 Char"/>
    <w:basedOn w:val="a0"/>
    <w:link w:val="a4"/>
    <w:uiPriority w:val="99"/>
    <w:semiHidden/>
    <w:qFormat/>
    <w:rsid w:val="005D6368"/>
    <w:rPr>
      <w:sz w:val="18"/>
      <w:szCs w:val="18"/>
    </w:rPr>
  </w:style>
  <w:style w:type="character" w:customStyle="1" w:styleId="Char">
    <w:name w:val="批注文字 Char"/>
    <w:basedOn w:val="a0"/>
    <w:link w:val="a3"/>
    <w:uiPriority w:val="99"/>
    <w:semiHidden/>
    <w:qFormat/>
    <w:rsid w:val="005D6368"/>
  </w:style>
  <w:style w:type="character" w:customStyle="1" w:styleId="Char4">
    <w:name w:val="批注主题 Char"/>
    <w:basedOn w:val="Char"/>
    <w:link w:val="a8"/>
    <w:uiPriority w:val="99"/>
    <w:semiHidden/>
    <w:qFormat/>
    <w:rsid w:val="005D6368"/>
    <w:rPr>
      <w:b/>
      <w:bCs/>
    </w:rPr>
  </w:style>
  <w:style w:type="character" w:customStyle="1" w:styleId="Char3">
    <w:name w:val="脚注文本 Char"/>
    <w:basedOn w:val="a0"/>
    <w:link w:val="a7"/>
    <w:uiPriority w:val="99"/>
    <w:semiHidden/>
    <w:qFormat/>
    <w:rsid w:val="005D636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E75F-6B81-410C-9221-5A16364B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1495</Words>
  <Characters>8524</Characters>
  <Application>Microsoft Office Word</Application>
  <DocSecurity>4</DocSecurity>
  <Lines>71</Lines>
  <Paragraphs>19</Paragraphs>
  <ScaleCrop>false</ScaleCrop>
  <Company> </Company>
  <LinksUpToDate>false</LinksUpToDate>
  <CharactersWithSpaces>10000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liujunli</dc:creator>
  <cp:lastModifiedBy>ZHONGM</cp:lastModifiedBy>
  <cp:revision>2</cp:revision>
  <cp:lastPrinted>2019-08-07T06:37:00Z</cp:lastPrinted>
  <dcterms:created xsi:type="dcterms:W3CDTF">2026-04-21T16:05:00Z</dcterms:created>
  <dcterms:modified xsi:type="dcterms:W3CDTF">2026-04-21T16:05:00Z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624C248849F84BC6818D211F46304750</vt:lpwstr>
  </property>
  <property fmtid="{D5CDD505-2E9C-101B-9397-08002B2CF9AE}" pid="4" name="KSOTemplateDocerSaveRecord">
    <vt:lpwstr>eyJoZGlkIjoiMmRlMzk1ZGVkOWQwZDBlYzc3YjFkNjAxNWRiZWJmYzUiLCJ1c2VySWQiOiIxMDU3NTk3MDQ1In0=</vt:lpwstr>
  </property>
</Properties>
</file>