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EBD" w:rsidRDefault="00D714FD" w:rsidP="00D714FD">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招商基金管理有限公司旗下基金</w:t>
      </w:r>
      <w:r>
        <w:rPr>
          <w:rFonts w:ascii="仿宋" w:eastAsia="仿宋" w:hAnsi="仿宋"/>
          <w:b/>
          <w:color w:val="000000" w:themeColor="text1"/>
          <w:sz w:val="32"/>
          <w:szCs w:val="32"/>
        </w:rPr>
        <w:t>2026</w:t>
      </w:r>
      <w:r>
        <w:rPr>
          <w:rFonts w:ascii="仿宋" w:eastAsia="仿宋" w:hAnsi="仿宋"/>
          <w:b/>
          <w:color w:val="000000" w:themeColor="text1"/>
          <w:sz w:val="32"/>
          <w:szCs w:val="32"/>
        </w:rPr>
        <w:t>年第</w:t>
      </w:r>
      <w:r>
        <w:rPr>
          <w:rFonts w:ascii="仿宋" w:eastAsia="仿宋" w:hAnsi="仿宋"/>
          <w:b/>
          <w:color w:val="000000" w:themeColor="text1"/>
          <w:sz w:val="32"/>
          <w:szCs w:val="32"/>
        </w:rPr>
        <w:t>1</w:t>
      </w:r>
      <w:r>
        <w:rPr>
          <w:rFonts w:ascii="仿宋" w:eastAsia="仿宋" w:hAnsi="仿宋"/>
          <w:b/>
          <w:color w:val="000000" w:themeColor="text1"/>
          <w:sz w:val="32"/>
          <w:szCs w:val="32"/>
        </w:rPr>
        <w:t>季度报告提示性公告</w:t>
      </w:r>
    </w:p>
    <w:p w:rsidR="00337EBD" w:rsidRDefault="00337EBD">
      <w:pPr>
        <w:spacing w:line="540" w:lineRule="exact"/>
        <w:ind w:firstLineChars="50" w:firstLine="160"/>
        <w:jc w:val="center"/>
        <w:rPr>
          <w:rFonts w:ascii="仿宋" w:eastAsia="仿宋" w:hAnsi="仿宋"/>
          <w:color w:val="000000" w:themeColor="text1"/>
          <w:sz w:val="32"/>
          <w:szCs w:val="32"/>
        </w:rPr>
      </w:pP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本公司董事会及董事保证基金季度报告所载资料不存在虚假记载、误导性陈述或重大遗漏，并对其内容的真实性、准确性和完整性承担个别及连带责任。</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招商基金管理有限公司旗下</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招商安泰偏股混合型证券投资基金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招商安泰平衡型证券投资基金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招商安泰债券投资基金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招商现金增值开放式证券投资基金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招商先锋证券投资基金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招商优质成长混合型证券投资基金</w:t>
      </w:r>
      <w:r>
        <w:rPr>
          <w:rFonts w:ascii="仿宋" w:eastAsia="仿宋" w:hAnsi="仿宋"/>
          <w:color w:val="000000" w:themeColor="text1"/>
          <w:sz w:val="32"/>
          <w:szCs w:val="32"/>
        </w:rPr>
        <w:t>(LOF)</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招商安本增利债券型证券投资基金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招商核心价值混合型证券投资基金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招商大盘蓝筹混合型证券投资基金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招商安心收益债券型证券投资基金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招商行业领先混合型证券投资基金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招商中小盘精选混合型证券投资基金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w:t>
      </w:r>
      <w:r>
        <w:rPr>
          <w:rFonts w:ascii="仿宋" w:eastAsia="仿宋" w:hAnsi="仿宋"/>
          <w:color w:val="000000" w:themeColor="text1"/>
          <w:sz w:val="32"/>
          <w:szCs w:val="32"/>
        </w:rPr>
        <w:t>100</w:t>
      </w:r>
      <w:r>
        <w:rPr>
          <w:rFonts w:ascii="仿宋" w:eastAsia="仿宋" w:hAnsi="仿宋"/>
          <w:color w:val="000000" w:themeColor="text1"/>
          <w:sz w:val="32"/>
          <w:szCs w:val="32"/>
        </w:rPr>
        <w:t>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招商信用添利债券型证券投资基金</w:t>
      </w:r>
      <w:r>
        <w:rPr>
          <w:rFonts w:ascii="仿宋" w:eastAsia="仿宋" w:hAnsi="仿宋"/>
          <w:color w:val="000000" w:themeColor="text1"/>
          <w:sz w:val="32"/>
          <w:szCs w:val="32"/>
        </w:rPr>
        <w:t>(LOF)</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招商上证消费</w:t>
      </w:r>
      <w:r>
        <w:rPr>
          <w:rFonts w:ascii="仿宋" w:eastAsia="仿宋" w:hAnsi="仿宋"/>
          <w:color w:val="000000" w:themeColor="text1"/>
          <w:sz w:val="32"/>
          <w:szCs w:val="32"/>
        </w:rPr>
        <w:t>80</w:t>
      </w:r>
      <w:r>
        <w:rPr>
          <w:rFonts w:ascii="仿宋" w:eastAsia="仿宋" w:hAnsi="仿宋"/>
          <w:color w:val="000000" w:themeColor="text1"/>
          <w:sz w:val="32"/>
          <w:szCs w:val="32"/>
        </w:rPr>
        <w:t>交易型开放式指数证券投资基金联接基金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上证消费</w:t>
      </w:r>
      <w:r>
        <w:rPr>
          <w:rFonts w:ascii="仿宋" w:eastAsia="仿宋" w:hAnsi="仿宋"/>
          <w:color w:val="000000" w:themeColor="text1"/>
          <w:sz w:val="32"/>
          <w:szCs w:val="32"/>
        </w:rPr>
        <w:t>80</w:t>
      </w:r>
      <w:r>
        <w:rPr>
          <w:rFonts w:ascii="仿宋" w:eastAsia="仿宋" w:hAnsi="仿宋"/>
          <w:color w:val="000000" w:themeColor="text1"/>
          <w:sz w:val="32"/>
          <w:szCs w:val="32"/>
        </w:rPr>
        <w:t>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招商安瑞进取债券型证券投资基金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深证电子信息传媒产业</w:t>
      </w:r>
      <w:r>
        <w:rPr>
          <w:rFonts w:ascii="仿宋" w:eastAsia="仿宋" w:hAnsi="仿宋"/>
          <w:color w:val="000000" w:themeColor="text1"/>
          <w:sz w:val="32"/>
          <w:szCs w:val="32"/>
        </w:rPr>
        <w:t>(TMT)50</w:t>
      </w:r>
      <w:r>
        <w:rPr>
          <w:rFonts w:ascii="仿宋" w:eastAsia="仿宋" w:hAnsi="仿宋"/>
          <w:color w:val="000000" w:themeColor="text1"/>
          <w:sz w:val="32"/>
          <w:szCs w:val="32"/>
        </w:rPr>
        <w:t>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招商深证电子信息传媒产业</w:t>
      </w:r>
      <w:r>
        <w:rPr>
          <w:rFonts w:ascii="仿宋" w:eastAsia="仿宋" w:hAnsi="仿宋"/>
          <w:color w:val="000000" w:themeColor="text1"/>
          <w:sz w:val="32"/>
          <w:szCs w:val="32"/>
        </w:rPr>
        <w:t>(TMT)50</w:t>
      </w:r>
      <w:r>
        <w:rPr>
          <w:rFonts w:ascii="仿宋" w:eastAsia="仿宋" w:hAnsi="仿宋"/>
          <w:color w:val="000000" w:themeColor="text1"/>
          <w:sz w:val="32"/>
          <w:szCs w:val="32"/>
        </w:rPr>
        <w:t>交易型开放式指数证券投资基金联接基金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招商中证大宗商品股票指数证券投资基金（</w:t>
      </w:r>
      <w:r>
        <w:rPr>
          <w:rFonts w:ascii="仿宋" w:eastAsia="仿宋" w:hAnsi="仿宋"/>
          <w:color w:val="000000" w:themeColor="text1"/>
          <w:sz w:val="32"/>
          <w:szCs w:val="32"/>
        </w:rPr>
        <w:t>LOF</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招商信用增强债券型证券投资基金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招商央视财经</w:t>
      </w:r>
      <w:r>
        <w:rPr>
          <w:rFonts w:ascii="仿宋" w:eastAsia="仿宋" w:hAnsi="仿宋"/>
          <w:color w:val="000000" w:themeColor="text1"/>
          <w:sz w:val="32"/>
          <w:szCs w:val="32"/>
        </w:rPr>
        <w:t>50</w:t>
      </w:r>
      <w:r>
        <w:rPr>
          <w:rFonts w:ascii="仿宋" w:eastAsia="仿宋" w:hAnsi="仿宋"/>
          <w:color w:val="000000" w:themeColor="text1"/>
          <w:sz w:val="32"/>
          <w:szCs w:val="32"/>
        </w:rPr>
        <w:t>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招商双债增强债券型证券投资基金</w:t>
      </w:r>
      <w:r>
        <w:rPr>
          <w:rFonts w:ascii="仿宋" w:eastAsia="仿宋" w:hAnsi="仿宋"/>
          <w:color w:val="000000" w:themeColor="text1"/>
          <w:sz w:val="32"/>
          <w:szCs w:val="32"/>
        </w:rPr>
        <w:t>(LOF)</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招商保证金快线货币市场基金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招商瑞丰灵活配置混合型发起式证券投资基金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招商丰盛稳定增长灵活配置混合型证券投资基金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招商招钱宝货币市场基金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招商招金宝货币市场基金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招商丰利灵活配置混合型证券投资基金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招商行业精选股票型证券投资基金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招商中证全指证券公司指数证券投资基金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w:t>
      </w:r>
      <w:r>
        <w:rPr>
          <w:rFonts w:ascii="仿宋" w:eastAsia="仿宋" w:hAnsi="仿宋"/>
          <w:color w:val="000000" w:themeColor="text1"/>
          <w:sz w:val="32"/>
          <w:szCs w:val="32"/>
        </w:rPr>
        <w:t>地产等权重指数证券投资基金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招商医药健康产业股票型证券投资基金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招商丰泰灵活配置混合型证券投资基金</w:t>
      </w:r>
      <w:r>
        <w:rPr>
          <w:rFonts w:ascii="仿宋" w:eastAsia="仿宋" w:hAnsi="仿宋"/>
          <w:color w:val="000000" w:themeColor="text1"/>
          <w:sz w:val="32"/>
          <w:szCs w:val="32"/>
        </w:rPr>
        <w:t>(LOF)</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招商中证煤炭等权指数证券投资基金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招商中证白酒指数证券投资基金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招商国证生物医药指数证券投资基金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招商丰泽灵活配置混合型证券投资基金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招商移动互联网产业股票型证券投资基金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招商国企改革主题混合型证券投资基金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招商体育文化休闲股票型证券投资基金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招商制造业转型灵活配置混合型证券投资基金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招商康泰灵活配置混合型证券投资基金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招商招瑞纯债债券型发起式证券投资基金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招商量化精选股票型发起式证券投资基金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招商睿逸稳健配置混合型证券投资基金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招商增荣灵活配置混合型证券投资基金（</w:t>
      </w:r>
      <w:r>
        <w:rPr>
          <w:rFonts w:ascii="仿宋" w:eastAsia="仿宋" w:hAnsi="仿宋"/>
          <w:color w:val="000000" w:themeColor="text1"/>
          <w:sz w:val="32"/>
          <w:szCs w:val="32"/>
        </w:rPr>
        <w:t>LOF</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招商招恒纯债债券型证券投资基金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招商财富宝交易型货币市场基金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招商招裕纯债债券型证券投资基金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招商丰益灵活配置混合型证券投资基金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招商瑞庆灵活配置混合型证券投资基金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招商丰凯灵活配置混合型证券投资基金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招商招悦纯债债券型证券投资基金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招商招坤纯债债券型证券投资基金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招商招通纯债债券型证券投资基金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招商招盛纯债债券型证券投资基金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招商招旺纯债债券型证券投资基金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招商招怡纯债债券型证券投资基金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招商丰美灵活配置混合型证券投资基金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招商兴福灵活配置混合型证券投资基金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招商招丰纯债债券型证券投资基金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招商招琪纯债债券型证券投资基金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招商招顺纯债债券型证券投资基金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招商招祥纯债债券型证券投资基金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招商招旭纯债债券型证券投资基金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招商招华纯债债券型证券投资基金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w:t>
      </w:r>
      <w:r>
        <w:rPr>
          <w:rFonts w:ascii="仿宋" w:eastAsia="仿宋" w:hAnsi="仿宋"/>
          <w:color w:val="000000" w:themeColor="text1"/>
          <w:sz w:val="32"/>
          <w:szCs w:val="32"/>
        </w:rPr>
        <w:t>指数增强型证券投资基金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招商招益宝货币市场基金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招商盛合灵活配置混合型证券投资基金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1000</w:t>
      </w:r>
      <w:r>
        <w:rPr>
          <w:rFonts w:ascii="仿宋" w:eastAsia="仿宋" w:hAnsi="仿宋"/>
          <w:color w:val="000000" w:themeColor="text1"/>
          <w:sz w:val="32"/>
          <w:szCs w:val="32"/>
        </w:rPr>
        <w:t>指数增强型证券投资基金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招商招景纯债债券型证券投资基金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招商招享纯债债券型证券投资基金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招商招禧宝货币市场基金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招商招利宝货币市场基金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招商沪港深科技创新主题精选灵活配置混合型证券投资基金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w:t>
      </w:r>
      <w:r>
        <w:rPr>
          <w:rFonts w:ascii="仿宋" w:eastAsia="仿宋" w:hAnsi="仿宋"/>
          <w:color w:val="000000" w:themeColor="text1"/>
          <w:sz w:val="32"/>
          <w:szCs w:val="32"/>
        </w:rPr>
        <w:t>指数增强型证券投资基金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招商招福宝货币市场基金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招商定期宝六个月期理财债券型证券投资基金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招商招财通理财债券型证券投资基金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招商招利一年期理财债券型证券投资基金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招商丰拓灵活配置混合型证券投资基金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招商稳健优选股票型证券投资基金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招商安达灵活配置混合型证券投资基金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招商境远灵活配置混合型证券投资基金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招商添润</w:t>
      </w:r>
      <w:r>
        <w:rPr>
          <w:rFonts w:ascii="仿宋" w:eastAsia="仿宋" w:hAnsi="仿宋"/>
          <w:color w:val="000000" w:themeColor="text1"/>
          <w:sz w:val="32"/>
          <w:szCs w:val="32"/>
        </w:rPr>
        <w:t>3</w:t>
      </w:r>
      <w:r>
        <w:rPr>
          <w:rFonts w:ascii="仿宋" w:eastAsia="仿宋" w:hAnsi="仿宋"/>
          <w:color w:val="000000" w:themeColor="text1"/>
          <w:sz w:val="32"/>
          <w:szCs w:val="32"/>
        </w:rPr>
        <w:t>个月定期开放债券型发起式证券投资基金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招商中国机遇股</w:t>
      </w:r>
      <w:r>
        <w:rPr>
          <w:rFonts w:ascii="仿宋" w:eastAsia="仿宋" w:hAnsi="仿宋" w:hint="eastAsia"/>
          <w:color w:val="000000" w:themeColor="text1"/>
          <w:sz w:val="32"/>
          <w:szCs w:val="32"/>
        </w:rPr>
        <w:t>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招商添琪</w:t>
      </w:r>
      <w:r>
        <w:rPr>
          <w:rFonts w:ascii="仿宋" w:eastAsia="仿宋" w:hAnsi="仿宋"/>
          <w:color w:val="000000" w:themeColor="text1"/>
          <w:sz w:val="32"/>
          <w:szCs w:val="32"/>
        </w:rPr>
        <w:t>3</w:t>
      </w:r>
      <w:r>
        <w:rPr>
          <w:rFonts w:ascii="仿宋" w:eastAsia="仿宋" w:hAnsi="仿宋"/>
          <w:color w:val="000000" w:themeColor="text1"/>
          <w:sz w:val="32"/>
          <w:szCs w:val="32"/>
        </w:rPr>
        <w:t>个月定期开放债券型发起式证券投资基金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招商招鸿</w:t>
      </w:r>
      <w:r>
        <w:rPr>
          <w:rFonts w:ascii="仿宋" w:eastAsia="仿宋" w:hAnsi="仿宋"/>
          <w:color w:val="000000" w:themeColor="text1"/>
          <w:sz w:val="32"/>
          <w:szCs w:val="32"/>
        </w:rPr>
        <w:t>6</w:t>
      </w:r>
      <w:r>
        <w:rPr>
          <w:rFonts w:ascii="仿宋" w:eastAsia="仿宋" w:hAnsi="仿宋"/>
          <w:color w:val="000000" w:themeColor="text1"/>
          <w:sz w:val="32"/>
          <w:szCs w:val="32"/>
        </w:rPr>
        <w:t>个月定期开放债券型发起式证券投资基金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招商招乾</w:t>
      </w:r>
      <w:r>
        <w:rPr>
          <w:rFonts w:ascii="仿宋" w:eastAsia="仿宋" w:hAnsi="仿宋"/>
          <w:color w:val="000000" w:themeColor="text1"/>
          <w:sz w:val="32"/>
          <w:szCs w:val="32"/>
        </w:rPr>
        <w:t>3</w:t>
      </w:r>
      <w:r>
        <w:rPr>
          <w:rFonts w:ascii="仿宋" w:eastAsia="仿宋" w:hAnsi="仿宋"/>
          <w:color w:val="000000" w:themeColor="text1"/>
          <w:sz w:val="32"/>
          <w:szCs w:val="32"/>
        </w:rPr>
        <w:t>个月定期开放债券型发起式证券投资基金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招商招信</w:t>
      </w:r>
      <w:r>
        <w:rPr>
          <w:rFonts w:ascii="仿宋" w:eastAsia="仿宋" w:hAnsi="仿宋"/>
          <w:color w:val="000000" w:themeColor="text1"/>
          <w:sz w:val="32"/>
          <w:szCs w:val="32"/>
        </w:rPr>
        <w:t>3</w:t>
      </w:r>
      <w:r>
        <w:rPr>
          <w:rFonts w:ascii="仿宋" w:eastAsia="仿宋" w:hAnsi="仿宋"/>
          <w:color w:val="000000" w:themeColor="text1"/>
          <w:sz w:val="32"/>
          <w:szCs w:val="32"/>
        </w:rPr>
        <w:t>个月定期开放债券型发起式证券投资基金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招商招惠</w:t>
      </w:r>
      <w:r>
        <w:rPr>
          <w:rFonts w:ascii="仿宋" w:eastAsia="仿宋" w:hAnsi="仿宋"/>
          <w:color w:val="000000" w:themeColor="text1"/>
          <w:sz w:val="32"/>
          <w:szCs w:val="32"/>
        </w:rPr>
        <w:t>3</w:t>
      </w:r>
      <w:r>
        <w:rPr>
          <w:rFonts w:ascii="仿宋" w:eastAsia="仿宋" w:hAnsi="仿宋"/>
          <w:color w:val="000000" w:themeColor="text1"/>
          <w:sz w:val="32"/>
          <w:szCs w:val="32"/>
        </w:rPr>
        <w:t>个月定期开放债券型发起式证券投资基金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招商安博灵活配置混合型证券投资基金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招商丰茂灵活配置混合型发起式证券投资基金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招商安裕灵活配置混合型证券投资基金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招商添利</w:t>
      </w:r>
      <w:r>
        <w:rPr>
          <w:rFonts w:ascii="仿宋" w:eastAsia="仿宋" w:hAnsi="仿宋"/>
          <w:color w:val="000000" w:themeColor="text1"/>
          <w:sz w:val="32"/>
          <w:szCs w:val="32"/>
        </w:rPr>
        <w:t>6</w:t>
      </w:r>
      <w:r>
        <w:rPr>
          <w:rFonts w:ascii="仿宋" w:eastAsia="仿宋" w:hAnsi="仿宋"/>
          <w:color w:val="000000" w:themeColor="text1"/>
          <w:sz w:val="32"/>
          <w:szCs w:val="32"/>
        </w:rPr>
        <w:t>个月定期开放债券型发起式证券投资基金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招商安益灵活配置混合型证券投资基金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招商安荣灵活配置混合型证券投资基金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招商添德</w:t>
      </w:r>
      <w:r>
        <w:rPr>
          <w:rFonts w:ascii="仿宋" w:eastAsia="仿宋" w:hAnsi="仿宋"/>
          <w:color w:val="000000" w:themeColor="text1"/>
          <w:sz w:val="32"/>
          <w:szCs w:val="32"/>
        </w:rPr>
        <w:t>3</w:t>
      </w:r>
      <w:r>
        <w:rPr>
          <w:rFonts w:ascii="仿宋" w:eastAsia="仿宋" w:hAnsi="仿宋"/>
          <w:color w:val="000000" w:themeColor="text1"/>
          <w:sz w:val="32"/>
          <w:szCs w:val="32"/>
        </w:rPr>
        <w:t>个月定期开放债券型发起式证券投资基金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招商招诚半年定期开放债券型发起式证券投资基金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招商添利两年定期开放债券型证券投资基金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招商安盈债券型证券投资基金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招商添悦纯债债券型证券投资基金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招商金鸿债券型证券投资基金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招商添荣</w:t>
      </w:r>
      <w:r>
        <w:rPr>
          <w:rFonts w:ascii="仿宋" w:eastAsia="仿宋" w:hAnsi="仿宋"/>
          <w:color w:val="000000" w:themeColor="text1"/>
          <w:sz w:val="32"/>
          <w:szCs w:val="32"/>
        </w:rPr>
        <w:t>3</w:t>
      </w:r>
      <w:r>
        <w:rPr>
          <w:rFonts w:ascii="仿宋" w:eastAsia="仿宋" w:hAnsi="仿宋"/>
          <w:color w:val="000000" w:themeColor="text1"/>
          <w:sz w:val="32"/>
          <w:szCs w:val="32"/>
        </w:rPr>
        <w:t>个月定期开放债券型发起式证券投资基金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招商鑫悦中短债债券型证券投资基金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招商中债</w:t>
      </w:r>
      <w:r>
        <w:rPr>
          <w:rFonts w:ascii="仿宋" w:eastAsia="仿宋" w:hAnsi="仿宋"/>
          <w:color w:val="000000" w:themeColor="text1"/>
          <w:sz w:val="32"/>
          <w:szCs w:val="32"/>
        </w:rPr>
        <w:t>1-5</w:t>
      </w:r>
      <w:r>
        <w:rPr>
          <w:rFonts w:ascii="仿宋" w:eastAsia="仿宋" w:hAnsi="仿宋"/>
          <w:color w:val="000000" w:themeColor="text1"/>
          <w:sz w:val="32"/>
          <w:szCs w:val="32"/>
        </w:rPr>
        <w:t>年进出口行债券指数证券投资基金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招商安弘灵活配置混合型证券投资基金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招商添盈纯债债券型证券投资基金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招商安庆债券型证券投资基金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招商添裕纯债债券型证券投资基金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招商安德灵活配置混合型证券投资基金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w:t>
      </w:r>
      <w:r>
        <w:rPr>
          <w:rFonts w:ascii="仿宋" w:eastAsia="仿宋" w:hAnsi="仿宋" w:hint="eastAsia"/>
          <w:color w:val="000000" w:themeColor="text1"/>
          <w:sz w:val="32"/>
          <w:szCs w:val="32"/>
        </w:rPr>
        <w:t>元灵活配置混合型证券投资基金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招商丰韵混合型证券投资基金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招商添旭</w:t>
      </w:r>
      <w:r>
        <w:rPr>
          <w:rFonts w:ascii="仿宋" w:eastAsia="仿宋" w:hAnsi="仿宋"/>
          <w:color w:val="000000" w:themeColor="text1"/>
          <w:sz w:val="32"/>
          <w:szCs w:val="32"/>
        </w:rPr>
        <w:t>3</w:t>
      </w:r>
      <w:r>
        <w:rPr>
          <w:rFonts w:ascii="仿宋" w:eastAsia="仿宋" w:hAnsi="仿宋"/>
          <w:color w:val="000000" w:themeColor="text1"/>
          <w:sz w:val="32"/>
          <w:szCs w:val="32"/>
        </w:rPr>
        <w:t>个月定期开放债券型发起式证券投资基金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招商和悦稳健养老目标一年持有期混合型基金中基金（</w:t>
      </w:r>
      <w:r>
        <w:rPr>
          <w:rFonts w:ascii="仿宋" w:eastAsia="仿宋" w:hAnsi="仿宋"/>
          <w:color w:val="000000" w:themeColor="text1"/>
          <w:sz w:val="32"/>
          <w:szCs w:val="32"/>
        </w:rPr>
        <w:t>FOF</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招商安润灵活配置混合型证券投资基金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招商招兴</w:t>
      </w:r>
      <w:r>
        <w:rPr>
          <w:rFonts w:ascii="仿宋" w:eastAsia="仿宋" w:hAnsi="仿宋"/>
          <w:color w:val="000000" w:themeColor="text1"/>
          <w:sz w:val="32"/>
          <w:szCs w:val="32"/>
        </w:rPr>
        <w:t>3</w:t>
      </w:r>
      <w:r>
        <w:rPr>
          <w:rFonts w:ascii="仿宋" w:eastAsia="仿宋" w:hAnsi="仿宋"/>
          <w:color w:val="000000" w:themeColor="text1"/>
          <w:sz w:val="32"/>
          <w:szCs w:val="32"/>
        </w:rPr>
        <w:t>个月定期开放债券型发起式证券投资基金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招商瑞利灵活配置混合型证券投资基金（</w:t>
      </w:r>
      <w:r>
        <w:rPr>
          <w:rFonts w:ascii="仿宋" w:eastAsia="仿宋" w:hAnsi="仿宋"/>
          <w:color w:val="000000" w:themeColor="text1"/>
          <w:sz w:val="32"/>
          <w:szCs w:val="32"/>
        </w:rPr>
        <w:t>LOF</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招商瑞文混合型证券投资基金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招商添韵</w:t>
      </w:r>
      <w:r>
        <w:rPr>
          <w:rFonts w:ascii="仿宋" w:eastAsia="仿宋" w:hAnsi="仿宋"/>
          <w:color w:val="000000" w:themeColor="text1"/>
          <w:sz w:val="32"/>
          <w:szCs w:val="32"/>
        </w:rPr>
        <w:t>3</w:t>
      </w:r>
      <w:r>
        <w:rPr>
          <w:rFonts w:ascii="仿宋" w:eastAsia="仿宋" w:hAnsi="仿宋"/>
          <w:color w:val="000000" w:themeColor="text1"/>
          <w:sz w:val="32"/>
          <w:szCs w:val="32"/>
        </w:rPr>
        <w:t>个月定期开放债券型发起式证券投资基金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w:t>
      </w:r>
      <w:r>
        <w:rPr>
          <w:rFonts w:ascii="仿宋" w:eastAsia="仿宋" w:hAnsi="仿宋"/>
          <w:color w:val="000000" w:themeColor="text1"/>
          <w:sz w:val="32"/>
          <w:szCs w:val="32"/>
        </w:rPr>
        <w:t>100</w:t>
      </w:r>
      <w:r>
        <w:rPr>
          <w:rFonts w:ascii="仿宋" w:eastAsia="仿宋" w:hAnsi="仿宋"/>
          <w:color w:val="000000" w:themeColor="text1"/>
          <w:sz w:val="32"/>
          <w:szCs w:val="32"/>
        </w:rPr>
        <w:t>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招商和悦均衡养老目标三年持有期混合型发起式基金中基金（</w:t>
      </w:r>
      <w:r>
        <w:rPr>
          <w:rFonts w:ascii="仿宋" w:eastAsia="仿宋" w:hAnsi="仿宋"/>
          <w:color w:val="000000" w:themeColor="text1"/>
          <w:sz w:val="32"/>
          <w:szCs w:val="32"/>
        </w:rPr>
        <w:t>F</w:t>
      </w:r>
      <w:r>
        <w:rPr>
          <w:rFonts w:ascii="仿宋" w:eastAsia="仿宋" w:hAnsi="仿宋"/>
          <w:color w:val="000000" w:themeColor="text1"/>
          <w:sz w:val="32"/>
          <w:szCs w:val="32"/>
        </w:rPr>
        <w:t>OF</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招商核心优选股票型证券投资基金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招商招和</w:t>
      </w:r>
      <w:r>
        <w:rPr>
          <w:rFonts w:ascii="仿宋" w:eastAsia="仿宋" w:hAnsi="仿宋"/>
          <w:color w:val="000000" w:themeColor="text1"/>
          <w:sz w:val="32"/>
          <w:szCs w:val="32"/>
        </w:rPr>
        <w:t>39</w:t>
      </w:r>
      <w:r>
        <w:rPr>
          <w:rFonts w:ascii="仿宋" w:eastAsia="仿宋" w:hAnsi="仿宋"/>
          <w:color w:val="000000" w:themeColor="text1"/>
          <w:sz w:val="32"/>
          <w:szCs w:val="32"/>
        </w:rPr>
        <w:t>个月定期开放债券型证券投资基金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招商普盛全球配置证券投资基金（</w:t>
      </w:r>
      <w:r>
        <w:rPr>
          <w:rFonts w:ascii="仿宋" w:eastAsia="仿宋" w:hAnsi="仿宋"/>
          <w:color w:val="000000" w:themeColor="text1"/>
          <w:sz w:val="32"/>
          <w:szCs w:val="32"/>
        </w:rPr>
        <w:t>QDII</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招商瑞阳股债配置混合型证券投资基金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MSCI</w:t>
      </w:r>
      <w:r>
        <w:rPr>
          <w:rFonts w:ascii="仿宋" w:eastAsia="仿宋" w:hAnsi="仿宋"/>
          <w:color w:val="000000" w:themeColor="text1"/>
          <w:sz w:val="32"/>
          <w:szCs w:val="32"/>
        </w:rPr>
        <w:t>中国</w:t>
      </w:r>
      <w:r>
        <w:rPr>
          <w:rFonts w:ascii="仿宋" w:eastAsia="仿宋" w:hAnsi="仿宋"/>
          <w:color w:val="000000" w:themeColor="text1"/>
          <w:sz w:val="32"/>
          <w:szCs w:val="32"/>
        </w:rPr>
        <w:t>A</w:t>
      </w:r>
      <w:r>
        <w:rPr>
          <w:rFonts w:ascii="仿宋" w:eastAsia="仿宋" w:hAnsi="仿宋"/>
          <w:color w:val="000000" w:themeColor="text1"/>
          <w:sz w:val="32"/>
          <w:szCs w:val="32"/>
        </w:rPr>
        <w:t>股国际通交易型开放式指数证券投资基金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招商科技创新混合型证券投资基金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w:t>
      </w:r>
      <w:r>
        <w:rPr>
          <w:rFonts w:ascii="仿宋" w:eastAsia="仿宋" w:hAnsi="仿宋"/>
          <w:color w:val="000000" w:themeColor="text1"/>
          <w:sz w:val="32"/>
          <w:szCs w:val="32"/>
        </w:rPr>
        <w:t>1</w:t>
      </w:r>
      <w:r>
        <w:rPr>
          <w:rFonts w:ascii="仿宋" w:eastAsia="仿宋" w:hAnsi="仿宋"/>
          <w:color w:val="000000" w:themeColor="text1"/>
          <w:sz w:val="32"/>
          <w:szCs w:val="32"/>
        </w:rPr>
        <w:t>个月期理财债券</w:t>
      </w:r>
      <w:r>
        <w:rPr>
          <w:rFonts w:ascii="仿宋" w:eastAsia="仿宋" w:hAnsi="仿宋" w:hint="eastAsia"/>
          <w:color w:val="000000" w:themeColor="text1"/>
          <w:sz w:val="32"/>
          <w:szCs w:val="32"/>
        </w:rPr>
        <w:t>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招商民安增益债券型证券投资基金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招商添泽纯债债券型证券投资基金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招商创业板大盘交易型开放式指数证券投资基金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招商安华债券型证券投资基金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招商研究优选股票型证券投资基金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招商添瑞</w:t>
      </w:r>
      <w:r>
        <w:rPr>
          <w:rFonts w:ascii="仿宋" w:eastAsia="仿宋" w:hAnsi="仿宋"/>
          <w:color w:val="000000" w:themeColor="text1"/>
          <w:sz w:val="32"/>
          <w:szCs w:val="32"/>
        </w:rPr>
        <w:t>1</w:t>
      </w:r>
      <w:r>
        <w:rPr>
          <w:rFonts w:ascii="仿宋" w:eastAsia="仿宋" w:hAnsi="仿宋"/>
          <w:color w:val="000000" w:themeColor="text1"/>
          <w:sz w:val="32"/>
          <w:szCs w:val="32"/>
        </w:rPr>
        <w:t>年定期开放债券型发起式证券投资基金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招商理财</w:t>
      </w:r>
      <w:r>
        <w:rPr>
          <w:rFonts w:ascii="仿宋" w:eastAsia="仿宋" w:hAnsi="仿宋"/>
          <w:color w:val="000000" w:themeColor="text1"/>
          <w:sz w:val="32"/>
          <w:szCs w:val="32"/>
        </w:rPr>
        <w:t>7</w:t>
      </w:r>
      <w:r>
        <w:rPr>
          <w:rFonts w:ascii="仿宋" w:eastAsia="仿宋" w:hAnsi="仿宋"/>
          <w:color w:val="000000" w:themeColor="text1"/>
          <w:sz w:val="32"/>
          <w:szCs w:val="32"/>
        </w:rPr>
        <w:t>天债券型证券投资基金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招商盛鑫优选</w:t>
      </w:r>
      <w:r>
        <w:rPr>
          <w:rFonts w:ascii="仿宋" w:eastAsia="仿宋" w:hAnsi="仿宋"/>
          <w:color w:val="000000" w:themeColor="text1"/>
          <w:sz w:val="32"/>
          <w:szCs w:val="32"/>
        </w:rPr>
        <w:t>3</w:t>
      </w:r>
      <w:r>
        <w:rPr>
          <w:rFonts w:ascii="仿宋" w:eastAsia="仿宋" w:hAnsi="仿宋"/>
          <w:color w:val="000000" w:themeColor="text1"/>
          <w:sz w:val="32"/>
          <w:szCs w:val="32"/>
        </w:rPr>
        <w:t>个月持有期混合型基金中基金（</w:t>
      </w:r>
      <w:r>
        <w:rPr>
          <w:rFonts w:ascii="仿宋" w:eastAsia="仿宋" w:hAnsi="仿宋"/>
          <w:color w:val="000000" w:themeColor="text1"/>
          <w:sz w:val="32"/>
          <w:szCs w:val="32"/>
        </w:rPr>
        <w:t>FOF</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招商鑫福中短债债券型证券投资基金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招商瑞恒一年持有期混合型证券投资基金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招商瑞信稳健配置混合型证券投资基金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招商创新增长混合型证券投资基金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招商成长精选一年定期开放混合型发起式证券投资基金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招商添华纯债债券型证券投资基金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招商添盛</w:t>
      </w:r>
      <w:r>
        <w:rPr>
          <w:rFonts w:ascii="仿宋" w:eastAsia="仿宋" w:hAnsi="仿宋"/>
          <w:color w:val="000000" w:themeColor="text1"/>
          <w:sz w:val="32"/>
          <w:szCs w:val="32"/>
        </w:rPr>
        <w:t>78</w:t>
      </w:r>
      <w:r>
        <w:rPr>
          <w:rFonts w:ascii="仿宋" w:eastAsia="仿宋" w:hAnsi="仿宋"/>
          <w:color w:val="000000" w:themeColor="text1"/>
          <w:sz w:val="32"/>
          <w:szCs w:val="32"/>
        </w:rPr>
        <w:t>个月定期开放债券型证券投资基金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招商丰盈积极配置混合型证券投资基金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招商上证港股通交易型开放式指数证券投资基金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招商瑞泽一年持有期混合型证券投资基金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招商添浩纯债债券型证券投资基金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招商科技动力</w:t>
      </w:r>
      <w:r>
        <w:rPr>
          <w:rFonts w:ascii="仿宋" w:eastAsia="仿宋" w:hAnsi="仿宋"/>
          <w:color w:val="000000" w:themeColor="text1"/>
          <w:sz w:val="32"/>
          <w:szCs w:val="32"/>
        </w:rPr>
        <w:t>3</w:t>
      </w:r>
      <w:r>
        <w:rPr>
          <w:rFonts w:ascii="仿宋" w:eastAsia="仿宋" w:hAnsi="仿宋"/>
          <w:color w:val="000000" w:themeColor="text1"/>
          <w:sz w:val="32"/>
          <w:szCs w:val="32"/>
        </w:rPr>
        <w:t>个月滚</w:t>
      </w:r>
      <w:r>
        <w:rPr>
          <w:rFonts w:ascii="仿宋" w:eastAsia="仿宋" w:hAnsi="仿宋"/>
          <w:color w:val="000000" w:themeColor="text1"/>
          <w:sz w:val="32"/>
          <w:szCs w:val="32"/>
        </w:rPr>
        <w:t>动持有股票型证券投资基金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招商安阳债券型证券投资基金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招商景气优选股票型证券投资基金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MSCI</w:t>
      </w:r>
      <w:r>
        <w:rPr>
          <w:rFonts w:ascii="仿宋" w:eastAsia="仿宋" w:hAnsi="仿宋"/>
          <w:color w:val="000000" w:themeColor="text1"/>
          <w:sz w:val="32"/>
          <w:szCs w:val="32"/>
        </w:rPr>
        <w:t>中国</w:t>
      </w:r>
      <w:r>
        <w:rPr>
          <w:rFonts w:ascii="仿宋" w:eastAsia="仿宋" w:hAnsi="仿宋"/>
          <w:color w:val="000000" w:themeColor="text1"/>
          <w:sz w:val="32"/>
          <w:szCs w:val="32"/>
        </w:rPr>
        <w:t>A</w:t>
      </w:r>
      <w:r>
        <w:rPr>
          <w:rFonts w:ascii="仿宋" w:eastAsia="仿宋" w:hAnsi="仿宋"/>
          <w:color w:val="000000" w:themeColor="text1"/>
          <w:sz w:val="32"/>
          <w:szCs w:val="32"/>
        </w:rPr>
        <w:t>股国际通交易型开放式指数证券投资基金联接基金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招商增浩混合型证券投资基金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招商产业精选股票型证券投资基金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招商添锦</w:t>
      </w:r>
      <w:r>
        <w:rPr>
          <w:rFonts w:ascii="仿宋" w:eastAsia="仿宋" w:hAnsi="仿宋"/>
          <w:color w:val="000000" w:themeColor="text1"/>
          <w:sz w:val="32"/>
          <w:szCs w:val="32"/>
        </w:rPr>
        <w:t>1</w:t>
      </w:r>
      <w:r>
        <w:rPr>
          <w:rFonts w:ascii="仿宋" w:eastAsia="仿宋" w:hAnsi="仿宋"/>
          <w:color w:val="000000" w:themeColor="text1"/>
          <w:sz w:val="32"/>
          <w:szCs w:val="32"/>
        </w:rPr>
        <w:t>年定期开放债券型发起式证券投资基金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w:t>
      </w:r>
      <w:r>
        <w:rPr>
          <w:rFonts w:ascii="仿宋" w:eastAsia="仿宋" w:hAnsi="仿宋" w:hint="eastAsia"/>
          <w:color w:val="000000" w:themeColor="text1"/>
          <w:sz w:val="32"/>
          <w:szCs w:val="32"/>
        </w:rPr>
        <w:t>等权重指数增强型证券投资基金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招商国证食品饮料行业交易型开放式指数证券投资基金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招商瑞德一年持有期混合型证券投资基金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招商兴和优选</w:t>
      </w:r>
      <w:r>
        <w:rPr>
          <w:rFonts w:ascii="仿宋" w:eastAsia="仿宋" w:hAnsi="仿宋"/>
          <w:color w:val="000000" w:themeColor="text1"/>
          <w:sz w:val="32"/>
          <w:szCs w:val="32"/>
        </w:rPr>
        <w:t>1</w:t>
      </w:r>
      <w:r>
        <w:rPr>
          <w:rFonts w:ascii="仿宋" w:eastAsia="仿宋" w:hAnsi="仿宋"/>
          <w:color w:val="000000" w:themeColor="text1"/>
          <w:sz w:val="32"/>
          <w:szCs w:val="32"/>
        </w:rPr>
        <w:t>年持有期混合型证券投资基金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招商稳兴混合型证券投资基金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招商中证生物科技主题交易型开放式指数证券投资基金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招商品质升级混合型证券投资基金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招商添逸</w:t>
      </w:r>
      <w:r>
        <w:rPr>
          <w:rFonts w:ascii="仿宋" w:eastAsia="仿宋" w:hAnsi="仿宋"/>
          <w:color w:val="000000" w:themeColor="text1"/>
          <w:sz w:val="32"/>
          <w:szCs w:val="32"/>
        </w:rPr>
        <w:t>1</w:t>
      </w:r>
      <w:r>
        <w:rPr>
          <w:rFonts w:ascii="仿宋" w:eastAsia="仿宋" w:hAnsi="仿宋"/>
          <w:color w:val="000000" w:themeColor="text1"/>
          <w:sz w:val="32"/>
          <w:szCs w:val="32"/>
        </w:rPr>
        <w:t>年定期开放债券型发起式证券投资基金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招商中证畜牧养殖交易型开放式指数证券投资基金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招商港股通核心精选股票型证券投资基金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招商中证云计算与大数据主题交易型开放式指数证券投资基金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招商商业模式优选混合型证券投资基金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招商企业优选混合型证券投资基金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招商金融债</w:t>
      </w:r>
      <w:r>
        <w:rPr>
          <w:rFonts w:ascii="仿宋" w:eastAsia="仿宋" w:hAnsi="仿宋"/>
          <w:color w:val="000000" w:themeColor="text1"/>
          <w:sz w:val="32"/>
          <w:szCs w:val="32"/>
        </w:rPr>
        <w:t>3</w:t>
      </w:r>
      <w:r>
        <w:rPr>
          <w:rFonts w:ascii="仿宋" w:eastAsia="仿宋" w:hAnsi="仿宋"/>
          <w:color w:val="000000" w:themeColor="text1"/>
          <w:sz w:val="32"/>
          <w:szCs w:val="32"/>
        </w:rPr>
        <w:t>个月定期开放债券型证券投资基金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招商瑞安</w:t>
      </w:r>
      <w:r>
        <w:rPr>
          <w:rFonts w:ascii="仿宋" w:eastAsia="仿宋" w:hAnsi="仿宋"/>
          <w:color w:val="000000" w:themeColor="text1"/>
          <w:sz w:val="32"/>
          <w:szCs w:val="32"/>
        </w:rPr>
        <w:t>1</w:t>
      </w:r>
      <w:r>
        <w:rPr>
          <w:rFonts w:ascii="仿宋" w:eastAsia="仿宋" w:hAnsi="仿宋"/>
          <w:color w:val="000000" w:themeColor="text1"/>
          <w:sz w:val="32"/>
          <w:szCs w:val="32"/>
        </w:rPr>
        <w:t>年持有期混合型证券投资基金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招商中证消费龙头指数增强型证券投资基金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招商中证全指医疗器械交易型开放式指数证券投资基金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招商品质生活混合型证券投资基金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招商稳裕短债</w:t>
      </w:r>
      <w:r>
        <w:rPr>
          <w:rFonts w:ascii="仿宋" w:eastAsia="仿宋" w:hAnsi="仿宋"/>
          <w:color w:val="000000" w:themeColor="text1"/>
          <w:sz w:val="32"/>
          <w:szCs w:val="32"/>
        </w:rPr>
        <w:t>30</w:t>
      </w:r>
      <w:r>
        <w:rPr>
          <w:rFonts w:ascii="仿宋" w:eastAsia="仿宋" w:hAnsi="仿宋"/>
          <w:color w:val="000000" w:themeColor="text1"/>
          <w:sz w:val="32"/>
          <w:szCs w:val="32"/>
        </w:rPr>
        <w:t>天持有</w:t>
      </w:r>
      <w:r>
        <w:rPr>
          <w:rFonts w:ascii="仿宋" w:eastAsia="仿宋" w:hAnsi="仿宋"/>
          <w:color w:val="000000" w:themeColor="text1"/>
          <w:sz w:val="32"/>
          <w:szCs w:val="32"/>
        </w:rPr>
        <w:t>期债券型证券投资基金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招商金安成长严选混合型证券投资基金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招商中证光伏产业指数型证券投资基金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招商中证全指软件交易型开放式指数证券投资基金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招商前沿医疗保健股票型证券投资基金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招商中证科创创业</w:t>
      </w:r>
      <w:r>
        <w:rPr>
          <w:rFonts w:ascii="仿宋" w:eastAsia="仿宋" w:hAnsi="仿宋"/>
          <w:color w:val="000000" w:themeColor="text1"/>
          <w:sz w:val="32"/>
          <w:szCs w:val="32"/>
        </w:rPr>
        <w:t>50</w:t>
      </w:r>
      <w:r>
        <w:rPr>
          <w:rFonts w:ascii="仿宋" w:eastAsia="仿宋" w:hAnsi="仿宋"/>
          <w:color w:val="000000" w:themeColor="text1"/>
          <w:sz w:val="32"/>
          <w:szCs w:val="32"/>
        </w:rPr>
        <w:t>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300ESG</w:t>
      </w:r>
      <w:r>
        <w:rPr>
          <w:rFonts w:ascii="仿宋" w:eastAsia="仿宋" w:hAnsi="仿宋"/>
          <w:color w:val="000000" w:themeColor="text1"/>
          <w:sz w:val="32"/>
          <w:szCs w:val="32"/>
        </w:rPr>
        <w:t>基准交易型开放式指数证券</w:t>
      </w:r>
      <w:r>
        <w:rPr>
          <w:rFonts w:ascii="仿宋" w:eastAsia="仿宋" w:hAnsi="仿宋" w:hint="eastAsia"/>
          <w:color w:val="000000" w:themeColor="text1"/>
          <w:sz w:val="32"/>
          <w:szCs w:val="32"/>
        </w:rPr>
        <w:t>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招商瑞乐</w:t>
      </w:r>
      <w:r>
        <w:rPr>
          <w:rFonts w:ascii="仿宋" w:eastAsia="仿宋" w:hAnsi="仿宋"/>
          <w:color w:val="000000" w:themeColor="text1"/>
          <w:sz w:val="32"/>
          <w:szCs w:val="32"/>
        </w:rPr>
        <w:t>6</w:t>
      </w:r>
      <w:r>
        <w:rPr>
          <w:rFonts w:ascii="仿宋" w:eastAsia="仿宋" w:hAnsi="仿宋"/>
          <w:color w:val="000000" w:themeColor="text1"/>
          <w:sz w:val="32"/>
          <w:szCs w:val="32"/>
        </w:rPr>
        <w:t>个月持有期混合型证券投资基金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招商景气精选股票型证券投资基金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招商瑞盈</w:t>
      </w:r>
      <w:r>
        <w:rPr>
          <w:rFonts w:ascii="仿宋" w:eastAsia="仿宋" w:hAnsi="仿宋"/>
          <w:color w:val="000000" w:themeColor="text1"/>
          <w:sz w:val="32"/>
          <w:szCs w:val="32"/>
        </w:rPr>
        <w:t>9</w:t>
      </w:r>
      <w:r>
        <w:rPr>
          <w:rFonts w:ascii="仿宋" w:eastAsia="仿宋" w:hAnsi="仿宋"/>
          <w:color w:val="000000" w:themeColor="text1"/>
          <w:sz w:val="32"/>
          <w:szCs w:val="32"/>
        </w:rPr>
        <w:t>个月持有期混合型证券投资基金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招商蓝筹精选股票型证券投资基金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招商瑞智优选灵活配置混合型证券投资基金（</w:t>
      </w:r>
      <w:r>
        <w:rPr>
          <w:rFonts w:ascii="仿宋" w:eastAsia="仿宋" w:hAnsi="仿宋"/>
          <w:color w:val="000000" w:themeColor="text1"/>
          <w:sz w:val="32"/>
          <w:szCs w:val="32"/>
        </w:rPr>
        <w:t>LOF</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招商中证电池主题交易型开放式指数证券投资基金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招商稳乐中短债</w:t>
      </w:r>
      <w:r>
        <w:rPr>
          <w:rFonts w:ascii="仿宋" w:eastAsia="仿宋" w:hAnsi="仿宋"/>
          <w:color w:val="000000" w:themeColor="text1"/>
          <w:sz w:val="32"/>
          <w:szCs w:val="32"/>
        </w:rPr>
        <w:t>90</w:t>
      </w:r>
      <w:r>
        <w:rPr>
          <w:rFonts w:ascii="仿宋" w:eastAsia="仿宋" w:hAnsi="仿宋"/>
          <w:color w:val="000000" w:themeColor="text1"/>
          <w:sz w:val="32"/>
          <w:szCs w:val="32"/>
        </w:rPr>
        <w:t>天持有期债券型证券投资基金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招商价值成长混合型证券投资基金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招商中证科创创业</w:t>
      </w:r>
      <w:r>
        <w:rPr>
          <w:rFonts w:ascii="仿宋" w:eastAsia="仿宋" w:hAnsi="仿宋"/>
          <w:color w:val="000000" w:themeColor="text1"/>
          <w:sz w:val="32"/>
          <w:szCs w:val="32"/>
        </w:rPr>
        <w:t>50</w:t>
      </w:r>
      <w:r>
        <w:rPr>
          <w:rFonts w:ascii="仿宋" w:eastAsia="仿宋" w:hAnsi="仿宋"/>
          <w:color w:val="000000" w:themeColor="text1"/>
          <w:sz w:val="32"/>
          <w:szCs w:val="32"/>
        </w:rPr>
        <w:t>交易型开放式指数证券投资基金联接基金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招商中证新能源汽车指数型证券投资基金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招商品质发现混合型证券投资基金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招商添呈</w:t>
      </w:r>
      <w:r>
        <w:rPr>
          <w:rFonts w:ascii="仿宋" w:eastAsia="仿宋" w:hAnsi="仿宋"/>
          <w:color w:val="000000" w:themeColor="text1"/>
          <w:sz w:val="32"/>
          <w:szCs w:val="32"/>
        </w:rPr>
        <w:t>1</w:t>
      </w:r>
      <w:r>
        <w:rPr>
          <w:rFonts w:ascii="仿宋" w:eastAsia="仿宋" w:hAnsi="仿宋"/>
          <w:color w:val="000000" w:themeColor="text1"/>
          <w:sz w:val="32"/>
          <w:szCs w:val="32"/>
        </w:rPr>
        <w:t>年定期开放债券型发起式证券投资基金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招商品质成长混合型证券投资基金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招商稳健平衡混合型证券投资基金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招商享诚增强债券型证券投资基金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招商稳福短债</w:t>
      </w:r>
      <w:r>
        <w:rPr>
          <w:rFonts w:ascii="仿宋" w:eastAsia="仿宋" w:hAnsi="仿宋"/>
          <w:color w:val="000000" w:themeColor="text1"/>
          <w:sz w:val="32"/>
          <w:szCs w:val="32"/>
        </w:rPr>
        <w:t>14</w:t>
      </w:r>
      <w:r>
        <w:rPr>
          <w:rFonts w:ascii="仿宋" w:eastAsia="仿宋" w:hAnsi="仿宋"/>
          <w:color w:val="000000" w:themeColor="text1"/>
          <w:sz w:val="32"/>
          <w:szCs w:val="32"/>
        </w:rPr>
        <w:t>天滚动持有债券型发起式证券投资基金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招商均衡回报混合型证券投资基金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招商添福</w:t>
      </w:r>
      <w:r>
        <w:rPr>
          <w:rFonts w:ascii="仿宋" w:eastAsia="仿宋" w:hAnsi="仿宋"/>
          <w:color w:val="000000" w:themeColor="text1"/>
          <w:sz w:val="32"/>
          <w:szCs w:val="32"/>
        </w:rPr>
        <w:t>1</w:t>
      </w:r>
      <w:r>
        <w:rPr>
          <w:rFonts w:ascii="仿宋" w:eastAsia="仿宋" w:hAnsi="仿宋"/>
          <w:color w:val="000000" w:themeColor="text1"/>
          <w:sz w:val="32"/>
          <w:szCs w:val="32"/>
        </w:rPr>
        <w:t>年定期开放债券型证券投资基金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招商创业板指数增强型证券投资基金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招商中证消费电子主题交易型开放式指数证券投资基金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w:t>
      </w:r>
      <w:r>
        <w:rPr>
          <w:rFonts w:ascii="仿宋" w:eastAsia="仿宋" w:hAnsi="仿宋"/>
          <w:color w:val="000000" w:themeColor="text1"/>
          <w:sz w:val="32"/>
          <w:szCs w:val="32"/>
        </w:rPr>
        <w:t>增强策略交易型开放式指数证券投资基金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招商瑞泰</w:t>
      </w:r>
      <w:r>
        <w:rPr>
          <w:rFonts w:ascii="仿宋" w:eastAsia="仿宋" w:hAnsi="仿宋"/>
          <w:color w:val="000000" w:themeColor="text1"/>
          <w:sz w:val="32"/>
          <w:szCs w:val="32"/>
        </w:rPr>
        <w:t>1</w:t>
      </w:r>
      <w:r>
        <w:rPr>
          <w:rFonts w:ascii="仿宋" w:eastAsia="仿宋" w:hAnsi="仿宋"/>
          <w:color w:val="000000" w:themeColor="text1"/>
          <w:sz w:val="32"/>
          <w:szCs w:val="32"/>
        </w:rPr>
        <w:t>年持有期混合型证券投资基金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招商享利增强债券型证券投资基金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招商专精特新股票型证券投资基金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招商中证物联网主题交易型开放式指数证券投资基金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招商瑞鸿</w:t>
      </w:r>
      <w:r>
        <w:rPr>
          <w:rFonts w:ascii="仿宋" w:eastAsia="仿宋" w:hAnsi="仿宋"/>
          <w:color w:val="000000" w:themeColor="text1"/>
          <w:sz w:val="32"/>
          <w:szCs w:val="32"/>
        </w:rPr>
        <w:t>6</w:t>
      </w:r>
      <w:r>
        <w:rPr>
          <w:rFonts w:ascii="仿宋" w:eastAsia="仿宋" w:hAnsi="仿宋"/>
          <w:color w:val="000000" w:themeColor="text1"/>
          <w:sz w:val="32"/>
          <w:szCs w:val="32"/>
        </w:rPr>
        <w:t>个</w:t>
      </w:r>
      <w:r>
        <w:rPr>
          <w:rFonts w:ascii="仿宋" w:eastAsia="仿宋" w:hAnsi="仿宋" w:hint="eastAsia"/>
          <w:color w:val="000000" w:themeColor="text1"/>
          <w:sz w:val="32"/>
          <w:szCs w:val="32"/>
        </w:rPr>
        <w:t>月持有期混合型证券投资基金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招商和惠养老目标日期</w:t>
      </w:r>
      <w:r>
        <w:rPr>
          <w:rFonts w:ascii="仿宋" w:eastAsia="仿宋" w:hAnsi="仿宋"/>
          <w:color w:val="000000" w:themeColor="text1"/>
          <w:sz w:val="32"/>
          <w:szCs w:val="32"/>
        </w:rPr>
        <w:t>2040</w:t>
      </w:r>
      <w:r>
        <w:rPr>
          <w:rFonts w:ascii="仿宋" w:eastAsia="仿宋" w:hAnsi="仿宋"/>
          <w:color w:val="000000" w:themeColor="text1"/>
          <w:sz w:val="32"/>
          <w:szCs w:val="32"/>
        </w:rPr>
        <w:t>三年持有期混合型基金中基金（</w:t>
      </w:r>
      <w:r>
        <w:rPr>
          <w:rFonts w:ascii="仿宋" w:eastAsia="仿宋" w:hAnsi="仿宋"/>
          <w:color w:val="000000" w:themeColor="text1"/>
          <w:sz w:val="32"/>
          <w:szCs w:val="32"/>
        </w:rPr>
        <w:t>FOF</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招商安福</w:t>
      </w:r>
      <w:r>
        <w:rPr>
          <w:rFonts w:ascii="仿宋" w:eastAsia="仿宋" w:hAnsi="仿宋"/>
          <w:color w:val="000000" w:themeColor="text1"/>
          <w:sz w:val="32"/>
          <w:szCs w:val="32"/>
        </w:rPr>
        <w:t>1</w:t>
      </w:r>
      <w:r>
        <w:rPr>
          <w:rFonts w:ascii="仿宋" w:eastAsia="仿宋" w:hAnsi="仿宋"/>
          <w:color w:val="000000" w:themeColor="text1"/>
          <w:sz w:val="32"/>
          <w:szCs w:val="32"/>
        </w:rPr>
        <w:t>年定期开放债券型发起式证券投资基金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招商中证沪港深消费龙头交易型开放式指数证券投资基金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招商瑞享</w:t>
      </w:r>
      <w:r>
        <w:rPr>
          <w:rFonts w:ascii="仿宋" w:eastAsia="仿宋" w:hAnsi="仿宋"/>
          <w:color w:val="000000" w:themeColor="text1"/>
          <w:sz w:val="32"/>
          <w:szCs w:val="32"/>
        </w:rPr>
        <w:t>1</w:t>
      </w:r>
      <w:r>
        <w:rPr>
          <w:rFonts w:ascii="仿宋" w:eastAsia="仿宋" w:hAnsi="仿宋"/>
          <w:color w:val="000000" w:themeColor="text1"/>
          <w:sz w:val="32"/>
          <w:szCs w:val="32"/>
        </w:rPr>
        <w:t>年持有期混合型证券投资基金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招商稳恒中短债</w:t>
      </w:r>
      <w:r>
        <w:rPr>
          <w:rFonts w:ascii="仿宋" w:eastAsia="仿宋" w:hAnsi="仿宋"/>
          <w:color w:val="000000" w:themeColor="text1"/>
          <w:sz w:val="32"/>
          <w:szCs w:val="32"/>
        </w:rPr>
        <w:t>60</w:t>
      </w:r>
      <w:r>
        <w:rPr>
          <w:rFonts w:ascii="仿宋" w:eastAsia="仿宋" w:hAnsi="仿宋"/>
          <w:color w:val="000000" w:themeColor="text1"/>
          <w:sz w:val="32"/>
          <w:szCs w:val="32"/>
        </w:rPr>
        <w:t>天持有期债券型证券投资基金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招商中证香港科技交易型开放式指数证券投资基金（</w:t>
      </w:r>
      <w:r>
        <w:rPr>
          <w:rFonts w:ascii="仿宋" w:eastAsia="仿宋" w:hAnsi="仿宋"/>
          <w:color w:val="000000" w:themeColor="text1"/>
          <w:sz w:val="32"/>
          <w:szCs w:val="32"/>
        </w:rPr>
        <w:t>QDII</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招商能源转型混合型证券投资基金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招商裕华混合型证券投资基金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招商中证红利交易型开放式指数证券投资基金联接基金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招商添安</w:t>
      </w:r>
      <w:r>
        <w:rPr>
          <w:rFonts w:ascii="仿宋" w:eastAsia="仿宋" w:hAnsi="仿宋"/>
          <w:color w:val="000000" w:themeColor="text1"/>
          <w:sz w:val="32"/>
          <w:szCs w:val="32"/>
        </w:rPr>
        <w:t>1</w:t>
      </w:r>
      <w:r>
        <w:rPr>
          <w:rFonts w:ascii="仿宋" w:eastAsia="仿宋" w:hAnsi="仿宋"/>
          <w:color w:val="000000" w:themeColor="text1"/>
          <w:sz w:val="32"/>
          <w:szCs w:val="32"/>
        </w:rPr>
        <w:t>年定期开放债券型证券投资基金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招商高端装备混合型证券投资基金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招商稳旺混合型证券投资基金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w:t>
      </w:r>
      <w:r>
        <w:rPr>
          <w:rFonts w:ascii="仿宋" w:eastAsia="仿宋" w:hAnsi="仿宋"/>
          <w:color w:val="000000" w:themeColor="text1"/>
          <w:sz w:val="32"/>
          <w:szCs w:val="32"/>
        </w:rPr>
        <w:t>AH</w:t>
      </w:r>
      <w:r>
        <w:rPr>
          <w:rFonts w:ascii="仿宋" w:eastAsia="仿宋" w:hAnsi="仿宋"/>
          <w:color w:val="000000" w:themeColor="text1"/>
          <w:sz w:val="32"/>
          <w:szCs w:val="32"/>
        </w:rPr>
        <w:t>价格优选交易型开放式指数证券投资基金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招商安鼎平衡</w:t>
      </w:r>
      <w:r>
        <w:rPr>
          <w:rFonts w:ascii="仿宋" w:eastAsia="仿宋" w:hAnsi="仿宋"/>
          <w:color w:val="000000" w:themeColor="text1"/>
          <w:sz w:val="32"/>
          <w:szCs w:val="32"/>
        </w:rPr>
        <w:t>1</w:t>
      </w:r>
      <w:r>
        <w:rPr>
          <w:rFonts w:ascii="仿宋" w:eastAsia="仿宋" w:hAnsi="仿宋"/>
          <w:color w:val="000000" w:themeColor="text1"/>
          <w:sz w:val="32"/>
          <w:szCs w:val="32"/>
        </w:rPr>
        <w:t>年持有期混合型证券投资基金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招商核心竞争</w:t>
      </w:r>
      <w:r>
        <w:rPr>
          <w:rFonts w:ascii="仿宋" w:eastAsia="仿宋" w:hAnsi="仿宋" w:hint="eastAsia"/>
          <w:color w:val="000000" w:themeColor="text1"/>
          <w:sz w:val="32"/>
          <w:szCs w:val="32"/>
        </w:rPr>
        <w:t>力混合型证券投资基金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招商中证畜牧养殖交易型开放式指数证券投资基金联接基金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招商中证同业存单</w:t>
      </w:r>
      <w:r>
        <w:rPr>
          <w:rFonts w:ascii="仿宋" w:eastAsia="仿宋" w:hAnsi="仿宋"/>
          <w:color w:val="000000" w:themeColor="text1"/>
          <w:sz w:val="32"/>
          <w:szCs w:val="32"/>
        </w:rPr>
        <w:t>AAA</w:t>
      </w:r>
      <w:r>
        <w:rPr>
          <w:rFonts w:ascii="仿宋" w:eastAsia="仿宋" w:hAnsi="仿宋"/>
          <w:color w:val="000000" w:themeColor="text1"/>
          <w:sz w:val="32"/>
          <w:szCs w:val="32"/>
        </w:rPr>
        <w:t>指数</w:t>
      </w:r>
      <w:r>
        <w:rPr>
          <w:rFonts w:ascii="仿宋" w:eastAsia="仿宋" w:hAnsi="仿宋"/>
          <w:color w:val="000000" w:themeColor="text1"/>
          <w:sz w:val="32"/>
          <w:szCs w:val="32"/>
        </w:rPr>
        <w:t>7</w:t>
      </w:r>
      <w:r>
        <w:rPr>
          <w:rFonts w:ascii="仿宋" w:eastAsia="仿宋" w:hAnsi="仿宋"/>
          <w:color w:val="000000" w:themeColor="text1"/>
          <w:sz w:val="32"/>
          <w:szCs w:val="32"/>
        </w:rPr>
        <w:t>天持有期证券投资基金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招商中证沪港深</w:t>
      </w:r>
      <w:r>
        <w:rPr>
          <w:rFonts w:ascii="仿宋" w:eastAsia="仿宋" w:hAnsi="仿宋"/>
          <w:color w:val="000000" w:themeColor="text1"/>
          <w:sz w:val="32"/>
          <w:szCs w:val="32"/>
        </w:rPr>
        <w:t>500</w:t>
      </w:r>
      <w:r>
        <w:rPr>
          <w:rFonts w:ascii="仿宋" w:eastAsia="仿宋" w:hAnsi="仿宋"/>
          <w:color w:val="000000" w:themeColor="text1"/>
          <w:sz w:val="32"/>
          <w:szCs w:val="32"/>
        </w:rPr>
        <w:t>医药卫生交易型开放式指数证券投资基金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招商智星稳健配置混合型基金中基金（</w:t>
      </w:r>
      <w:r>
        <w:rPr>
          <w:rFonts w:ascii="仿宋" w:eastAsia="仿宋" w:hAnsi="仿宋"/>
          <w:color w:val="000000" w:themeColor="text1"/>
          <w:sz w:val="32"/>
          <w:szCs w:val="32"/>
        </w:rPr>
        <w:t>FOF-LOF</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招商中证全球中国互联网交易型开放式指数证券投资基金（</w:t>
      </w:r>
      <w:r>
        <w:rPr>
          <w:rFonts w:ascii="仿宋" w:eastAsia="仿宋" w:hAnsi="仿宋"/>
          <w:color w:val="000000" w:themeColor="text1"/>
          <w:sz w:val="32"/>
          <w:szCs w:val="32"/>
        </w:rPr>
        <w:t>QDII</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招商中证电池主题交易型开放式指数证券投资基金联接基金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招商添兴</w:t>
      </w:r>
      <w:r>
        <w:rPr>
          <w:rFonts w:ascii="仿宋" w:eastAsia="仿宋" w:hAnsi="仿宋"/>
          <w:color w:val="000000" w:themeColor="text1"/>
          <w:sz w:val="32"/>
          <w:szCs w:val="32"/>
        </w:rPr>
        <w:t>6</w:t>
      </w:r>
      <w:r>
        <w:rPr>
          <w:rFonts w:ascii="仿宋" w:eastAsia="仿宋" w:hAnsi="仿宋"/>
          <w:color w:val="000000" w:themeColor="text1"/>
          <w:sz w:val="32"/>
          <w:szCs w:val="32"/>
        </w:rPr>
        <w:t>个月</w:t>
      </w:r>
      <w:r>
        <w:rPr>
          <w:rFonts w:ascii="仿宋" w:eastAsia="仿宋" w:hAnsi="仿宋" w:hint="eastAsia"/>
          <w:color w:val="000000" w:themeColor="text1"/>
          <w:sz w:val="32"/>
          <w:szCs w:val="32"/>
        </w:rPr>
        <w:t>定期开放债券型证券投资基金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招商中证上海环交所碳中和交易型开放式指数证券投资基金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招商成长先导股票型证券投资基金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招商核心装备混合型证券投资基金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招商瑞联</w:t>
      </w:r>
      <w:r>
        <w:rPr>
          <w:rFonts w:ascii="仿宋" w:eastAsia="仿宋" w:hAnsi="仿宋"/>
          <w:color w:val="000000" w:themeColor="text1"/>
          <w:sz w:val="32"/>
          <w:szCs w:val="32"/>
        </w:rPr>
        <w:t>1</w:t>
      </w:r>
      <w:r>
        <w:rPr>
          <w:rFonts w:ascii="仿宋" w:eastAsia="仿宋" w:hAnsi="仿宋"/>
          <w:color w:val="000000" w:themeColor="text1"/>
          <w:sz w:val="32"/>
          <w:szCs w:val="32"/>
        </w:rPr>
        <w:t>年持有期混合型证券投资基金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A100</w:t>
      </w:r>
      <w:r>
        <w:rPr>
          <w:rFonts w:ascii="仿宋" w:eastAsia="仿宋" w:hAnsi="仿宋"/>
          <w:color w:val="000000" w:themeColor="text1"/>
          <w:sz w:val="32"/>
          <w:szCs w:val="32"/>
        </w:rPr>
        <w:t>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招商远见成长混合型证券投资基金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800</w:t>
      </w:r>
      <w:r>
        <w:rPr>
          <w:rFonts w:ascii="仿宋" w:eastAsia="仿宋" w:hAnsi="仿宋"/>
          <w:color w:val="000000" w:themeColor="text1"/>
          <w:sz w:val="32"/>
          <w:szCs w:val="32"/>
        </w:rPr>
        <w:t>指数增强型证券投资基金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招商均衡成长混合型证券投资基金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招商安嘉债券型证券投资基金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招商碳中和主题混合型证券投资基金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招商添文</w:t>
      </w:r>
      <w:r>
        <w:rPr>
          <w:rFonts w:ascii="仿宋" w:eastAsia="仿宋" w:hAnsi="仿宋"/>
          <w:color w:val="000000" w:themeColor="text1"/>
          <w:sz w:val="32"/>
          <w:szCs w:val="32"/>
        </w:rPr>
        <w:t>1</w:t>
      </w:r>
      <w:r>
        <w:rPr>
          <w:rFonts w:ascii="仿宋" w:eastAsia="仿宋" w:hAnsi="仿宋"/>
          <w:color w:val="000000" w:themeColor="text1"/>
          <w:sz w:val="32"/>
          <w:szCs w:val="32"/>
        </w:rPr>
        <w:t>年定期开放债券型发起式证券投资基金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招商鑫诚短债债券型证券投资基金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1000</w:t>
      </w:r>
      <w:r>
        <w:rPr>
          <w:rFonts w:ascii="仿宋" w:eastAsia="仿宋" w:hAnsi="仿宋"/>
          <w:color w:val="000000" w:themeColor="text1"/>
          <w:sz w:val="32"/>
          <w:szCs w:val="32"/>
        </w:rPr>
        <w:t>增强策略交易型开放式指</w:t>
      </w:r>
      <w:r>
        <w:rPr>
          <w:rFonts w:ascii="仿宋" w:eastAsia="仿宋" w:hAnsi="仿宋" w:hint="eastAsia"/>
          <w:color w:val="000000" w:themeColor="text1"/>
          <w:sz w:val="32"/>
          <w:szCs w:val="32"/>
        </w:rPr>
        <w:t>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招商鑫嘉中短债债券型证券投资基金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招商裕泰混合型证券投资基金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招商安悦</w:t>
      </w:r>
      <w:r>
        <w:rPr>
          <w:rFonts w:ascii="仿宋" w:eastAsia="仿宋" w:hAnsi="仿宋"/>
          <w:color w:val="000000" w:themeColor="text1"/>
          <w:sz w:val="32"/>
          <w:szCs w:val="32"/>
        </w:rPr>
        <w:t>1</w:t>
      </w:r>
      <w:r>
        <w:rPr>
          <w:rFonts w:ascii="仿宋" w:eastAsia="仿宋" w:hAnsi="仿宋"/>
          <w:color w:val="000000" w:themeColor="text1"/>
          <w:sz w:val="32"/>
          <w:szCs w:val="32"/>
        </w:rPr>
        <w:t>年持有期债券型证券投资基金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招商鑫利中短债债券型证券投资基金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招商北证</w:t>
      </w:r>
      <w:r>
        <w:rPr>
          <w:rFonts w:ascii="仿宋" w:eastAsia="仿宋" w:hAnsi="仿宋"/>
          <w:color w:val="000000" w:themeColor="text1"/>
          <w:sz w:val="32"/>
          <w:szCs w:val="32"/>
        </w:rPr>
        <w:t>50</w:t>
      </w:r>
      <w:r>
        <w:rPr>
          <w:rFonts w:ascii="仿宋" w:eastAsia="仿宋" w:hAnsi="仿宋"/>
          <w:color w:val="000000" w:themeColor="text1"/>
          <w:sz w:val="32"/>
          <w:szCs w:val="32"/>
        </w:rPr>
        <w:t>成份指数型发起式证券投资基金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w:t>
      </w:r>
      <w:r>
        <w:rPr>
          <w:rFonts w:ascii="仿宋" w:eastAsia="仿宋" w:hAnsi="仿宋"/>
          <w:color w:val="000000" w:themeColor="text1"/>
          <w:sz w:val="32"/>
          <w:szCs w:val="32"/>
        </w:rPr>
        <w:t>AH</w:t>
      </w:r>
      <w:r>
        <w:rPr>
          <w:rFonts w:ascii="仿宋" w:eastAsia="仿宋" w:hAnsi="仿宋"/>
          <w:color w:val="000000" w:themeColor="text1"/>
          <w:sz w:val="32"/>
          <w:szCs w:val="32"/>
        </w:rPr>
        <w:t>价格优选交易型开放式指数证券投资基金发起式联接基金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招商安颐稳健债券型证券投资基金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招商中证消费电子主题交易型开放式指数证券投资基金联接基金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招商安凯债券型证券投资基金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招商和惠养老目标日期</w:t>
      </w:r>
      <w:r>
        <w:rPr>
          <w:rFonts w:ascii="仿宋" w:eastAsia="仿宋" w:hAnsi="仿宋"/>
          <w:color w:val="000000" w:themeColor="text1"/>
          <w:sz w:val="32"/>
          <w:szCs w:val="32"/>
        </w:rPr>
        <w:t>2045</w:t>
      </w:r>
      <w:r>
        <w:rPr>
          <w:rFonts w:ascii="仿宋" w:eastAsia="仿宋" w:hAnsi="仿宋"/>
          <w:color w:val="000000" w:themeColor="text1"/>
          <w:sz w:val="32"/>
          <w:szCs w:val="32"/>
        </w:rPr>
        <w:t>五年持有期混合型发起式基金中基金（</w:t>
      </w:r>
      <w:r>
        <w:rPr>
          <w:rFonts w:ascii="仿宋" w:eastAsia="仿宋" w:hAnsi="仿宋"/>
          <w:color w:val="000000" w:themeColor="text1"/>
          <w:sz w:val="32"/>
          <w:szCs w:val="32"/>
        </w:rPr>
        <w:t>FOF</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招商中证疫苗与生物技术交易型开放式指数证券投资基金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招商趋势领航混合型证券投资基金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招商添轩</w:t>
      </w:r>
      <w:r>
        <w:rPr>
          <w:rFonts w:ascii="仿宋" w:eastAsia="仿宋" w:hAnsi="仿宋"/>
          <w:color w:val="000000" w:themeColor="text1"/>
          <w:sz w:val="32"/>
          <w:szCs w:val="32"/>
        </w:rPr>
        <w:t>1</w:t>
      </w:r>
      <w:r>
        <w:rPr>
          <w:rFonts w:ascii="仿宋" w:eastAsia="仿宋" w:hAnsi="仿宋"/>
          <w:color w:val="000000" w:themeColor="text1"/>
          <w:sz w:val="32"/>
          <w:szCs w:val="32"/>
        </w:rPr>
        <w:t>年定期开放债券型证券投资基金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w:t>
      </w:r>
      <w:r>
        <w:rPr>
          <w:rFonts w:ascii="仿宋" w:eastAsia="仿宋" w:hAnsi="仿宋"/>
          <w:color w:val="000000" w:themeColor="text1"/>
          <w:sz w:val="32"/>
          <w:szCs w:val="32"/>
        </w:rPr>
        <w:t>增强策略交易型开放式指数证券投资基金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招商纳斯达克</w:t>
      </w:r>
      <w:r>
        <w:rPr>
          <w:rFonts w:ascii="仿宋" w:eastAsia="仿宋" w:hAnsi="仿宋"/>
          <w:color w:val="000000" w:themeColor="text1"/>
          <w:sz w:val="32"/>
          <w:szCs w:val="32"/>
        </w:rPr>
        <w:t>100</w:t>
      </w:r>
      <w:r>
        <w:rPr>
          <w:rFonts w:ascii="仿宋" w:eastAsia="仿宋" w:hAnsi="仿宋"/>
          <w:color w:val="000000" w:themeColor="text1"/>
          <w:sz w:val="32"/>
          <w:szCs w:val="32"/>
        </w:rPr>
        <w:t>交易型开放式指数证券投资基金（</w:t>
      </w:r>
      <w:r>
        <w:rPr>
          <w:rFonts w:ascii="仿宋" w:eastAsia="仿宋" w:hAnsi="仿宋"/>
          <w:color w:val="000000" w:themeColor="text1"/>
          <w:sz w:val="32"/>
          <w:szCs w:val="32"/>
        </w:rPr>
        <w:t>QDII</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招商添泰</w:t>
      </w:r>
      <w:r>
        <w:rPr>
          <w:rFonts w:ascii="仿宋" w:eastAsia="仿宋" w:hAnsi="仿宋"/>
          <w:color w:val="000000" w:themeColor="text1"/>
          <w:sz w:val="32"/>
          <w:szCs w:val="32"/>
        </w:rPr>
        <w:t>1</w:t>
      </w:r>
      <w:r>
        <w:rPr>
          <w:rFonts w:ascii="仿宋" w:eastAsia="仿宋" w:hAnsi="仿宋"/>
          <w:color w:val="000000" w:themeColor="text1"/>
          <w:sz w:val="32"/>
          <w:szCs w:val="32"/>
        </w:rPr>
        <w:t>年定期开放债券型发起式证券投资基金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招商社会责任混合型证券投资基金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招商匠心优选混合型证券投资基金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招商和享均衡养老目标三年持有期混合型基金中基金（</w:t>
      </w:r>
      <w:r>
        <w:rPr>
          <w:rFonts w:ascii="仿宋" w:eastAsia="仿宋" w:hAnsi="仿宋"/>
          <w:color w:val="000000" w:themeColor="text1"/>
          <w:sz w:val="32"/>
          <w:szCs w:val="32"/>
        </w:rPr>
        <w:t>FOF</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招商乐颐和惠养老目标日期</w:t>
      </w:r>
      <w:r>
        <w:rPr>
          <w:rFonts w:ascii="仿宋" w:eastAsia="仿宋" w:hAnsi="仿宋"/>
          <w:color w:val="000000" w:themeColor="text1"/>
          <w:sz w:val="32"/>
          <w:szCs w:val="32"/>
        </w:rPr>
        <w:t>2035</w:t>
      </w:r>
      <w:r>
        <w:rPr>
          <w:rFonts w:ascii="仿宋" w:eastAsia="仿宋" w:hAnsi="仿宋"/>
          <w:color w:val="000000" w:themeColor="text1"/>
          <w:sz w:val="32"/>
          <w:szCs w:val="32"/>
        </w:rPr>
        <w:t>三年持有期混合型发起式基金中基金（</w:t>
      </w:r>
      <w:r>
        <w:rPr>
          <w:rFonts w:ascii="仿宋" w:eastAsia="仿宋" w:hAnsi="仿宋"/>
          <w:color w:val="000000" w:themeColor="text1"/>
          <w:sz w:val="32"/>
          <w:szCs w:val="32"/>
        </w:rPr>
        <w:t>FOF</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招商中证国新央企股东回报交易型开放式指数证券投资基金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招商产业升级</w:t>
      </w:r>
      <w:r>
        <w:rPr>
          <w:rFonts w:ascii="仿宋" w:eastAsia="仿宋" w:hAnsi="仿宋"/>
          <w:color w:val="000000" w:themeColor="text1"/>
          <w:sz w:val="32"/>
          <w:szCs w:val="32"/>
        </w:rPr>
        <w:t>1</w:t>
      </w:r>
      <w:r>
        <w:rPr>
          <w:rFonts w:ascii="仿宋" w:eastAsia="仿宋" w:hAnsi="仿宋"/>
          <w:color w:val="000000" w:themeColor="text1"/>
          <w:sz w:val="32"/>
          <w:szCs w:val="32"/>
        </w:rPr>
        <w:t>年持有期混合型证券投资</w:t>
      </w:r>
      <w:r>
        <w:rPr>
          <w:rFonts w:ascii="仿宋" w:eastAsia="仿宋" w:hAnsi="仿宋" w:hint="eastAsia"/>
          <w:color w:val="000000" w:themeColor="text1"/>
          <w:sz w:val="32"/>
          <w:szCs w:val="32"/>
        </w:rPr>
        <w:t>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招商中证全指软件交易型开放式指数证券投资基金发起式联接基金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招商中证全指医疗器械交易型开放式指数证券投资基金发起式联接基金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招商中证有色金属矿业主题交易型开放式指数证券投资基金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招商智安稳健配置</w:t>
      </w:r>
      <w:r>
        <w:rPr>
          <w:rFonts w:ascii="仿宋" w:eastAsia="仿宋" w:hAnsi="仿宋"/>
          <w:color w:val="000000" w:themeColor="text1"/>
          <w:sz w:val="32"/>
          <w:szCs w:val="32"/>
        </w:rPr>
        <w:t>1</w:t>
      </w:r>
      <w:r>
        <w:rPr>
          <w:rFonts w:ascii="仿宋" w:eastAsia="仿宋" w:hAnsi="仿宋"/>
          <w:color w:val="000000" w:themeColor="text1"/>
          <w:sz w:val="32"/>
          <w:szCs w:val="32"/>
        </w:rPr>
        <w:t>年持有期混合型基金中基金（</w:t>
      </w:r>
      <w:r>
        <w:rPr>
          <w:rFonts w:ascii="仿宋" w:eastAsia="仿宋" w:hAnsi="仿宋"/>
          <w:color w:val="000000" w:themeColor="text1"/>
          <w:sz w:val="32"/>
          <w:szCs w:val="32"/>
        </w:rPr>
        <w:t>FOF</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招商瑞成</w:t>
      </w:r>
      <w:r>
        <w:rPr>
          <w:rFonts w:ascii="仿宋" w:eastAsia="仿宋" w:hAnsi="仿宋"/>
          <w:color w:val="000000" w:themeColor="text1"/>
          <w:sz w:val="32"/>
          <w:szCs w:val="32"/>
        </w:rPr>
        <w:t>1</w:t>
      </w:r>
      <w:r>
        <w:rPr>
          <w:rFonts w:ascii="仿宋" w:eastAsia="仿宋" w:hAnsi="仿宋"/>
          <w:color w:val="000000" w:themeColor="text1"/>
          <w:sz w:val="32"/>
          <w:szCs w:val="32"/>
        </w:rPr>
        <w:t>年持有期混合型证券投资基金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w:t>
      </w:r>
      <w:r>
        <w:rPr>
          <w:rFonts w:ascii="仿宋" w:eastAsia="仿宋" w:hAnsi="仿宋"/>
          <w:color w:val="000000" w:themeColor="text1"/>
          <w:sz w:val="32"/>
          <w:szCs w:val="32"/>
        </w:rPr>
        <w:t>2000</w:t>
      </w:r>
      <w:r>
        <w:rPr>
          <w:rFonts w:ascii="仿宋" w:eastAsia="仿宋" w:hAnsi="仿宋"/>
          <w:color w:val="000000" w:themeColor="text1"/>
          <w:sz w:val="32"/>
          <w:szCs w:val="32"/>
        </w:rPr>
        <w:t>指数增强型证券投资基金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招商中证半导体产业交易型开放式指数证券投资基金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招商安和债券型证券投资基金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CFETS</w:t>
      </w:r>
      <w:r>
        <w:rPr>
          <w:rFonts w:ascii="仿宋" w:eastAsia="仿宋" w:hAnsi="仿宋"/>
          <w:color w:val="000000" w:themeColor="text1"/>
          <w:sz w:val="32"/>
          <w:szCs w:val="32"/>
        </w:rPr>
        <w:t>银行间绿色债券指数证券投资基金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招商安泽稳利</w:t>
      </w:r>
      <w:r>
        <w:rPr>
          <w:rFonts w:ascii="仿宋" w:eastAsia="仿宋" w:hAnsi="仿宋"/>
          <w:color w:val="000000" w:themeColor="text1"/>
          <w:sz w:val="32"/>
          <w:szCs w:val="32"/>
        </w:rPr>
        <w:t>9</w:t>
      </w:r>
      <w:r>
        <w:rPr>
          <w:rFonts w:ascii="仿宋" w:eastAsia="仿宋" w:hAnsi="仿宋"/>
          <w:color w:val="000000" w:themeColor="text1"/>
          <w:sz w:val="32"/>
          <w:szCs w:val="32"/>
        </w:rPr>
        <w:t>个月持有期混合型证券投资基金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招商精选企业混合型证券投资基金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招商纳斯达克</w:t>
      </w:r>
      <w:r>
        <w:rPr>
          <w:rFonts w:ascii="仿宋" w:eastAsia="仿宋" w:hAnsi="仿宋"/>
          <w:color w:val="000000" w:themeColor="text1"/>
          <w:sz w:val="32"/>
          <w:szCs w:val="32"/>
        </w:rPr>
        <w:t>100</w:t>
      </w:r>
      <w:r>
        <w:rPr>
          <w:rFonts w:ascii="仿宋" w:eastAsia="仿宋" w:hAnsi="仿宋"/>
          <w:color w:val="000000" w:themeColor="text1"/>
          <w:sz w:val="32"/>
          <w:szCs w:val="32"/>
        </w:rPr>
        <w:t>交易型开放式指数证券投资基金发起式联接基金（</w:t>
      </w:r>
      <w:r>
        <w:rPr>
          <w:rFonts w:ascii="仿宋" w:eastAsia="仿宋" w:hAnsi="仿宋"/>
          <w:color w:val="000000" w:themeColor="text1"/>
          <w:sz w:val="32"/>
          <w:szCs w:val="32"/>
        </w:rPr>
        <w:t>Q</w:t>
      </w:r>
      <w:r>
        <w:rPr>
          <w:rFonts w:ascii="仿宋" w:eastAsia="仿宋" w:hAnsi="仿宋"/>
          <w:color w:val="000000" w:themeColor="text1"/>
          <w:sz w:val="32"/>
          <w:szCs w:val="32"/>
        </w:rPr>
        <w:t>DII</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招商远见回报</w:t>
      </w:r>
      <w:r>
        <w:rPr>
          <w:rFonts w:ascii="仿宋" w:eastAsia="仿宋" w:hAnsi="仿宋"/>
          <w:color w:val="000000" w:themeColor="text1"/>
          <w:sz w:val="32"/>
          <w:szCs w:val="32"/>
        </w:rPr>
        <w:t>3</w:t>
      </w:r>
      <w:r>
        <w:rPr>
          <w:rFonts w:ascii="仿宋" w:eastAsia="仿宋" w:hAnsi="仿宋"/>
          <w:color w:val="000000" w:themeColor="text1"/>
          <w:sz w:val="32"/>
          <w:szCs w:val="32"/>
        </w:rPr>
        <w:t>年定期开放混合型证券投资基金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招商中证上海环交所碳中和交易型开放式指数证券投资基金发起式联接基金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招商中证国新央企股东回报交易型开放式指数证券投资基金发起式联接基金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2000</w:t>
      </w:r>
      <w:r>
        <w:rPr>
          <w:rFonts w:ascii="仿宋" w:eastAsia="仿宋" w:hAnsi="仿宋"/>
          <w:color w:val="000000" w:themeColor="text1"/>
          <w:sz w:val="32"/>
          <w:szCs w:val="32"/>
        </w:rPr>
        <w:t>指数增强型证券投资基金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招商安康债券型证券投资基金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招商中证半导体产业交易型开放式指数证券投资基金发起式联接基金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招商优势企业混合型证券投资基金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招商中债</w:t>
      </w:r>
      <w:r>
        <w:rPr>
          <w:rFonts w:ascii="仿宋" w:eastAsia="仿宋" w:hAnsi="仿宋"/>
          <w:color w:val="000000" w:themeColor="text1"/>
          <w:sz w:val="32"/>
          <w:szCs w:val="32"/>
        </w:rPr>
        <w:t>0-3</w:t>
      </w:r>
      <w:r>
        <w:rPr>
          <w:rFonts w:ascii="仿宋" w:eastAsia="仿宋" w:hAnsi="仿宋"/>
          <w:color w:val="000000" w:themeColor="text1"/>
          <w:sz w:val="32"/>
          <w:szCs w:val="32"/>
        </w:rPr>
        <w:t>年政策性金融债指数证券投资基金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招商回报优选混合型发起式证券投资基金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招商中证红利低波动</w:t>
      </w:r>
      <w:r>
        <w:rPr>
          <w:rFonts w:ascii="仿宋" w:eastAsia="仿宋" w:hAnsi="仿宋"/>
          <w:color w:val="000000" w:themeColor="text1"/>
          <w:sz w:val="32"/>
          <w:szCs w:val="32"/>
        </w:rPr>
        <w:t>100</w:t>
      </w:r>
      <w:r>
        <w:rPr>
          <w:rFonts w:ascii="仿宋" w:eastAsia="仿宋" w:hAnsi="仿宋"/>
          <w:color w:val="000000" w:themeColor="text1"/>
          <w:sz w:val="32"/>
          <w:szCs w:val="32"/>
        </w:rPr>
        <w:t>指数型发起式证券投资基金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w:t>
      </w:r>
      <w:r>
        <w:rPr>
          <w:rFonts w:ascii="仿宋" w:eastAsia="仿宋" w:hAnsi="仿宋"/>
          <w:color w:val="000000" w:themeColor="text1"/>
          <w:sz w:val="32"/>
          <w:szCs w:val="32"/>
        </w:rPr>
        <w:t>50</w:t>
      </w:r>
      <w:r>
        <w:rPr>
          <w:rFonts w:ascii="仿宋" w:eastAsia="仿宋" w:hAnsi="仿宋"/>
          <w:color w:val="000000" w:themeColor="text1"/>
          <w:sz w:val="32"/>
          <w:szCs w:val="32"/>
        </w:rPr>
        <w:t>成份增强</w:t>
      </w:r>
      <w:r>
        <w:rPr>
          <w:rFonts w:ascii="仿宋" w:eastAsia="仿宋" w:hAnsi="仿宋"/>
          <w:color w:val="000000" w:themeColor="text1"/>
          <w:sz w:val="32"/>
          <w:szCs w:val="32"/>
        </w:rPr>
        <w:t>策略交易型开放式指数证券投资基金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招商成长量化选股股票型证券投资基金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2000</w:t>
      </w:r>
      <w:r>
        <w:rPr>
          <w:rFonts w:ascii="仿宋" w:eastAsia="仿宋" w:hAnsi="仿宋"/>
          <w:color w:val="000000" w:themeColor="text1"/>
          <w:sz w:val="32"/>
          <w:szCs w:val="32"/>
        </w:rPr>
        <w:t>增强策略交易型开放式指数证券投资基金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招商均衡策略混合型证券投资基金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招商中证国债及政策性金融债</w:t>
      </w:r>
      <w:r>
        <w:rPr>
          <w:rFonts w:ascii="仿宋" w:eastAsia="仿宋" w:hAnsi="仿宋"/>
          <w:color w:val="000000" w:themeColor="text1"/>
          <w:sz w:val="32"/>
          <w:szCs w:val="32"/>
        </w:rPr>
        <w:t>0-3</w:t>
      </w:r>
      <w:r>
        <w:rPr>
          <w:rFonts w:ascii="仿宋" w:eastAsia="仿宋" w:hAnsi="仿宋"/>
          <w:color w:val="000000" w:themeColor="text1"/>
          <w:sz w:val="32"/>
          <w:szCs w:val="32"/>
        </w:rPr>
        <w:t>年交易型开放式指数证券投资基金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招商中证香港科技交易型开放式指数证券投资基金发起式联接基金（</w:t>
      </w:r>
      <w:r>
        <w:rPr>
          <w:rFonts w:ascii="仿宋" w:eastAsia="仿宋" w:hAnsi="仿宋"/>
          <w:color w:val="000000" w:themeColor="text1"/>
          <w:sz w:val="32"/>
          <w:szCs w:val="32"/>
        </w:rPr>
        <w:t>QDII</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w:t>
      </w:r>
      <w:r>
        <w:rPr>
          <w:rFonts w:ascii="仿宋" w:eastAsia="仿宋" w:hAnsi="仿宋"/>
          <w:color w:val="000000" w:themeColor="text1"/>
          <w:sz w:val="32"/>
          <w:szCs w:val="32"/>
        </w:rPr>
        <w:t>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招商进取策略优选</w:t>
      </w:r>
      <w:r>
        <w:rPr>
          <w:rFonts w:ascii="仿宋" w:eastAsia="仿宋" w:hAnsi="仿宋"/>
          <w:color w:val="000000" w:themeColor="text1"/>
          <w:sz w:val="32"/>
          <w:szCs w:val="32"/>
        </w:rPr>
        <w:t>3</w:t>
      </w:r>
      <w:r>
        <w:rPr>
          <w:rFonts w:ascii="仿宋" w:eastAsia="仿宋" w:hAnsi="仿宋"/>
          <w:color w:val="000000" w:themeColor="text1"/>
          <w:sz w:val="32"/>
          <w:szCs w:val="32"/>
        </w:rPr>
        <w:t>个月持有期混合型发起式基金中基金（</w:t>
      </w:r>
      <w:r>
        <w:rPr>
          <w:rFonts w:ascii="仿宋" w:eastAsia="仿宋" w:hAnsi="仿宋"/>
          <w:color w:val="000000" w:themeColor="text1"/>
          <w:sz w:val="32"/>
          <w:szCs w:val="32"/>
        </w:rPr>
        <w:t>FOF</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招商中证云计算与大数据主题交易型开放式指数证券投资基金发起式联接基金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招商基金招商蛇口租赁住房封闭式基础设施证券投资基金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w:t>
      </w:r>
      <w:r>
        <w:rPr>
          <w:rFonts w:ascii="仿宋" w:eastAsia="仿宋" w:hAnsi="仿宋"/>
          <w:color w:val="000000" w:themeColor="text1"/>
          <w:sz w:val="32"/>
          <w:szCs w:val="32"/>
        </w:rPr>
        <w:t>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A100</w:t>
      </w:r>
      <w:r>
        <w:rPr>
          <w:rFonts w:ascii="仿宋" w:eastAsia="仿宋" w:hAnsi="仿宋"/>
          <w:color w:val="000000" w:themeColor="text1"/>
          <w:sz w:val="32"/>
          <w:szCs w:val="32"/>
        </w:rPr>
        <w:t>交易型开放式指数证券投资基金发起式联接基金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招商基金招商公路高速公路封闭式基础设施证券投资基金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招商安宁债券型证券投资基金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w:t>
      </w:r>
      <w:r>
        <w:rPr>
          <w:rFonts w:ascii="仿宋" w:eastAsia="仿宋" w:hAnsi="仿宋"/>
          <w:color w:val="000000" w:themeColor="text1"/>
          <w:sz w:val="32"/>
          <w:szCs w:val="32"/>
        </w:rPr>
        <w:t>交易型开放式指数证券投资基金发起式联接基金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w:t>
      </w:r>
      <w:r>
        <w:rPr>
          <w:rFonts w:ascii="仿宋" w:eastAsia="仿宋" w:hAnsi="仿宋"/>
          <w:color w:val="000000" w:themeColor="text1"/>
          <w:sz w:val="32"/>
          <w:szCs w:val="32"/>
        </w:rPr>
        <w:t>交易型开放式指数证券投资基金发起式联接基金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招商科创孵化器封闭式基础设施证券投资基金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w:t>
      </w:r>
      <w:r>
        <w:rPr>
          <w:rFonts w:ascii="仿宋" w:eastAsia="仿宋" w:hAnsi="仿宋"/>
          <w:color w:val="000000" w:themeColor="text1"/>
          <w:sz w:val="32"/>
          <w:szCs w:val="32"/>
        </w:rPr>
        <w:t>指数增强型发起式证券投资基金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招商恒生港股通高股息低波动交易型开放式指数证券投资基金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招商上证综合</w:t>
      </w:r>
      <w:r>
        <w:rPr>
          <w:rFonts w:ascii="仿宋" w:eastAsia="仿宋" w:hAnsi="仿宋" w:hint="eastAsia"/>
          <w:color w:val="000000" w:themeColor="text1"/>
          <w:sz w:val="32"/>
          <w:szCs w:val="32"/>
        </w:rPr>
        <w:t>指数增强型发起式证券投资基金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招商华证价值优选</w:t>
      </w:r>
      <w:r>
        <w:rPr>
          <w:rFonts w:ascii="仿宋" w:eastAsia="仿宋" w:hAnsi="仿宋"/>
          <w:color w:val="000000" w:themeColor="text1"/>
          <w:sz w:val="32"/>
          <w:szCs w:val="32"/>
        </w:rPr>
        <w:t>50</w:t>
      </w:r>
      <w:r>
        <w:rPr>
          <w:rFonts w:ascii="仿宋" w:eastAsia="仿宋" w:hAnsi="仿宋"/>
          <w:color w:val="000000" w:themeColor="text1"/>
          <w:sz w:val="32"/>
          <w:szCs w:val="32"/>
        </w:rPr>
        <w:t>指数型发起式证券投资基金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招商利安新兴亚洲精选交易型开放式指数证券投资基金（</w:t>
      </w:r>
      <w:r>
        <w:rPr>
          <w:rFonts w:ascii="仿宋" w:eastAsia="仿宋" w:hAnsi="仿宋"/>
          <w:color w:val="000000" w:themeColor="text1"/>
          <w:sz w:val="32"/>
          <w:szCs w:val="32"/>
        </w:rPr>
        <w:t>QDII</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w:t>
      </w:r>
      <w:r>
        <w:rPr>
          <w:rFonts w:ascii="仿宋" w:eastAsia="仿宋" w:hAnsi="仿宋"/>
          <w:color w:val="000000" w:themeColor="text1"/>
          <w:sz w:val="32"/>
          <w:szCs w:val="32"/>
        </w:rPr>
        <w:t>指数增强型发起式证券投资基金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招商上证科创板综合交易型开放式指数证券投资基金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招商稳嘉</w:t>
      </w:r>
      <w:r>
        <w:rPr>
          <w:rFonts w:ascii="仿宋" w:eastAsia="仿宋" w:hAnsi="仿宋"/>
          <w:color w:val="000000" w:themeColor="text1"/>
          <w:sz w:val="32"/>
          <w:szCs w:val="32"/>
        </w:rPr>
        <w:t>120</w:t>
      </w:r>
      <w:r>
        <w:rPr>
          <w:rFonts w:ascii="仿宋" w:eastAsia="仿宋" w:hAnsi="仿宋"/>
          <w:color w:val="000000" w:themeColor="text1"/>
          <w:sz w:val="32"/>
          <w:szCs w:val="32"/>
        </w:rPr>
        <w:t>天滚动持有纯债债券型证券投资基金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招商中证全指红利质量交易型开放式指数证券投资基金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w:t>
      </w:r>
      <w:r>
        <w:rPr>
          <w:rFonts w:ascii="仿宋" w:eastAsia="仿宋" w:hAnsi="仿宋"/>
          <w:color w:val="000000" w:themeColor="text1"/>
          <w:sz w:val="32"/>
          <w:szCs w:val="32"/>
        </w:rPr>
        <w:t>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招商上证科创板综合交易型开放式指数证券投资基金联接基金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招商稳健策略优选</w:t>
      </w:r>
      <w:r>
        <w:rPr>
          <w:rFonts w:ascii="仿宋" w:eastAsia="仿宋" w:hAnsi="仿宋"/>
          <w:color w:val="000000" w:themeColor="text1"/>
          <w:sz w:val="32"/>
          <w:szCs w:val="32"/>
        </w:rPr>
        <w:t>3</w:t>
      </w:r>
      <w:r>
        <w:rPr>
          <w:rFonts w:ascii="仿宋" w:eastAsia="仿宋" w:hAnsi="仿宋"/>
          <w:color w:val="000000" w:themeColor="text1"/>
          <w:sz w:val="32"/>
          <w:szCs w:val="32"/>
        </w:rPr>
        <w:t>个月持有期混合型发起式基金中基金（</w:t>
      </w:r>
      <w:r>
        <w:rPr>
          <w:rFonts w:ascii="仿宋" w:eastAsia="仿宋" w:hAnsi="仿宋"/>
          <w:color w:val="000000" w:themeColor="text1"/>
          <w:sz w:val="32"/>
          <w:szCs w:val="32"/>
        </w:rPr>
        <w:t>FOF</w:t>
      </w:r>
      <w:r>
        <w:rPr>
          <w:rFonts w:ascii="仿宋" w:eastAsia="仿宋" w:hAnsi="仿宋"/>
          <w:color w:val="000000" w:themeColor="text1"/>
          <w:sz w:val="32"/>
          <w:szCs w:val="32"/>
        </w:rPr>
        <w:t>）</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招商中证全指自由现金流</w:t>
      </w:r>
      <w:r>
        <w:rPr>
          <w:rFonts w:ascii="仿宋" w:eastAsia="仿宋" w:hAnsi="仿宋" w:hint="eastAsia"/>
          <w:color w:val="000000" w:themeColor="text1"/>
          <w:sz w:val="32"/>
          <w:szCs w:val="32"/>
        </w:rPr>
        <w:t>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招商中证卫星产业交易型开放式指数证券投资基金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招商红利量化选股混合型证券投资基金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招商金睿</w:t>
      </w:r>
      <w:r>
        <w:rPr>
          <w:rFonts w:ascii="仿宋" w:eastAsia="仿宋" w:hAnsi="仿宋"/>
          <w:color w:val="000000" w:themeColor="text1"/>
          <w:sz w:val="32"/>
          <w:szCs w:val="32"/>
        </w:rPr>
        <w:t>90</w:t>
      </w:r>
      <w:r>
        <w:rPr>
          <w:rFonts w:ascii="仿宋" w:eastAsia="仿宋" w:hAnsi="仿宋"/>
          <w:color w:val="000000" w:themeColor="text1"/>
          <w:sz w:val="32"/>
          <w:szCs w:val="32"/>
        </w:rPr>
        <w:t>天持有期债券型证券投资基金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招商价值严选混合型证券投资基金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招商恒生港股通高股息低波动交易型开放式指数证券投资基金发起式联接基金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AAA</w:t>
      </w:r>
      <w:r>
        <w:rPr>
          <w:rFonts w:ascii="仿宋" w:eastAsia="仿宋" w:hAnsi="仿宋"/>
          <w:color w:val="000000" w:themeColor="text1"/>
          <w:sz w:val="32"/>
          <w:szCs w:val="32"/>
        </w:rPr>
        <w:t>科技创新公司债交易型开放式指数证券投资基金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招商添渝</w:t>
      </w:r>
      <w:r>
        <w:rPr>
          <w:rFonts w:ascii="仿宋" w:eastAsia="仿宋" w:hAnsi="仿宋"/>
          <w:color w:val="000000" w:themeColor="text1"/>
          <w:sz w:val="32"/>
          <w:szCs w:val="32"/>
        </w:rPr>
        <w:t>6</w:t>
      </w:r>
      <w:r>
        <w:rPr>
          <w:rFonts w:ascii="仿宋" w:eastAsia="仿宋" w:hAnsi="仿宋"/>
          <w:color w:val="000000" w:themeColor="text1"/>
          <w:sz w:val="32"/>
          <w:szCs w:val="32"/>
        </w:rPr>
        <w:t>个月持有期纯债债券型证券投资基金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招商科技智选混合型发起式证券投资基金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招商医药精选混合型发起式证券投资基金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招商瑞锦回报债券型证券投资基金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招商创业板综合增强策略交易型开放式指数证券投资基金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招商中证机器人交易型开放式指数证券投资基金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招商中证机器人交易型开放式指数证券投资基金发起式联接基金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w:t>
      </w:r>
      <w:r>
        <w:rPr>
          <w:rFonts w:ascii="仿宋" w:eastAsia="仿宋" w:hAnsi="仿宋"/>
          <w:color w:val="000000" w:themeColor="text1"/>
          <w:sz w:val="32"/>
          <w:szCs w:val="32"/>
        </w:rPr>
        <w:t>增强策略交易型开放式指数证券投资基金发起式联接基金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w:t>
      </w:r>
      <w:r>
        <w:rPr>
          <w:rFonts w:ascii="仿宋" w:eastAsia="仿宋" w:hAnsi="仿宋"/>
          <w:color w:val="000000" w:themeColor="text1"/>
          <w:sz w:val="32"/>
          <w:szCs w:val="32"/>
        </w:rPr>
        <w:t>增强策略交易型开放式指数证券投资基金发起式联接基金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招商均衡优选混合型证券投资基金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招商消费悦享混合型发起式证券投资基金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招商国证港股通科技交易型开放式指数证券投资基金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800</w:t>
      </w:r>
      <w:r>
        <w:rPr>
          <w:rFonts w:ascii="仿宋" w:eastAsia="仿宋" w:hAnsi="仿宋"/>
          <w:color w:val="000000" w:themeColor="text1"/>
          <w:sz w:val="32"/>
          <w:szCs w:val="32"/>
        </w:rPr>
        <w:t>自由现金流交易型开放式指数证券投资基金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w:t>
      </w:r>
      <w:r>
        <w:rPr>
          <w:rFonts w:ascii="仿宋" w:eastAsia="仿宋" w:hAnsi="仿宋"/>
          <w:color w:val="000000" w:themeColor="text1"/>
          <w:sz w:val="32"/>
          <w:szCs w:val="32"/>
        </w:rPr>
        <w:t>交易型开放式指数证券投资基金发起式联接基</w:t>
      </w:r>
      <w:r>
        <w:rPr>
          <w:rFonts w:ascii="仿宋" w:eastAsia="仿宋" w:hAnsi="仿宋"/>
          <w:color w:val="000000" w:themeColor="text1"/>
          <w:sz w:val="32"/>
          <w:szCs w:val="32"/>
        </w:rPr>
        <w:t>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招商上证科创板综合价格指数增强型发起式证券投资基金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招商均衡配置混合型证券投资基金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招商安琪债券型证券投资基金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招商创业板人工智能交易型开放式指数证券投资基金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招商上证综合增强策略交易型开放式指数证券投资基金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招商中证有色金属矿业主题交易型开放式指数证券投资基金发起式联接基金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招商医药量化选股混合型发起式证券投资基金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招商上证科创板芯片设计主题指数型发起式证券投资基金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招商中证光伏产业交易型开放式指数证券投资基金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招商恒生港股通汽车主题指数型发起式证券投资基金</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的</w:t>
      </w:r>
      <w:r>
        <w:rPr>
          <w:rFonts w:ascii="仿宋" w:eastAsia="仿宋" w:hAnsi="仿宋"/>
          <w:color w:val="000000" w:themeColor="text1"/>
          <w:sz w:val="32"/>
          <w:szCs w:val="32"/>
        </w:rPr>
        <w:t>2026</w:t>
      </w:r>
      <w:r>
        <w:rPr>
          <w:rFonts w:ascii="仿宋" w:eastAsia="仿宋" w:hAnsi="仿宋"/>
          <w:color w:val="000000" w:themeColor="text1"/>
          <w:sz w:val="32"/>
          <w:szCs w:val="32"/>
        </w:rPr>
        <w:t>年第</w:t>
      </w:r>
      <w:r>
        <w:rPr>
          <w:rFonts w:ascii="仿宋" w:eastAsia="仿宋" w:hAnsi="仿宋"/>
          <w:color w:val="000000" w:themeColor="text1"/>
          <w:sz w:val="32"/>
          <w:szCs w:val="32"/>
        </w:rPr>
        <w:t>1</w:t>
      </w:r>
      <w:r>
        <w:rPr>
          <w:rFonts w:ascii="仿宋" w:eastAsia="仿宋" w:hAnsi="仿宋"/>
          <w:color w:val="000000" w:themeColor="text1"/>
          <w:sz w:val="32"/>
          <w:szCs w:val="32"/>
        </w:rPr>
        <w:t>季度报告全文于</w:t>
      </w:r>
      <w:r>
        <w:rPr>
          <w:rFonts w:ascii="仿宋" w:eastAsia="仿宋" w:hAnsi="仿宋"/>
          <w:color w:val="000000" w:themeColor="text1"/>
          <w:sz w:val="32"/>
          <w:szCs w:val="32"/>
        </w:rPr>
        <w:t>2026</w:t>
      </w:r>
      <w:r>
        <w:rPr>
          <w:rFonts w:ascii="仿宋" w:eastAsia="仿宋" w:hAnsi="仿宋"/>
          <w:color w:val="000000" w:themeColor="text1"/>
          <w:sz w:val="32"/>
          <w:szCs w:val="32"/>
        </w:rPr>
        <w:t>年</w:t>
      </w:r>
      <w:r>
        <w:rPr>
          <w:rFonts w:ascii="仿宋" w:eastAsia="仿宋" w:hAnsi="仿宋"/>
          <w:color w:val="000000" w:themeColor="text1"/>
          <w:sz w:val="32"/>
          <w:szCs w:val="32"/>
        </w:rPr>
        <w:t>4</w:t>
      </w:r>
      <w:r>
        <w:rPr>
          <w:rFonts w:ascii="仿宋" w:eastAsia="仿宋" w:hAnsi="仿宋"/>
          <w:color w:val="000000" w:themeColor="text1"/>
          <w:sz w:val="32"/>
          <w:szCs w:val="32"/>
        </w:rPr>
        <w:t>月</w:t>
      </w:r>
      <w:r>
        <w:rPr>
          <w:rFonts w:ascii="仿宋" w:eastAsia="仿宋" w:hAnsi="仿宋"/>
          <w:color w:val="000000" w:themeColor="text1"/>
          <w:sz w:val="32"/>
          <w:szCs w:val="32"/>
        </w:rPr>
        <w:t>22</w:t>
      </w:r>
      <w:r>
        <w:rPr>
          <w:rFonts w:ascii="仿宋" w:eastAsia="仿宋" w:hAnsi="仿宋"/>
          <w:color w:val="000000" w:themeColor="text1"/>
          <w:sz w:val="32"/>
          <w:szCs w:val="32"/>
        </w:rPr>
        <w:t>日在</w:t>
      </w:r>
      <w:r>
        <w:rPr>
          <w:rFonts w:ascii="仿宋" w:eastAsia="仿宋" w:hAnsi="仿宋" w:hint="eastAsia"/>
          <w:color w:val="000000" w:themeColor="text1"/>
          <w:sz w:val="32"/>
          <w:szCs w:val="32"/>
        </w:rPr>
        <w:t>本公司网站（</w:t>
      </w:r>
      <w:r>
        <w:rPr>
          <w:rFonts w:ascii="仿宋" w:eastAsia="仿宋" w:hAnsi="仿宋"/>
          <w:color w:val="000000" w:themeColor="text1"/>
          <w:sz w:val="32"/>
          <w:szCs w:val="32"/>
        </w:rPr>
        <w:t>http://www.cmfchina.com</w:t>
      </w:r>
      <w:r>
        <w:rPr>
          <w:rFonts w:ascii="仿宋" w:eastAsia="仿宋" w:hAnsi="仿宋"/>
          <w:color w:val="000000" w:themeColor="text1"/>
          <w:sz w:val="32"/>
          <w:szCs w:val="32"/>
        </w:rPr>
        <w:t>）和中国证监会基金电子披露网站（</w:t>
      </w:r>
      <w:r>
        <w:rPr>
          <w:rFonts w:ascii="仿宋" w:eastAsia="仿宋" w:hAnsi="仿宋"/>
          <w:color w:val="000000" w:themeColor="text1"/>
          <w:sz w:val="32"/>
          <w:szCs w:val="32"/>
        </w:rPr>
        <w:t>http://eid.csrc.gov.cn/fund</w:t>
      </w:r>
      <w:r>
        <w:rPr>
          <w:rFonts w:ascii="仿宋" w:eastAsia="仿宋" w:hAnsi="仿宋"/>
          <w:color w:val="000000" w:themeColor="text1"/>
          <w:sz w:val="32"/>
          <w:szCs w:val="32"/>
        </w:rPr>
        <w:t>）披露，供投资者查阅。如有疑问可拨打本公司客服电话（</w:t>
      </w:r>
      <w:r>
        <w:rPr>
          <w:rFonts w:ascii="仿宋" w:eastAsia="仿宋" w:hAnsi="仿宋"/>
          <w:color w:val="000000" w:themeColor="text1"/>
          <w:sz w:val="32"/>
          <w:szCs w:val="32"/>
        </w:rPr>
        <w:t>400-887-9555</w:t>
      </w:r>
      <w:r>
        <w:rPr>
          <w:rFonts w:ascii="仿宋" w:eastAsia="仿宋" w:hAnsi="仿宋"/>
          <w:color w:val="000000" w:themeColor="text1"/>
          <w:sz w:val="32"/>
          <w:szCs w:val="32"/>
        </w:rPr>
        <w:t>）咨询。</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337EBD" w:rsidRDefault="00D714FD">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337EBD" w:rsidRDefault="00337EBD">
      <w:bookmarkStart w:id="0" w:name="_GoBack"/>
      <w:bookmarkEnd w:id="0"/>
    </w:p>
    <w:p w:rsidR="00337EBD" w:rsidRDefault="00337EBD">
      <w:pPr>
        <w:spacing w:line="540" w:lineRule="exact"/>
        <w:ind w:firstLineChars="200" w:firstLine="640"/>
        <w:jc w:val="left"/>
        <w:rPr>
          <w:rFonts w:ascii="仿宋" w:eastAsia="仿宋" w:hAnsi="仿宋"/>
          <w:color w:val="000000" w:themeColor="text1"/>
          <w:sz w:val="32"/>
          <w:szCs w:val="32"/>
        </w:rPr>
      </w:pPr>
    </w:p>
    <w:p w:rsidR="00337EBD" w:rsidRDefault="00D714FD">
      <w:pPr>
        <w:spacing w:line="540" w:lineRule="exact"/>
        <w:jc w:val="right"/>
        <w:rPr>
          <w:rFonts w:ascii="仿宋" w:eastAsia="仿宋" w:hAnsi="仿宋"/>
          <w:color w:val="000000" w:themeColor="text1"/>
          <w:sz w:val="32"/>
          <w:szCs w:val="32"/>
        </w:rPr>
      </w:pPr>
      <w:r>
        <w:rPr>
          <w:rFonts w:ascii="仿宋" w:eastAsia="仿宋" w:hAnsi="仿宋" w:hint="eastAsia"/>
          <w:color w:val="000000" w:themeColor="text1"/>
          <w:sz w:val="32"/>
          <w:szCs w:val="32"/>
        </w:rPr>
        <w:t>招商基金管理有限公司</w:t>
      </w:r>
    </w:p>
    <w:p w:rsidR="00337EBD" w:rsidRDefault="00D714FD">
      <w:pPr>
        <w:spacing w:line="540" w:lineRule="exact"/>
        <w:ind w:firstLineChars="250" w:firstLine="800"/>
        <w:jc w:val="right"/>
        <w:rPr>
          <w:rFonts w:ascii="仿宋" w:eastAsia="仿宋" w:hAnsi="仿宋"/>
          <w:color w:val="000000" w:themeColor="text1"/>
          <w:sz w:val="32"/>
          <w:szCs w:val="32"/>
        </w:rPr>
      </w:pPr>
      <w:r>
        <w:rPr>
          <w:rFonts w:ascii="仿宋" w:eastAsia="仿宋" w:hAnsi="仿宋"/>
          <w:color w:val="000000" w:themeColor="text1"/>
          <w:sz w:val="32"/>
          <w:szCs w:val="32"/>
        </w:rPr>
        <w:t>2026</w:t>
      </w:r>
      <w:r>
        <w:rPr>
          <w:rFonts w:ascii="仿宋" w:eastAsia="仿宋" w:hAnsi="仿宋"/>
          <w:color w:val="000000" w:themeColor="text1"/>
          <w:sz w:val="32"/>
          <w:szCs w:val="32"/>
        </w:rPr>
        <w:t>年</w:t>
      </w:r>
      <w:r>
        <w:rPr>
          <w:rFonts w:ascii="仿宋" w:eastAsia="仿宋" w:hAnsi="仿宋"/>
          <w:color w:val="000000" w:themeColor="text1"/>
          <w:sz w:val="32"/>
          <w:szCs w:val="32"/>
        </w:rPr>
        <w:t>4</w:t>
      </w:r>
      <w:r>
        <w:rPr>
          <w:rFonts w:ascii="仿宋" w:eastAsia="仿宋" w:hAnsi="仿宋"/>
          <w:color w:val="000000" w:themeColor="text1"/>
          <w:sz w:val="32"/>
          <w:szCs w:val="32"/>
        </w:rPr>
        <w:t>月</w:t>
      </w:r>
      <w:r>
        <w:rPr>
          <w:rFonts w:ascii="仿宋" w:eastAsia="仿宋" w:hAnsi="仿宋"/>
          <w:color w:val="000000" w:themeColor="text1"/>
          <w:sz w:val="32"/>
          <w:szCs w:val="32"/>
        </w:rPr>
        <w:t>22</w:t>
      </w:r>
      <w:r>
        <w:rPr>
          <w:rFonts w:ascii="仿宋" w:eastAsia="仿宋" w:hAnsi="仿宋"/>
          <w:color w:val="000000" w:themeColor="text1"/>
          <w:sz w:val="32"/>
          <w:szCs w:val="32"/>
        </w:rPr>
        <w:t>日</w:t>
      </w:r>
      <w:r>
        <w:rPr>
          <w:rFonts w:ascii="仿宋" w:eastAsia="仿宋" w:hAnsi="仿宋" w:hint="eastAsia"/>
          <w:color w:val="000000" w:themeColor="text1"/>
          <w:sz w:val="32"/>
          <w:szCs w:val="32"/>
        </w:rPr>
        <w:t xml:space="preserve">                            </w:t>
      </w:r>
    </w:p>
    <w:sectPr w:rsidR="00337EBD" w:rsidSect="00337EBD">
      <w:headerReference w:type="even" r:id="rId8"/>
      <w:headerReference w:type="default" r:id="rId9"/>
      <w:footerReference w:type="even" r:id="rId10"/>
      <w:footerReference w:type="default" r:id="rId11"/>
      <w:headerReference w:type="first" r:id="rId12"/>
      <w:footerReference w:type="first" r:id="rId13"/>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EBD" w:rsidRDefault="00D714FD">
      <w:r>
        <w:separator/>
      </w:r>
    </w:p>
  </w:endnote>
  <w:endnote w:type="continuationSeparator" w:id="0">
    <w:p w:rsidR="00337EBD" w:rsidRDefault="00D7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BD" w:rsidRDefault="00337EB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337EBD" w:rsidRDefault="00337EBD">
        <w:pPr>
          <w:pStyle w:val="a4"/>
          <w:jc w:val="center"/>
        </w:pPr>
        <w:r>
          <w:fldChar w:fldCharType="begin"/>
        </w:r>
        <w:r w:rsidR="00D714FD">
          <w:instrText>PAGE   \* MERGEFORMAT</w:instrText>
        </w:r>
        <w:r>
          <w:fldChar w:fldCharType="separate"/>
        </w:r>
        <w:r w:rsidR="00D714FD">
          <w:rPr>
            <w:noProof/>
            <w:lang w:val="zh-CN"/>
          </w:rPr>
          <w:t>18</w:t>
        </w:r>
        <w:r>
          <w:fldChar w:fldCharType="end"/>
        </w:r>
      </w:p>
    </w:sdtContent>
  </w:sdt>
  <w:p w:rsidR="00337EBD" w:rsidRDefault="00337EB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337EBD" w:rsidRDefault="00337EBD">
        <w:pPr>
          <w:pStyle w:val="a4"/>
          <w:jc w:val="center"/>
        </w:pPr>
        <w:r>
          <w:fldChar w:fldCharType="begin"/>
        </w:r>
        <w:r w:rsidR="00D714FD">
          <w:instrText>PAGE   \* MERGEFORMAT</w:instrText>
        </w:r>
        <w:r>
          <w:fldChar w:fldCharType="separate"/>
        </w:r>
        <w:r w:rsidR="00D714FD" w:rsidRPr="00D714FD">
          <w:rPr>
            <w:noProof/>
            <w:lang w:val="zh-CN"/>
          </w:rPr>
          <w:t>1</w:t>
        </w:r>
        <w:r>
          <w:fldChar w:fldCharType="end"/>
        </w:r>
      </w:p>
    </w:sdtContent>
  </w:sdt>
  <w:p w:rsidR="00337EBD" w:rsidRDefault="00337EB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EBD" w:rsidRDefault="00D714FD">
      <w:r>
        <w:separator/>
      </w:r>
    </w:p>
  </w:footnote>
  <w:footnote w:type="continuationSeparator" w:id="0">
    <w:p w:rsidR="00337EBD" w:rsidRDefault="00D714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BD" w:rsidRDefault="00337EB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BD" w:rsidRDefault="00337EB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BD" w:rsidRDefault="00337EB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7EBD"/>
    <w:rsid w:val="00337EBD"/>
    <w:rsid w:val="00D714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E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7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7EBD"/>
    <w:rPr>
      <w:sz w:val="18"/>
      <w:szCs w:val="18"/>
    </w:rPr>
  </w:style>
  <w:style w:type="paragraph" w:styleId="a4">
    <w:name w:val="footer"/>
    <w:basedOn w:val="a"/>
    <w:link w:val="Char0"/>
    <w:uiPriority w:val="99"/>
    <w:unhideWhenUsed/>
    <w:rsid w:val="00337EBD"/>
    <w:pPr>
      <w:tabs>
        <w:tab w:val="center" w:pos="4153"/>
        <w:tab w:val="right" w:pos="8306"/>
      </w:tabs>
      <w:snapToGrid w:val="0"/>
      <w:jc w:val="left"/>
    </w:pPr>
    <w:rPr>
      <w:sz w:val="18"/>
      <w:szCs w:val="18"/>
    </w:rPr>
  </w:style>
  <w:style w:type="character" w:customStyle="1" w:styleId="Char0">
    <w:name w:val="页脚 Char"/>
    <w:basedOn w:val="a0"/>
    <w:link w:val="a4"/>
    <w:uiPriority w:val="99"/>
    <w:rsid w:val="00337EBD"/>
    <w:rPr>
      <w:sz w:val="18"/>
      <w:szCs w:val="18"/>
    </w:rPr>
  </w:style>
  <w:style w:type="paragraph" w:styleId="a5">
    <w:name w:val="List Paragraph"/>
    <w:basedOn w:val="a"/>
    <w:uiPriority w:val="34"/>
    <w:qFormat/>
    <w:rsid w:val="00337EBD"/>
    <w:pPr>
      <w:ind w:firstLineChars="200" w:firstLine="420"/>
    </w:pPr>
  </w:style>
  <w:style w:type="paragraph" w:styleId="a6">
    <w:name w:val="Balloon Text"/>
    <w:basedOn w:val="a"/>
    <w:link w:val="Char1"/>
    <w:uiPriority w:val="99"/>
    <w:semiHidden/>
    <w:unhideWhenUsed/>
    <w:rsid w:val="00337EBD"/>
    <w:rPr>
      <w:sz w:val="18"/>
      <w:szCs w:val="18"/>
    </w:rPr>
  </w:style>
  <w:style w:type="character" w:customStyle="1" w:styleId="Char1">
    <w:name w:val="批注框文本 Char"/>
    <w:basedOn w:val="a0"/>
    <w:link w:val="a6"/>
    <w:uiPriority w:val="99"/>
    <w:semiHidden/>
    <w:rsid w:val="00337EBD"/>
    <w:rPr>
      <w:sz w:val="18"/>
      <w:szCs w:val="18"/>
    </w:rPr>
  </w:style>
  <w:style w:type="character" w:styleId="a7">
    <w:name w:val="Hyperlink"/>
    <w:basedOn w:val="a0"/>
    <w:uiPriority w:val="99"/>
    <w:unhideWhenUsed/>
    <w:rsid w:val="00337EBD"/>
    <w:rPr>
      <w:color w:val="0000FF" w:themeColor="hyperlink"/>
      <w:u w:val="single"/>
    </w:rPr>
  </w:style>
  <w:style w:type="character" w:styleId="a8">
    <w:name w:val="annotation reference"/>
    <w:basedOn w:val="a0"/>
    <w:uiPriority w:val="99"/>
    <w:semiHidden/>
    <w:unhideWhenUsed/>
    <w:rsid w:val="00337EBD"/>
    <w:rPr>
      <w:sz w:val="21"/>
      <w:szCs w:val="21"/>
    </w:rPr>
  </w:style>
  <w:style w:type="paragraph" w:styleId="a9">
    <w:name w:val="annotation text"/>
    <w:basedOn w:val="a"/>
    <w:link w:val="Char2"/>
    <w:uiPriority w:val="99"/>
    <w:semiHidden/>
    <w:unhideWhenUsed/>
    <w:rsid w:val="00337EBD"/>
    <w:pPr>
      <w:jc w:val="left"/>
    </w:pPr>
  </w:style>
  <w:style w:type="character" w:customStyle="1" w:styleId="Char2">
    <w:name w:val="批注文字 Char"/>
    <w:basedOn w:val="a0"/>
    <w:link w:val="a9"/>
    <w:uiPriority w:val="99"/>
    <w:semiHidden/>
    <w:rsid w:val="00337EBD"/>
  </w:style>
  <w:style w:type="paragraph" w:styleId="aa">
    <w:name w:val="annotation subject"/>
    <w:basedOn w:val="a9"/>
    <w:next w:val="a9"/>
    <w:link w:val="Char3"/>
    <w:uiPriority w:val="99"/>
    <w:semiHidden/>
    <w:unhideWhenUsed/>
    <w:rsid w:val="00337EBD"/>
    <w:rPr>
      <w:b/>
      <w:bCs/>
    </w:rPr>
  </w:style>
  <w:style w:type="character" w:customStyle="1" w:styleId="Char3">
    <w:name w:val="批注主题 Char"/>
    <w:basedOn w:val="Char2"/>
    <w:link w:val="aa"/>
    <w:uiPriority w:val="99"/>
    <w:semiHidden/>
    <w:rsid w:val="00337EBD"/>
    <w:rPr>
      <w:b/>
      <w:bCs/>
    </w:rPr>
  </w:style>
  <w:style w:type="paragraph" w:styleId="ab">
    <w:name w:val="footnote text"/>
    <w:basedOn w:val="a"/>
    <w:link w:val="Char4"/>
    <w:uiPriority w:val="99"/>
    <w:semiHidden/>
    <w:unhideWhenUsed/>
    <w:rsid w:val="00337EBD"/>
    <w:pPr>
      <w:snapToGrid w:val="0"/>
      <w:jc w:val="left"/>
    </w:pPr>
    <w:rPr>
      <w:sz w:val="18"/>
      <w:szCs w:val="18"/>
    </w:rPr>
  </w:style>
  <w:style w:type="character" w:customStyle="1" w:styleId="Char4">
    <w:name w:val="脚注文本 Char"/>
    <w:basedOn w:val="a0"/>
    <w:link w:val="ab"/>
    <w:uiPriority w:val="99"/>
    <w:semiHidden/>
    <w:rsid w:val="00337EBD"/>
    <w:rPr>
      <w:sz w:val="18"/>
      <w:szCs w:val="18"/>
    </w:rPr>
  </w:style>
  <w:style w:type="character" w:styleId="ac">
    <w:name w:val="footnote reference"/>
    <w:basedOn w:val="a0"/>
    <w:uiPriority w:val="99"/>
    <w:semiHidden/>
    <w:unhideWhenUsed/>
    <w:rsid w:val="00337EB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30A13-82A2-4591-A6C4-1062164D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1145</Words>
  <Characters>6531</Characters>
  <Application>Microsoft Office Word</Application>
  <DocSecurity>4</DocSecurity>
  <Lines>54</Lines>
  <Paragraphs>15</Paragraphs>
  <ScaleCrop>false</ScaleCrop>
  <Company/>
  <LinksUpToDate>false</LinksUpToDate>
  <CharactersWithSpaces>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cp:lastPrinted>2019-08-07T06:37:00Z</cp:lastPrinted>
  <dcterms:created xsi:type="dcterms:W3CDTF">2026-04-21T16:06:00Z</dcterms:created>
  <dcterms:modified xsi:type="dcterms:W3CDTF">2026-04-21T16:06:00Z</dcterms:modified>
</cp:coreProperties>
</file>