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4DB" w:rsidRDefault="001A2A7D" w:rsidP="001A2A7D">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方正富邦基金管理有限公司</w:t>
      </w:r>
    </w:p>
    <w:p w:rsidR="007444DB" w:rsidRDefault="001A2A7D" w:rsidP="001A2A7D">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旗下基金</w:t>
      </w:r>
      <w:r>
        <w:rPr>
          <w:rFonts w:ascii="仿宋" w:eastAsia="仿宋" w:hAnsi="仿宋" w:hint="eastAsia"/>
          <w:b/>
          <w:color w:val="000000" w:themeColor="text1"/>
          <w:sz w:val="32"/>
          <w:szCs w:val="32"/>
        </w:rPr>
        <w:t>2026</w:t>
      </w:r>
      <w:r>
        <w:rPr>
          <w:rFonts w:ascii="仿宋" w:eastAsia="仿宋" w:hAnsi="仿宋" w:hint="eastAsia"/>
          <w:b/>
          <w:color w:val="000000" w:themeColor="text1"/>
          <w:sz w:val="32"/>
          <w:szCs w:val="32"/>
        </w:rPr>
        <w:t>年第一季度</w:t>
      </w:r>
      <w:r>
        <w:rPr>
          <w:rFonts w:ascii="仿宋" w:eastAsia="仿宋" w:hAnsi="仿宋" w:hint="eastAsia"/>
          <w:b/>
          <w:color w:val="000000" w:themeColor="text1"/>
          <w:sz w:val="32"/>
          <w:szCs w:val="32"/>
        </w:rPr>
        <w:t>报告提示性公告</w:t>
      </w:r>
    </w:p>
    <w:p w:rsidR="007444DB" w:rsidRDefault="007444DB">
      <w:pPr>
        <w:spacing w:line="540" w:lineRule="exact"/>
        <w:rPr>
          <w:rFonts w:ascii="仿宋" w:eastAsia="仿宋" w:hAnsi="仿宋"/>
          <w:color w:val="000000" w:themeColor="text1"/>
          <w:sz w:val="32"/>
          <w:szCs w:val="32"/>
        </w:rPr>
      </w:pP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方正富邦基金管理有限公司（以下简称“本公司”）董事会及董事保证旗下基金</w:t>
      </w:r>
      <w:r>
        <w:rPr>
          <w:rFonts w:ascii="仿宋" w:eastAsia="仿宋" w:hAnsi="仿宋" w:hint="eastAsia"/>
          <w:color w:val="000000" w:themeColor="text1"/>
          <w:sz w:val="32"/>
          <w:szCs w:val="32"/>
        </w:rPr>
        <w:t>2026</w:t>
      </w:r>
      <w:r>
        <w:rPr>
          <w:rFonts w:ascii="仿宋" w:eastAsia="仿宋" w:hAnsi="仿宋" w:hint="eastAsia"/>
          <w:color w:val="000000" w:themeColor="text1"/>
          <w:sz w:val="32"/>
          <w:szCs w:val="32"/>
        </w:rPr>
        <w:t>年第一季度</w:t>
      </w:r>
      <w:r>
        <w:rPr>
          <w:rFonts w:ascii="仿宋" w:eastAsia="仿宋" w:hAnsi="仿宋" w:hint="eastAsia"/>
          <w:color w:val="000000" w:themeColor="text1"/>
          <w:sz w:val="32"/>
          <w:szCs w:val="32"/>
        </w:rPr>
        <w:t>报告</w:t>
      </w:r>
      <w:r>
        <w:rPr>
          <w:rFonts w:ascii="仿宋" w:eastAsia="仿宋" w:hAnsi="仿宋"/>
          <w:color w:val="000000" w:themeColor="text1"/>
          <w:sz w:val="32"/>
          <w:szCs w:val="32"/>
        </w:rPr>
        <w:t>所载资料不存在虚假记载</w:t>
      </w:r>
      <w:r>
        <w:rPr>
          <w:rFonts w:ascii="仿宋" w:eastAsia="仿宋" w:hAnsi="仿宋" w:hint="eastAsia"/>
          <w:color w:val="000000" w:themeColor="text1"/>
          <w:sz w:val="32"/>
          <w:szCs w:val="32"/>
        </w:rPr>
        <w:t>、</w:t>
      </w:r>
      <w:r>
        <w:rPr>
          <w:rFonts w:ascii="仿宋" w:eastAsia="仿宋" w:hAnsi="仿宋"/>
          <w:color w:val="000000" w:themeColor="text1"/>
          <w:sz w:val="32"/>
          <w:szCs w:val="32"/>
        </w:rPr>
        <w:t>误导性陈述或重大遗漏</w:t>
      </w:r>
      <w:r>
        <w:rPr>
          <w:rFonts w:ascii="仿宋" w:eastAsia="仿宋" w:hAnsi="仿宋" w:hint="eastAsia"/>
          <w:color w:val="000000" w:themeColor="text1"/>
          <w:sz w:val="32"/>
          <w:szCs w:val="32"/>
        </w:rPr>
        <w:t>，</w:t>
      </w:r>
      <w:r>
        <w:rPr>
          <w:rFonts w:ascii="仿宋" w:eastAsia="仿宋" w:hAnsi="仿宋"/>
          <w:color w:val="000000" w:themeColor="text1"/>
          <w:sz w:val="32"/>
          <w:szCs w:val="32"/>
        </w:rPr>
        <w:t>并对其内容的真实性</w:t>
      </w:r>
      <w:r>
        <w:rPr>
          <w:rFonts w:ascii="仿宋" w:eastAsia="仿宋" w:hAnsi="仿宋" w:hint="eastAsia"/>
          <w:color w:val="000000" w:themeColor="text1"/>
          <w:sz w:val="32"/>
          <w:szCs w:val="32"/>
        </w:rPr>
        <w:t>、</w:t>
      </w:r>
      <w:r>
        <w:rPr>
          <w:rFonts w:ascii="仿宋" w:eastAsia="仿宋" w:hAnsi="仿宋"/>
          <w:color w:val="000000" w:themeColor="text1"/>
          <w:sz w:val="32"/>
          <w:szCs w:val="32"/>
        </w:rPr>
        <w:t>准确性和完整性承担个别及连带责任</w:t>
      </w:r>
      <w:r>
        <w:rPr>
          <w:rFonts w:ascii="仿宋" w:eastAsia="仿宋" w:hAnsi="仿宋" w:hint="eastAsia"/>
          <w:color w:val="000000" w:themeColor="text1"/>
          <w:sz w:val="32"/>
          <w:szCs w:val="32"/>
        </w:rPr>
        <w:t>。</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w:t>
      </w:r>
      <w:r>
        <w:rPr>
          <w:rFonts w:ascii="仿宋" w:eastAsia="仿宋" w:hAnsi="仿宋" w:hint="eastAsia"/>
          <w:color w:val="000000" w:themeColor="text1"/>
          <w:sz w:val="32"/>
          <w:szCs w:val="32"/>
        </w:rPr>
        <w:t>2026</w:t>
      </w:r>
      <w:r>
        <w:rPr>
          <w:rFonts w:ascii="仿宋" w:eastAsia="仿宋" w:hAnsi="仿宋" w:hint="eastAsia"/>
          <w:color w:val="000000" w:themeColor="text1"/>
          <w:sz w:val="32"/>
          <w:szCs w:val="32"/>
        </w:rPr>
        <w:t>年第一季度</w:t>
      </w:r>
      <w:r>
        <w:rPr>
          <w:rFonts w:ascii="仿宋" w:eastAsia="仿宋" w:hAnsi="仿宋" w:hint="eastAsia"/>
          <w:color w:val="000000" w:themeColor="text1"/>
          <w:sz w:val="32"/>
          <w:szCs w:val="32"/>
        </w:rPr>
        <w:t>报告涉及基金明细如下：</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ab/>
      </w:r>
      <w:r>
        <w:rPr>
          <w:rFonts w:ascii="仿宋" w:eastAsia="仿宋" w:hAnsi="仿宋" w:hint="eastAsia"/>
          <w:color w:val="000000" w:themeColor="text1"/>
          <w:sz w:val="32"/>
          <w:szCs w:val="32"/>
        </w:rPr>
        <w:t>、方正富邦创新动力混合型证券投资基金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hint="eastAsia"/>
          <w:color w:val="000000" w:themeColor="text1"/>
          <w:sz w:val="32"/>
          <w:szCs w:val="32"/>
        </w:rPr>
        <w:t>、方正富邦红利精选混合型证券投资基金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hint="eastAsia"/>
          <w:color w:val="000000" w:themeColor="text1"/>
          <w:sz w:val="32"/>
          <w:szCs w:val="32"/>
        </w:rPr>
        <w:t>、方正富邦货币市场基金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4</w:t>
      </w:r>
      <w:r>
        <w:rPr>
          <w:rFonts w:ascii="仿宋" w:eastAsia="仿宋" w:hAnsi="仿宋" w:hint="eastAsia"/>
          <w:color w:val="000000" w:themeColor="text1"/>
          <w:sz w:val="32"/>
          <w:szCs w:val="32"/>
        </w:rPr>
        <w:t>、方正富邦金小宝货币市场证券投资基金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Pr>
          <w:rFonts w:ascii="仿宋" w:eastAsia="仿宋" w:hAnsi="仿宋" w:hint="eastAsia"/>
          <w:color w:val="000000" w:themeColor="text1"/>
          <w:sz w:val="32"/>
          <w:szCs w:val="32"/>
        </w:rPr>
        <w:t>、方正富邦中证保险主题指数型证券投资基金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r>
        <w:rPr>
          <w:rFonts w:ascii="仿宋" w:eastAsia="仿宋" w:hAnsi="仿宋" w:hint="eastAsia"/>
          <w:color w:val="000000" w:themeColor="text1"/>
          <w:sz w:val="32"/>
          <w:szCs w:val="32"/>
        </w:rPr>
        <w:t>、方正富邦睿利纯债债券型证券投资基金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7</w:t>
      </w:r>
      <w:r>
        <w:rPr>
          <w:rFonts w:ascii="仿宋" w:eastAsia="仿宋" w:hAnsi="仿宋" w:hint="eastAsia"/>
          <w:color w:val="000000" w:themeColor="text1"/>
          <w:sz w:val="32"/>
          <w:szCs w:val="32"/>
        </w:rPr>
        <w:t>、方正富邦惠利纯债债券型证券投资基金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8</w:t>
      </w:r>
      <w:r>
        <w:rPr>
          <w:rFonts w:ascii="仿宋" w:eastAsia="仿宋" w:hAnsi="仿宋" w:hint="eastAsia"/>
          <w:color w:val="000000" w:themeColor="text1"/>
          <w:sz w:val="32"/>
          <w:szCs w:val="32"/>
        </w:rPr>
        <w:t>、方正富邦深证</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9</w:t>
      </w:r>
      <w:r>
        <w:rPr>
          <w:rFonts w:ascii="仿宋" w:eastAsia="仿宋" w:hAnsi="仿宋" w:hint="eastAsia"/>
          <w:color w:val="000000" w:themeColor="text1"/>
          <w:sz w:val="32"/>
          <w:szCs w:val="32"/>
        </w:rPr>
        <w:t>、方正富邦中证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10</w:t>
      </w:r>
      <w:r>
        <w:rPr>
          <w:rFonts w:ascii="仿宋" w:eastAsia="仿宋" w:hAnsi="仿宋" w:hint="eastAsia"/>
          <w:color w:val="000000" w:themeColor="text1"/>
          <w:sz w:val="32"/>
          <w:szCs w:val="32"/>
        </w:rPr>
        <w:t>、方正富邦丰利债券型证券投资基金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11</w:t>
      </w:r>
      <w:r>
        <w:rPr>
          <w:rFonts w:ascii="仿宋" w:eastAsia="仿宋" w:hAnsi="仿宋" w:hint="eastAsia"/>
          <w:color w:val="000000" w:themeColor="text1"/>
          <w:sz w:val="32"/>
          <w:szCs w:val="32"/>
        </w:rPr>
        <w:t>、方正富邦富利纯债债券型发起式证券投资基金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12</w:t>
      </w:r>
      <w:r>
        <w:rPr>
          <w:rFonts w:ascii="仿宋" w:eastAsia="仿宋" w:hAnsi="仿宋" w:hint="eastAsia"/>
          <w:color w:val="000000" w:themeColor="text1"/>
          <w:sz w:val="32"/>
          <w:szCs w:val="32"/>
        </w:rPr>
        <w:t>、方正富邦深证</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13</w:t>
      </w:r>
      <w:r>
        <w:rPr>
          <w:rFonts w:ascii="仿宋" w:eastAsia="仿宋" w:hAnsi="仿宋" w:hint="eastAsia"/>
          <w:color w:val="000000" w:themeColor="text1"/>
          <w:sz w:val="32"/>
          <w:szCs w:val="32"/>
        </w:rPr>
        <w:t>、方正富邦中证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交易型开放式指数证券投资基金联接基金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14</w:t>
      </w:r>
      <w:r>
        <w:rPr>
          <w:rFonts w:ascii="仿宋" w:eastAsia="仿宋" w:hAnsi="仿宋" w:hint="eastAsia"/>
          <w:color w:val="000000" w:themeColor="text1"/>
          <w:sz w:val="32"/>
          <w:szCs w:val="32"/>
        </w:rPr>
        <w:t>、方正富邦信泓灵活配置混合型证券投资基金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1</w:t>
      </w:r>
      <w:r>
        <w:rPr>
          <w:rFonts w:ascii="仿宋" w:eastAsia="仿宋" w:hAnsi="仿宋"/>
          <w:color w:val="000000" w:themeColor="text1"/>
          <w:sz w:val="32"/>
          <w:szCs w:val="32"/>
        </w:rPr>
        <w:t>5</w:t>
      </w:r>
      <w:r>
        <w:rPr>
          <w:rFonts w:ascii="仿宋" w:eastAsia="仿宋" w:hAnsi="仿宋" w:hint="eastAsia"/>
          <w:color w:val="000000" w:themeColor="text1"/>
          <w:sz w:val="32"/>
          <w:szCs w:val="32"/>
        </w:rPr>
        <w:t>、方正富邦天睿灵活配置混合型证券投资基金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16</w:t>
      </w:r>
      <w:r>
        <w:rPr>
          <w:rFonts w:ascii="仿宋" w:eastAsia="仿宋" w:hAnsi="仿宋" w:hint="eastAsia"/>
          <w:color w:val="000000" w:themeColor="text1"/>
          <w:sz w:val="32"/>
          <w:szCs w:val="32"/>
        </w:rPr>
        <w:t>、方正富邦天恒灵活配置混合型证券投资基金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17</w:t>
      </w:r>
      <w:r>
        <w:rPr>
          <w:rFonts w:ascii="仿宋" w:eastAsia="仿宋" w:hAnsi="仿宋" w:hint="eastAsia"/>
          <w:color w:val="000000" w:themeColor="text1"/>
          <w:sz w:val="32"/>
          <w:szCs w:val="32"/>
        </w:rPr>
        <w:t>、方正富邦沪深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18</w:t>
      </w:r>
      <w:r>
        <w:rPr>
          <w:rFonts w:ascii="仿宋" w:eastAsia="仿宋" w:hAnsi="仿宋" w:hint="eastAsia"/>
          <w:color w:val="000000" w:themeColor="text1"/>
          <w:sz w:val="32"/>
          <w:szCs w:val="32"/>
        </w:rPr>
        <w:t>、方正富邦恒生沪深港通大湾区综合指数证券投资基金（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19</w:t>
      </w:r>
      <w:r>
        <w:rPr>
          <w:rFonts w:ascii="仿宋" w:eastAsia="仿宋" w:hAnsi="仿宋" w:hint="eastAsia"/>
          <w:color w:val="000000" w:themeColor="text1"/>
          <w:sz w:val="32"/>
          <w:szCs w:val="32"/>
        </w:rPr>
        <w:t>、方正富邦添利纯债债券型证券投资基金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20</w:t>
      </w:r>
      <w:r>
        <w:rPr>
          <w:rFonts w:ascii="仿宋" w:eastAsia="仿宋" w:hAnsi="仿宋" w:hint="eastAsia"/>
          <w:color w:val="000000" w:themeColor="text1"/>
          <w:sz w:val="32"/>
          <w:szCs w:val="32"/>
        </w:rPr>
        <w:t>、方正富邦中证主要消费红利指数增强型证券投资基金（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1</w:t>
      </w:r>
      <w:r>
        <w:rPr>
          <w:rFonts w:ascii="仿宋" w:eastAsia="仿宋" w:hAnsi="仿宋" w:hint="eastAsia"/>
          <w:color w:val="000000" w:themeColor="text1"/>
          <w:sz w:val="32"/>
          <w:szCs w:val="32"/>
        </w:rPr>
        <w:t>、方正富邦科技创新混合型证券投资基金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22</w:t>
      </w:r>
      <w:r>
        <w:rPr>
          <w:rFonts w:ascii="仿宋" w:eastAsia="仿宋" w:hAnsi="仿宋"/>
          <w:color w:val="000000" w:themeColor="text1"/>
          <w:sz w:val="32"/>
          <w:szCs w:val="32"/>
        </w:rPr>
        <w:t>、</w:t>
      </w:r>
      <w:r>
        <w:rPr>
          <w:rFonts w:ascii="仿宋" w:eastAsia="仿宋" w:hAnsi="仿宋" w:hint="eastAsia"/>
          <w:color w:val="000000" w:themeColor="text1"/>
          <w:sz w:val="32"/>
          <w:szCs w:val="32"/>
        </w:rPr>
        <w:t>方正富邦恒利纯债债券型证券投资基金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23</w:t>
      </w:r>
      <w:r>
        <w:rPr>
          <w:rFonts w:ascii="仿宋" w:eastAsia="仿宋" w:hAnsi="仿宋"/>
          <w:color w:val="000000" w:themeColor="text1"/>
          <w:sz w:val="32"/>
          <w:szCs w:val="32"/>
        </w:rPr>
        <w:t>、</w:t>
      </w:r>
      <w:r>
        <w:rPr>
          <w:rFonts w:ascii="仿宋" w:eastAsia="仿宋" w:hAnsi="仿宋" w:hint="eastAsia"/>
          <w:color w:val="000000" w:themeColor="text1"/>
          <w:sz w:val="32"/>
          <w:szCs w:val="32"/>
        </w:rPr>
        <w:t>方正富邦新兴成长混合型证券投资基金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4</w:t>
      </w:r>
      <w:r>
        <w:rPr>
          <w:rFonts w:ascii="仿宋" w:eastAsia="仿宋" w:hAnsi="仿宋" w:hint="eastAsia"/>
          <w:color w:val="000000" w:themeColor="text1"/>
          <w:sz w:val="32"/>
          <w:szCs w:val="32"/>
        </w:rPr>
        <w:t>、方正富邦禾利</w:t>
      </w:r>
      <w:r>
        <w:rPr>
          <w:rFonts w:ascii="仿宋" w:eastAsia="仿宋" w:hAnsi="仿宋" w:hint="eastAsia"/>
          <w:color w:val="000000" w:themeColor="text1"/>
          <w:sz w:val="32"/>
          <w:szCs w:val="32"/>
        </w:rPr>
        <w:t>39</w:t>
      </w:r>
      <w:r>
        <w:rPr>
          <w:rFonts w:ascii="仿宋" w:eastAsia="仿宋" w:hAnsi="仿宋" w:hint="eastAsia"/>
          <w:color w:val="000000" w:themeColor="text1"/>
          <w:sz w:val="32"/>
          <w:szCs w:val="32"/>
        </w:rPr>
        <w:t>个月定期开放债券型证券投资基金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5</w:t>
      </w:r>
      <w:r>
        <w:rPr>
          <w:rFonts w:ascii="仿宋" w:eastAsia="仿宋" w:hAnsi="仿宋"/>
          <w:color w:val="000000" w:themeColor="text1"/>
          <w:sz w:val="32"/>
          <w:szCs w:val="32"/>
        </w:rPr>
        <w:t>、</w:t>
      </w:r>
      <w:r>
        <w:rPr>
          <w:rFonts w:ascii="仿宋" w:eastAsia="仿宋" w:hAnsi="仿宋" w:hint="eastAsia"/>
          <w:color w:val="000000" w:themeColor="text1"/>
          <w:sz w:val="32"/>
          <w:szCs w:val="32"/>
        </w:rPr>
        <w:t>方正富邦策略精选混合型证券投资基金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6</w:t>
      </w:r>
      <w:r>
        <w:rPr>
          <w:rFonts w:ascii="仿宋" w:eastAsia="仿宋" w:hAnsi="仿宋" w:hint="eastAsia"/>
          <w:color w:val="000000" w:themeColor="text1"/>
          <w:sz w:val="32"/>
          <w:szCs w:val="32"/>
        </w:rPr>
        <w:t>、方正富邦汇福一年定期开放灵活配置混合型证券投资基金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27</w:t>
      </w:r>
      <w:r>
        <w:rPr>
          <w:rFonts w:ascii="仿宋" w:eastAsia="仿宋" w:hAnsi="仿宋"/>
          <w:color w:val="000000" w:themeColor="text1"/>
          <w:sz w:val="32"/>
          <w:szCs w:val="32"/>
        </w:rPr>
        <w:t>、</w:t>
      </w:r>
      <w:r>
        <w:rPr>
          <w:rFonts w:ascii="仿宋" w:eastAsia="仿宋" w:hAnsi="仿宋" w:hint="eastAsia"/>
          <w:color w:val="000000" w:themeColor="text1"/>
          <w:sz w:val="32"/>
          <w:szCs w:val="32"/>
        </w:rPr>
        <w:t>方正富邦中证沪港深人工智能</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28</w:t>
      </w:r>
      <w:r>
        <w:rPr>
          <w:rFonts w:ascii="仿宋" w:eastAsia="仿宋" w:hAnsi="仿宋" w:hint="eastAsia"/>
          <w:color w:val="000000" w:themeColor="text1"/>
          <w:sz w:val="32"/>
          <w:szCs w:val="32"/>
        </w:rPr>
        <w:t>、方正富邦趋势领航混合型证券投资基金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29</w:t>
      </w:r>
      <w:r>
        <w:rPr>
          <w:rFonts w:ascii="仿宋" w:eastAsia="仿宋" w:hAnsi="仿宋" w:hint="eastAsia"/>
          <w:color w:val="000000" w:themeColor="text1"/>
          <w:sz w:val="32"/>
          <w:szCs w:val="32"/>
        </w:rPr>
        <w:t>、方正富邦稳裕纯债债券型证券投资基金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0</w:t>
      </w:r>
      <w:r>
        <w:rPr>
          <w:rFonts w:ascii="仿宋" w:eastAsia="仿宋" w:hAnsi="仿宋" w:hint="eastAsia"/>
          <w:color w:val="000000" w:themeColor="text1"/>
          <w:sz w:val="32"/>
          <w:szCs w:val="32"/>
        </w:rPr>
        <w:t>、方正富邦策略轮动混合型证券投资基金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1</w:t>
      </w:r>
      <w:r>
        <w:rPr>
          <w:rFonts w:ascii="仿宋" w:eastAsia="仿宋" w:hAnsi="仿宋" w:hint="eastAsia"/>
          <w:color w:val="000000" w:themeColor="text1"/>
          <w:sz w:val="32"/>
          <w:szCs w:val="32"/>
        </w:rPr>
        <w:t>、方正富邦中证科创创业</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2</w:t>
      </w:r>
      <w:r>
        <w:rPr>
          <w:rFonts w:ascii="仿宋" w:eastAsia="仿宋" w:hAnsi="仿宋" w:hint="eastAsia"/>
          <w:color w:val="000000" w:themeColor="text1"/>
          <w:sz w:val="32"/>
          <w:szCs w:val="32"/>
        </w:rPr>
        <w:t>、方正富邦稳恒</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3</w:t>
      </w:r>
      <w:r>
        <w:rPr>
          <w:rFonts w:ascii="仿宋" w:eastAsia="仿宋" w:hAnsi="仿宋" w:hint="eastAsia"/>
          <w:color w:val="000000" w:themeColor="text1"/>
          <w:sz w:val="32"/>
          <w:szCs w:val="32"/>
        </w:rPr>
        <w:t>、方正富邦泰利</w:t>
      </w:r>
      <w:r>
        <w:rPr>
          <w:rFonts w:ascii="仿宋" w:eastAsia="仿宋" w:hAnsi="仿宋" w:hint="eastAsia"/>
          <w:color w:val="000000" w:themeColor="text1"/>
          <w:sz w:val="32"/>
          <w:szCs w:val="32"/>
        </w:rPr>
        <w:t>12</w:t>
      </w:r>
      <w:r>
        <w:rPr>
          <w:rFonts w:ascii="仿宋" w:eastAsia="仿宋" w:hAnsi="仿宋" w:hint="eastAsia"/>
          <w:color w:val="000000" w:themeColor="text1"/>
          <w:sz w:val="32"/>
          <w:szCs w:val="32"/>
        </w:rPr>
        <w:t>个月持有期混合型证券投资基金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4</w:t>
      </w:r>
      <w:r>
        <w:rPr>
          <w:rFonts w:ascii="仿宋" w:eastAsia="仿宋" w:hAnsi="仿宋" w:hint="eastAsia"/>
          <w:color w:val="000000" w:themeColor="text1"/>
          <w:sz w:val="32"/>
          <w:szCs w:val="32"/>
        </w:rPr>
        <w:t>、方正富邦鑫益一年定期开放混合型证券投资基金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5</w:t>
      </w:r>
      <w:r>
        <w:rPr>
          <w:rFonts w:ascii="仿宋" w:eastAsia="仿宋" w:hAnsi="仿宋" w:hint="eastAsia"/>
          <w:color w:val="000000" w:themeColor="text1"/>
          <w:sz w:val="32"/>
          <w:szCs w:val="32"/>
        </w:rPr>
        <w:t>、方正富邦稳丰一年定期开放债券型发起式证券投资基金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36</w:t>
      </w:r>
      <w:r>
        <w:rPr>
          <w:rFonts w:ascii="仿宋" w:eastAsia="仿宋" w:hAnsi="仿宋" w:hint="eastAsia"/>
          <w:color w:val="000000" w:themeColor="text1"/>
          <w:sz w:val="32"/>
          <w:szCs w:val="32"/>
        </w:rPr>
        <w:t>、方正富邦稳泓</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37</w:t>
      </w:r>
      <w:r>
        <w:rPr>
          <w:rFonts w:ascii="仿宋" w:eastAsia="仿宋" w:hAnsi="仿宋" w:hint="eastAsia"/>
          <w:color w:val="000000" w:themeColor="text1"/>
          <w:sz w:val="32"/>
          <w:szCs w:val="32"/>
        </w:rPr>
        <w:t>、方正富邦鸿远债券型证券投资基金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38</w:t>
      </w:r>
      <w:r>
        <w:rPr>
          <w:rFonts w:ascii="仿宋" w:eastAsia="仿宋" w:hAnsi="仿宋" w:hint="eastAsia"/>
          <w:color w:val="000000" w:themeColor="text1"/>
          <w:sz w:val="32"/>
          <w:szCs w:val="32"/>
        </w:rPr>
        <w:t>、方正富邦鑫诚</w:t>
      </w:r>
      <w:r>
        <w:rPr>
          <w:rFonts w:ascii="仿宋" w:eastAsia="仿宋" w:hAnsi="仿宋" w:hint="eastAsia"/>
          <w:color w:val="000000" w:themeColor="text1"/>
          <w:sz w:val="32"/>
          <w:szCs w:val="32"/>
        </w:rPr>
        <w:t>12</w:t>
      </w:r>
      <w:r>
        <w:rPr>
          <w:rFonts w:ascii="仿宋" w:eastAsia="仿宋" w:hAnsi="仿宋" w:hint="eastAsia"/>
          <w:color w:val="000000" w:themeColor="text1"/>
          <w:sz w:val="32"/>
          <w:szCs w:val="32"/>
        </w:rPr>
        <w:t>个月持有期混合型证券投资基金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39</w:t>
      </w:r>
      <w:r>
        <w:rPr>
          <w:rFonts w:ascii="仿宋" w:eastAsia="仿宋" w:hAnsi="仿宋" w:hint="eastAsia"/>
          <w:color w:val="000000" w:themeColor="text1"/>
          <w:sz w:val="32"/>
          <w:szCs w:val="32"/>
        </w:rPr>
        <w:t>、方正富邦中证同业存单</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指数</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天持有期证券投资基金</w:t>
      </w:r>
    </w:p>
    <w:p w:rsidR="007444DB" w:rsidRDefault="001A2A7D">
      <w:pPr>
        <w:spacing w:line="540" w:lineRule="exact"/>
        <w:ind w:firstLineChars="200" w:firstLine="640"/>
        <w:rPr>
          <w:rFonts w:ascii="仿宋" w:eastAsia="仿宋" w:hAnsi="仿宋"/>
          <w:color w:val="000000"/>
          <w:sz w:val="32"/>
          <w:szCs w:val="32"/>
        </w:rPr>
      </w:pPr>
      <w:r>
        <w:rPr>
          <w:rFonts w:ascii="仿宋" w:eastAsia="仿宋" w:hAnsi="仿宋"/>
          <w:color w:val="000000" w:themeColor="text1"/>
          <w:sz w:val="32"/>
          <w:szCs w:val="32"/>
        </w:rPr>
        <w:t>40</w:t>
      </w:r>
      <w:r>
        <w:rPr>
          <w:rFonts w:ascii="仿宋" w:eastAsia="仿宋" w:hAnsi="仿宋"/>
          <w:color w:val="000000" w:themeColor="text1"/>
          <w:sz w:val="32"/>
          <w:szCs w:val="32"/>
        </w:rPr>
        <w:t>、</w:t>
      </w:r>
      <w:r>
        <w:rPr>
          <w:rFonts w:ascii="仿宋" w:eastAsia="仿宋" w:hAnsi="仿宋" w:hint="eastAsia"/>
          <w:color w:val="000000"/>
          <w:sz w:val="32"/>
          <w:szCs w:val="32"/>
        </w:rPr>
        <w:t>方正富邦远见成长混合型证券投资基金</w:t>
      </w:r>
    </w:p>
    <w:p w:rsidR="007444DB" w:rsidRDefault="001A2A7D">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1</w:t>
      </w:r>
      <w:r>
        <w:rPr>
          <w:rFonts w:ascii="仿宋" w:eastAsia="仿宋" w:hAnsi="仿宋"/>
          <w:color w:val="000000"/>
          <w:sz w:val="32"/>
          <w:szCs w:val="32"/>
        </w:rPr>
        <w:t>、</w:t>
      </w:r>
      <w:r>
        <w:rPr>
          <w:rFonts w:ascii="仿宋" w:eastAsia="仿宋" w:hAnsi="仿宋" w:hint="eastAsia"/>
          <w:color w:val="000000"/>
          <w:sz w:val="32"/>
          <w:szCs w:val="32"/>
        </w:rPr>
        <w:t>方正富邦稳禧一年定期开放债券型发起式证券投资基金</w:t>
      </w:r>
    </w:p>
    <w:p w:rsidR="007444DB" w:rsidRDefault="001A2A7D">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2</w:t>
      </w:r>
      <w:r>
        <w:rPr>
          <w:rFonts w:ascii="仿宋" w:eastAsia="仿宋" w:hAnsi="仿宋"/>
          <w:color w:val="000000"/>
          <w:sz w:val="32"/>
          <w:szCs w:val="32"/>
        </w:rPr>
        <w:t>、</w:t>
      </w:r>
      <w:r>
        <w:rPr>
          <w:rFonts w:ascii="仿宋" w:eastAsia="仿宋" w:hAnsi="仿宋" w:hint="eastAsia"/>
          <w:color w:val="000000"/>
          <w:sz w:val="32"/>
          <w:szCs w:val="32"/>
        </w:rPr>
        <w:t>方正富邦均衡精选混合型证券投资基金</w:t>
      </w:r>
    </w:p>
    <w:p w:rsidR="007444DB" w:rsidRDefault="001A2A7D">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3</w:t>
      </w:r>
      <w:r>
        <w:rPr>
          <w:rFonts w:ascii="仿宋" w:eastAsia="仿宋" w:hAnsi="仿宋"/>
          <w:color w:val="000000"/>
          <w:sz w:val="32"/>
          <w:szCs w:val="32"/>
        </w:rPr>
        <w:t>、</w:t>
      </w:r>
      <w:r>
        <w:rPr>
          <w:rFonts w:ascii="仿宋" w:eastAsia="仿宋" w:hAnsi="仿宋" w:hint="eastAsia"/>
          <w:color w:val="000000"/>
          <w:sz w:val="32"/>
          <w:szCs w:val="32"/>
        </w:rPr>
        <w:t>方正富邦稳惠</w:t>
      </w:r>
      <w:r>
        <w:rPr>
          <w:rFonts w:ascii="仿宋" w:eastAsia="仿宋" w:hAnsi="仿宋" w:hint="eastAsia"/>
          <w:color w:val="000000"/>
          <w:sz w:val="32"/>
          <w:szCs w:val="32"/>
        </w:rPr>
        <w:t>3</w:t>
      </w:r>
      <w:r>
        <w:rPr>
          <w:rFonts w:ascii="仿宋" w:eastAsia="仿宋" w:hAnsi="仿宋" w:hint="eastAsia"/>
          <w:color w:val="000000"/>
          <w:sz w:val="32"/>
          <w:szCs w:val="32"/>
        </w:rPr>
        <w:t>个月定期开放债券型证券投资基金</w:t>
      </w:r>
    </w:p>
    <w:p w:rsidR="007444DB" w:rsidRDefault="001A2A7D">
      <w:pPr>
        <w:spacing w:line="540" w:lineRule="exact"/>
        <w:ind w:firstLineChars="200" w:firstLine="640"/>
        <w:rPr>
          <w:rFonts w:ascii="仿宋" w:eastAsia="仿宋" w:hAnsi="仿宋"/>
          <w:color w:val="000000"/>
          <w:sz w:val="32"/>
          <w:szCs w:val="32"/>
        </w:rPr>
      </w:pPr>
      <w:r>
        <w:rPr>
          <w:rFonts w:ascii="仿宋" w:eastAsia="仿宋" w:hAnsi="仿宋"/>
          <w:color w:val="000000"/>
          <w:sz w:val="32"/>
          <w:szCs w:val="32"/>
        </w:rPr>
        <w:t>44</w:t>
      </w:r>
      <w:r>
        <w:rPr>
          <w:rFonts w:ascii="仿宋" w:eastAsia="仿宋" w:hAnsi="仿宋"/>
          <w:color w:val="000000"/>
          <w:sz w:val="32"/>
          <w:szCs w:val="32"/>
        </w:rPr>
        <w:t>、</w:t>
      </w:r>
      <w:r>
        <w:rPr>
          <w:rFonts w:ascii="仿宋" w:eastAsia="仿宋" w:hAnsi="仿宋" w:hint="eastAsia"/>
          <w:color w:val="000000"/>
          <w:sz w:val="32"/>
          <w:szCs w:val="32"/>
        </w:rPr>
        <w:t>方正富邦金立方一年持有期混合型证券投资基金</w:t>
      </w:r>
    </w:p>
    <w:p w:rsidR="007444DB" w:rsidRDefault="001A2A7D">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5</w:t>
      </w:r>
      <w:r>
        <w:rPr>
          <w:rFonts w:ascii="仿宋" w:eastAsia="仿宋" w:hAnsi="仿宋"/>
          <w:color w:val="000000"/>
          <w:sz w:val="32"/>
          <w:szCs w:val="32"/>
        </w:rPr>
        <w:t>、方正富邦核</w:t>
      </w:r>
      <w:r>
        <w:rPr>
          <w:rFonts w:ascii="仿宋" w:eastAsia="仿宋" w:hAnsi="仿宋"/>
          <w:color w:val="000000"/>
          <w:sz w:val="32"/>
          <w:szCs w:val="32"/>
        </w:rPr>
        <w:t>心优势混合型证券投资基金</w:t>
      </w:r>
    </w:p>
    <w:p w:rsidR="007444DB" w:rsidRDefault="001A2A7D">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6</w:t>
      </w:r>
      <w:r>
        <w:rPr>
          <w:rFonts w:ascii="仿宋" w:eastAsia="仿宋" w:hAnsi="仿宋"/>
          <w:color w:val="000000"/>
          <w:sz w:val="32"/>
          <w:szCs w:val="32"/>
        </w:rPr>
        <w:t>、方正富邦致盛混合型证券投资基金</w:t>
      </w:r>
    </w:p>
    <w:p w:rsidR="007444DB" w:rsidRDefault="001A2A7D">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7</w:t>
      </w:r>
      <w:r>
        <w:rPr>
          <w:rFonts w:ascii="仿宋" w:eastAsia="仿宋" w:hAnsi="仿宋"/>
          <w:color w:val="000000"/>
          <w:sz w:val="32"/>
          <w:szCs w:val="32"/>
        </w:rPr>
        <w:t>、方正富邦瑞福</w:t>
      </w:r>
      <w:r>
        <w:rPr>
          <w:rFonts w:ascii="仿宋" w:eastAsia="仿宋" w:hAnsi="仿宋" w:hint="eastAsia"/>
          <w:color w:val="000000"/>
          <w:sz w:val="32"/>
          <w:szCs w:val="32"/>
        </w:rPr>
        <w:t>6</w:t>
      </w:r>
      <w:r>
        <w:rPr>
          <w:rFonts w:ascii="仿宋" w:eastAsia="仿宋" w:hAnsi="仿宋" w:hint="eastAsia"/>
          <w:color w:val="000000"/>
          <w:sz w:val="32"/>
          <w:szCs w:val="32"/>
        </w:rPr>
        <w:t>个月持有期债券型证券投资基金</w:t>
      </w:r>
    </w:p>
    <w:p w:rsidR="007444DB" w:rsidRDefault="001A2A7D">
      <w:pPr>
        <w:spacing w:line="540" w:lineRule="exact"/>
        <w:ind w:firstLineChars="200" w:firstLine="640"/>
        <w:rPr>
          <w:rFonts w:ascii="仿宋" w:eastAsia="仿宋" w:hAnsi="仿宋"/>
          <w:color w:val="000000"/>
          <w:sz w:val="32"/>
          <w:szCs w:val="32"/>
        </w:rPr>
      </w:pPr>
      <w:r>
        <w:rPr>
          <w:rFonts w:ascii="仿宋" w:eastAsia="仿宋" w:hAnsi="仿宋"/>
          <w:color w:val="000000"/>
          <w:sz w:val="32"/>
          <w:szCs w:val="32"/>
        </w:rPr>
        <w:t>48</w:t>
      </w:r>
      <w:r>
        <w:rPr>
          <w:rFonts w:ascii="仿宋" w:eastAsia="仿宋" w:hAnsi="仿宋"/>
          <w:color w:val="000000"/>
          <w:sz w:val="32"/>
          <w:szCs w:val="32"/>
        </w:rPr>
        <w:t>、方正富邦锦利</w:t>
      </w:r>
      <w:r>
        <w:rPr>
          <w:rFonts w:ascii="仿宋" w:eastAsia="仿宋" w:hAnsi="仿宋" w:hint="eastAsia"/>
          <w:color w:val="000000"/>
          <w:sz w:val="32"/>
          <w:szCs w:val="32"/>
        </w:rPr>
        <w:t>3</w:t>
      </w:r>
      <w:r>
        <w:rPr>
          <w:rFonts w:ascii="仿宋" w:eastAsia="仿宋" w:hAnsi="仿宋" w:hint="eastAsia"/>
          <w:color w:val="000000"/>
          <w:sz w:val="32"/>
          <w:szCs w:val="32"/>
        </w:rPr>
        <w:t>个月定期开放债券型证券投资基金</w:t>
      </w:r>
    </w:p>
    <w:p w:rsidR="007444DB" w:rsidRDefault="001A2A7D">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9</w:t>
      </w:r>
      <w:r>
        <w:rPr>
          <w:rFonts w:ascii="仿宋" w:eastAsia="仿宋" w:hAnsi="仿宋"/>
          <w:color w:val="000000"/>
          <w:sz w:val="32"/>
          <w:szCs w:val="32"/>
        </w:rPr>
        <w:t>、</w:t>
      </w:r>
      <w:r>
        <w:rPr>
          <w:rFonts w:ascii="仿宋" w:eastAsia="仿宋" w:hAnsi="仿宋" w:hint="eastAsia"/>
          <w:color w:val="000000"/>
          <w:sz w:val="32"/>
          <w:szCs w:val="32"/>
        </w:rPr>
        <w:t>方正富邦中证全指自由现金流交易型开放式指数证券投资基金</w:t>
      </w:r>
    </w:p>
    <w:p w:rsidR="007444DB" w:rsidRDefault="001A2A7D">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50</w:t>
      </w:r>
      <w:r>
        <w:rPr>
          <w:rFonts w:ascii="仿宋" w:eastAsia="仿宋" w:hAnsi="仿宋" w:hint="eastAsia"/>
          <w:color w:val="000000"/>
          <w:sz w:val="32"/>
          <w:szCs w:val="32"/>
        </w:rPr>
        <w:t>、方正富邦中证全指自由现金流交易型开放式指数证券投资基金联接基金</w:t>
      </w:r>
    </w:p>
    <w:p w:rsidR="007444DB" w:rsidRDefault="001A2A7D">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w:t>
      </w:r>
      <w:r>
        <w:rPr>
          <w:rFonts w:ascii="仿宋" w:eastAsia="仿宋" w:hAnsi="仿宋"/>
          <w:color w:val="000000"/>
          <w:sz w:val="32"/>
          <w:szCs w:val="32"/>
        </w:rPr>
        <w:t>1</w:t>
      </w:r>
      <w:r>
        <w:rPr>
          <w:rFonts w:ascii="仿宋" w:eastAsia="仿宋" w:hAnsi="仿宋"/>
          <w:color w:val="000000"/>
          <w:sz w:val="32"/>
          <w:szCs w:val="32"/>
        </w:rPr>
        <w:t>、</w:t>
      </w:r>
      <w:r>
        <w:rPr>
          <w:rFonts w:ascii="仿宋" w:eastAsia="仿宋" w:hAnsi="仿宋" w:hint="eastAsia"/>
          <w:color w:val="000000"/>
          <w:sz w:val="32"/>
          <w:szCs w:val="32"/>
        </w:rPr>
        <w:t>方正富邦瑞实</w:t>
      </w:r>
      <w:r>
        <w:rPr>
          <w:rFonts w:ascii="仿宋" w:eastAsia="仿宋" w:hAnsi="仿宋" w:hint="eastAsia"/>
          <w:color w:val="000000"/>
          <w:sz w:val="32"/>
          <w:szCs w:val="32"/>
        </w:rPr>
        <w:t>90</w:t>
      </w:r>
      <w:r>
        <w:rPr>
          <w:rFonts w:ascii="仿宋" w:eastAsia="仿宋" w:hAnsi="仿宋" w:hint="eastAsia"/>
          <w:color w:val="000000"/>
          <w:sz w:val="32"/>
          <w:szCs w:val="32"/>
        </w:rPr>
        <w:t>天持有期债券型证券投资基金</w:t>
      </w:r>
      <w:r>
        <w:rPr>
          <w:rFonts w:ascii="仿宋" w:eastAsia="仿宋" w:hAnsi="仿宋"/>
          <w:color w:val="000000"/>
          <w:sz w:val="32"/>
          <w:szCs w:val="32"/>
        </w:rPr>
        <w:t xml:space="preserve"> </w:t>
      </w:r>
    </w:p>
    <w:p w:rsidR="007444DB" w:rsidRDefault="001A2A7D">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w:t>
      </w:r>
      <w:r>
        <w:rPr>
          <w:rFonts w:ascii="仿宋" w:eastAsia="仿宋" w:hAnsi="仿宋"/>
          <w:color w:val="000000"/>
          <w:sz w:val="32"/>
          <w:szCs w:val="32"/>
        </w:rPr>
        <w:t>2</w:t>
      </w:r>
      <w:r>
        <w:rPr>
          <w:rFonts w:ascii="仿宋" w:eastAsia="仿宋" w:hAnsi="仿宋"/>
          <w:color w:val="000000"/>
          <w:sz w:val="32"/>
          <w:szCs w:val="32"/>
        </w:rPr>
        <w:t>、</w:t>
      </w:r>
      <w:r>
        <w:rPr>
          <w:rFonts w:ascii="仿宋" w:eastAsia="仿宋" w:hAnsi="仿宋" w:hint="eastAsia"/>
          <w:color w:val="000000"/>
          <w:sz w:val="32"/>
          <w:szCs w:val="32"/>
        </w:rPr>
        <w:t>方正富邦稳鑫纯债债券型证券投资基金</w:t>
      </w:r>
    </w:p>
    <w:p w:rsidR="007444DB" w:rsidRDefault="001A2A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本公司旗下</w:t>
      </w:r>
      <w:r>
        <w:rPr>
          <w:rFonts w:ascii="仿宋" w:eastAsia="仿宋" w:hAnsi="仿宋"/>
          <w:color w:val="000000" w:themeColor="text1"/>
          <w:sz w:val="32"/>
          <w:szCs w:val="32"/>
        </w:rPr>
        <w:t>上述</w:t>
      </w:r>
      <w:r>
        <w:rPr>
          <w:rFonts w:ascii="仿宋" w:eastAsia="仿宋" w:hAnsi="仿宋" w:hint="eastAsia"/>
          <w:color w:val="000000" w:themeColor="text1"/>
          <w:sz w:val="32"/>
          <w:szCs w:val="32"/>
        </w:rPr>
        <w:t>5</w:t>
      </w:r>
      <w:r>
        <w:rPr>
          <w:rFonts w:ascii="仿宋" w:eastAsia="仿宋" w:hAnsi="仿宋"/>
          <w:color w:val="000000" w:themeColor="text1"/>
          <w:sz w:val="32"/>
          <w:szCs w:val="32"/>
        </w:rPr>
        <w:t>2</w:t>
      </w:r>
      <w:r>
        <w:rPr>
          <w:rFonts w:ascii="仿宋" w:eastAsia="仿宋" w:hAnsi="仿宋" w:hint="eastAsia"/>
          <w:color w:val="000000" w:themeColor="text1"/>
          <w:sz w:val="32"/>
          <w:szCs w:val="32"/>
        </w:rPr>
        <w:t>只公开募集证券投资基金</w:t>
      </w:r>
      <w:r>
        <w:rPr>
          <w:rFonts w:ascii="仿宋" w:eastAsia="仿宋" w:hAnsi="仿宋" w:hint="eastAsia"/>
          <w:color w:val="000000" w:themeColor="text1"/>
          <w:sz w:val="32"/>
          <w:szCs w:val="32"/>
        </w:rPr>
        <w:t>2026</w:t>
      </w:r>
      <w:r>
        <w:rPr>
          <w:rFonts w:ascii="仿宋" w:eastAsia="仿宋" w:hAnsi="仿宋" w:hint="eastAsia"/>
          <w:color w:val="000000" w:themeColor="text1"/>
          <w:sz w:val="32"/>
          <w:szCs w:val="32"/>
        </w:rPr>
        <w:t>年第一季度</w:t>
      </w:r>
      <w:r>
        <w:rPr>
          <w:rFonts w:ascii="仿宋" w:eastAsia="仿宋" w:hAnsi="仿宋" w:hint="eastAsia"/>
          <w:color w:val="000000" w:themeColor="text1"/>
          <w:sz w:val="32"/>
          <w:szCs w:val="32"/>
        </w:rPr>
        <w:t>报告全文于</w:t>
      </w:r>
      <w:r>
        <w:rPr>
          <w:rFonts w:ascii="仿宋" w:eastAsia="仿宋" w:hAnsi="仿宋" w:hint="eastAsia"/>
          <w:color w:val="000000" w:themeColor="text1"/>
          <w:sz w:val="32"/>
          <w:szCs w:val="32"/>
        </w:rPr>
        <w:t>202</w:t>
      </w:r>
      <w:r>
        <w:rPr>
          <w:rFonts w:ascii="仿宋" w:eastAsia="仿宋" w:hAnsi="仿宋"/>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22</w:t>
      </w:r>
      <w:r>
        <w:rPr>
          <w:rFonts w:ascii="仿宋" w:eastAsia="仿宋" w:hAnsi="仿宋" w:hint="eastAsia"/>
          <w:color w:val="000000" w:themeColor="text1"/>
          <w:sz w:val="32"/>
          <w:szCs w:val="32"/>
        </w:rPr>
        <w:t>日在本公司网站（</w:t>
      </w:r>
      <w:r>
        <w:rPr>
          <w:rFonts w:ascii="仿宋" w:eastAsia="仿宋" w:hAnsi="仿宋"/>
          <w:color w:val="000000" w:themeColor="text1"/>
          <w:sz w:val="32"/>
          <w:szCs w:val="32"/>
        </w:rPr>
        <w:t>www.founderff.com</w:t>
      </w:r>
      <w:r>
        <w:rPr>
          <w:rFonts w:ascii="仿宋" w:eastAsia="仿宋" w:hAnsi="仿宋" w:hint="eastAsia"/>
          <w:color w:val="000000" w:themeColor="text1"/>
          <w:sz w:val="32"/>
          <w:szCs w:val="32"/>
        </w:rPr>
        <w:t>）和中国证监会基金电子</w:t>
      </w:r>
      <w:r>
        <w:rPr>
          <w:rFonts w:ascii="仿宋" w:eastAsia="仿宋" w:hAnsi="仿宋"/>
          <w:color w:val="000000" w:themeColor="text1"/>
          <w:sz w:val="32"/>
          <w:szCs w:val="32"/>
        </w:rPr>
        <w:t>披露网站</w:t>
      </w:r>
      <w:r>
        <w:rPr>
          <w:rFonts w:ascii="仿宋" w:eastAsia="仿宋" w:hAnsi="仿宋" w:hint="eastAsia"/>
          <w:color w:val="000000" w:themeColor="text1"/>
          <w:sz w:val="32"/>
          <w:szCs w:val="32"/>
        </w:rPr>
        <w:t>（</w:t>
      </w:r>
      <w:hyperlink r:id="rId7" w:history="1">
        <w:r>
          <w:rPr>
            <w:rStyle w:val="a9"/>
            <w:rFonts w:ascii="仿宋" w:eastAsia="仿宋" w:hAnsi="仿宋" w:hint="eastAsia"/>
            <w:color w:val="000000" w:themeColor="text1"/>
            <w:sz w:val="32"/>
            <w:szCs w:val="32"/>
            <w:u w:val="none"/>
          </w:rPr>
          <w:t>http://eid.csrc.gov.cn/fund</w:t>
        </w:r>
      </w:hyperlink>
      <w:r>
        <w:rPr>
          <w:rFonts w:ascii="仿宋" w:eastAsia="仿宋" w:hAnsi="仿宋" w:hint="eastAsia"/>
          <w:color w:val="000000" w:themeColor="text1"/>
          <w:sz w:val="32"/>
          <w:szCs w:val="32"/>
        </w:rPr>
        <w:t>）披露</w:t>
      </w:r>
      <w:r>
        <w:rPr>
          <w:rFonts w:ascii="仿宋" w:eastAsia="仿宋" w:hAnsi="仿宋"/>
          <w:color w:val="000000" w:themeColor="text1"/>
          <w:sz w:val="32"/>
          <w:szCs w:val="32"/>
        </w:rPr>
        <w:t>，供投资者查阅。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400-818-0990</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7444DB" w:rsidRDefault="001A2A7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w:t>
      </w:r>
      <w:r>
        <w:rPr>
          <w:rFonts w:ascii="仿宋" w:eastAsia="仿宋" w:hAnsi="仿宋"/>
          <w:color w:val="000000" w:themeColor="text1"/>
          <w:sz w:val="32"/>
          <w:szCs w:val="32"/>
        </w:rPr>
        <w:t>用、勤勉尽责的原则管理和运</w:t>
      </w:r>
      <w:r>
        <w:rPr>
          <w:rFonts w:ascii="仿宋" w:eastAsia="仿宋" w:hAnsi="仿宋" w:hint="eastAsia"/>
          <w:color w:val="000000" w:themeColor="text1"/>
          <w:sz w:val="32"/>
          <w:szCs w:val="32"/>
        </w:rPr>
        <w:t>用</w:t>
      </w:r>
      <w:r>
        <w:rPr>
          <w:rFonts w:ascii="仿宋" w:eastAsia="仿宋" w:hAnsi="仿宋"/>
          <w:color w:val="000000" w:themeColor="text1"/>
          <w:sz w:val="32"/>
          <w:szCs w:val="32"/>
        </w:rPr>
        <w:t>基金资产，但不保证本</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一定盈利，也不保证最低收益。</w:t>
      </w:r>
      <w:r>
        <w:rPr>
          <w:rFonts w:ascii="仿宋" w:eastAsia="仿宋" w:hAnsi="仿宋" w:hint="eastAsia"/>
          <w:color w:val="000000" w:themeColor="text1"/>
          <w:sz w:val="32"/>
          <w:szCs w:val="32"/>
        </w:rPr>
        <w:t>请充分了解本基金的风险收益</w:t>
      </w:r>
      <w:r>
        <w:rPr>
          <w:rFonts w:ascii="仿宋" w:eastAsia="仿宋" w:hAnsi="仿宋"/>
          <w:color w:val="000000" w:themeColor="text1"/>
          <w:sz w:val="32"/>
          <w:szCs w:val="32"/>
        </w:rPr>
        <w:t>特征</w:t>
      </w:r>
      <w:r>
        <w:rPr>
          <w:rFonts w:ascii="仿宋" w:eastAsia="仿宋" w:hAnsi="仿宋" w:hint="eastAsia"/>
          <w:color w:val="000000" w:themeColor="text1"/>
          <w:sz w:val="32"/>
          <w:szCs w:val="32"/>
        </w:rPr>
        <w:t>，审慎做出投资决定。</w:t>
      </w:r>
    </w:p>
    <w:p w:rsidR="007444DB" w:rsidRDefault="001A2A7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7444DB" w:rsidRDefault="001A2A7D">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方正富邦基金管理有限</w:t>
      </w:r>
      <w:r>
        <w:rPr>
          <w:rFonts w:ascii="仿宋" w:eastAsia="仿宋" w:hAnsi="仿宋"/>
          <w:color w:val="000000" w:themeColor="text1"/>
          <w:sz w:val="32"/>
          <w:szCs w:val="32"/>
        </w:rPr>
        <w:t>公司</w:t>
      </w:r>
    </w:p>
    <w:p w:rsidR="007444DB" w:rsidRDefault="001A2A7D">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二〇二六</w:t>
      </w:r>
      <w:r>
        <w:rPr>
          <w:rFonts w:ascii="仿宋" w:eastAsia="仿宋" w:hAnsi="仿宋"/>
          <w:color w:val="000000" w:themeColor="text1"/>
          <w:sz w:val="32"/>
          <w:szCs w:val="32"/>
        </w:rPr>
        <w:t>年</w:t>
      </w:r>
      <w:r>
        <w:rPr>
          <w:rFonts w:ascii="仿宋" w:eastAsia="仿宋" w:hAnsi="仿宋" w:hint="eastAsia"/>
          <w:color w:val="000000" w:themeColor="text1"/>
          <w:sz w:val="32"/>
          <w:szCs w:val="32"/>
        </w:rPr>
        <w:t>四</w:t>
      </w:r>
      <w:r>
        <w:rPr>
          <w:rFonts w:ascii="仿宋" w:eastAsia="仿宋" w:hAnsi="仿宋"/>
          <w:color w:val="000000" w:themeColor="text1"/>
          <w:sz w:val="32"/>
          <w:szCs w:val="32"/>
        </w:rPr>
        <w:t>月</w:t>
      </w:r>
      <w:r>
        <w:rPr>
          <w:rFonts w:ascii="仿宋" w:eastAsia="仿宋" w:hAnsi="仿宋" w:hint="eastAsia"/>
          <w:color w:val="000000" w:themeColor="text1"/>
          <w:sz w:val="32"/>
          <w:szCs w:val="32"/>
        </w:rPr>
        <w:t>二十二</w:t>
      </w:r>
      <w:bookmarkStart w:id="0" w:name="_GoBack"/>
      <w:bookmarkEnd w:id="0"/>
      <w:r>
        <w:rPr>
          <w:rFonts w:ascii="仿宋" w:eastAsia="仿宋" w:hAnsi="仿宋"/>
          <w:color w:val="000000" w:themeColor="text1"/>
          <w:sz w:val="32"/>
          <w:szCs w:val="32"/>
        </w:rPr>
        <w:t>日</w:t>
      </w:r>
    </w:p>
    <w:sectPr w:rsidR="007444DB" w:rsidSect="007444DB">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4DB" w:rsidRDefault="007444DB" w:rsidP="007444DB">
      <w:r>
        <w:separator/>
      </w:r>
    </w:p>
  </w:endnote>
  <w:endnote w:type="continuationSeparator" w:id="0">
    <w:p w:rsidR="007444DB" w:rsidRDefault="007444DB" w:rsidP="007444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7444DB" w:rsidRDefault="007444DB">
        <w:pPr>
          <w:pStyle w:val="a5"/>
          <w:jc w:val="center"/>
        </w:pPr>
        <w:r>
          <w:fldChar w:fldCharType="begin"/>
        </w:r>
        <w:r w:rsidR="001A2A7D">
          <w:instrText>PAGE   \* MERGEFORMAT</w:instrText>
        </w:r>
        <w:r>
          <w:fldChar w:fldCharType="separate"/>
        </w:r>
        <w:r w:rsidR="001A2A7D">
          <w:rPr>
            <w:lang w:val="zh-CN"/>
          </w:rPr>
          <w:t>4</w:t>
        </w:r>
        <w:r>
          <w:fldChar w:fldCharType="end"/>
        </w:r>
      </w:p>
    </w:sdtContent>
  </w:sdt>
  <w:p w:rsidR="007444DB" w:rsidRDefault="007444D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7444DB" w:rsidRDefault="007444DB">
        <w:pPr>
          <w:pStyle w:val="a5"/>
          <w:jc w:val="center"/>
        </w:pPr>
        <w:r>
          <w:fldChar w:fldCharType="begin"/>
        </w:r>
        <w:r w:rsidR="001A2A7D">
          <w:instrText>PAGE   \* MERGEFORMAT</w:instrText>
        </w:r>
        <w:r>
          <w:fldChar w:fldCharType="separate"/>
        </w:r>
        <w:r w:rsidR="001A2A7D" w:rsidRPr="001A2A7D">
          <w:rPr>
            <w:noProof/>
            <w:lang w:val="zh-CN"/>
          </w:rPr>
          <w:t>1</w:t>
        </w:r>
        <w:r>
          <w:fldChar w:fldCharType="end"/>
        </w:r>
      </w:p>
    </w:sdtContent>
  </w:sdt>
  <w:p w:rsidR="007444DB" w:rsidRDefault="007444D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4DB" w:rsidRDefault="007444DB" w:rsidP="007444DB">
      <w:r>
        <w:separator/>
      </w:r>
    </w:p>
  </w:footnote>
  <w:footnote w:type="continuationSeparator" w:id="0">
    <w:p w:rsidR="007444DB" w:rsidRDefault="007444DB" w:rsidP="007444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00B4"/>
    <w:rsid w:val="00022ABD"/>
    <w:rsid w:val="00025D40"/>
    <w:rsid w:val="00030039"/>
    <w:rsid w:val="000300E5"/>
    <w:rsid w:val="00031A74"/>
    <w:rsid w:val="0003246C"/>
    <w:rsid w:val="00033010"/>
    <w:rsid w:val="00033204"/>
    <w:rsid w:val="000354A8"/>
    <w:rsid w:val="000475F0"/>
    <w:rsid w:val="000539F6"/>
    <w:rsid w:val="00056EE0"/>
    <w:rsid w:val="00057323"/>
    <w:rsid w:val="000670A5"/>
    <w:rsid w:val="0008010F"/>
    <w:rsid w:val="00081ADE"/>
    <w:rsid w:val="000823FC"/>
    <w:rsid w:val="00084E7D"/>
    <w:rsid w:val="00087988"/>
    <w:rsid w:val="0009227A"/>
    <w:rsid w:val="0009263D"/>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32B5A"/>
    <w:rsid w:val="00135390"/>
    <w:rsid w:val="001406EC"/>
    <w:rsid w:val="001445A9"/>
    <w:rsid w:val="00146307"/>
    <w:rsid w:val="001533B2"/>
    <w:rsid w:val="001562E3"/>
    <w:rsid w:val="001623CF"/>
    <w:rsid w:val="001645F4"/>
    <w:rsid w:val="00165D5C"/>
    <w:rsid w:val="00166B15"/>
    <w:rsid w:val="001674D2"/>
    <w:rsid w:val="001704A5"/>
    <w:rsid w:val="00174C8C"/>
    <w:rsid w:val="0017571E"/>
    <w:rsid w:val="00175AED"/>
    <w:rsid w:val="00191702"/>
    <w:rsid w:val="00192262"/>
    <w:rsid w:val="001A0FE7"/>
    <w:rsid w:val="001A2A7D"/>
    <w:rsid w:val="001A3776"/>
    <w:rsid w:val="001A593B"/>
    <w:rsid w:val="001A7C9C"/>
    <w:rsid w:val="001D04AB"/>
    <w:rsid w:val="001D2521"/>
    <w:rsid w:val="001D74AE"/>
    <w:rsid w:val="001E7CAD"/>
    <w:rsid w:val="001F125D"/>
    <w:rsid w:val="001F15CB"/>
    <w:rsid w:val="001F533E"/>
    <w:rsid w:val="001F7AA6"/>
    <w:rsid w:val="0021172E"/>
    <w:rsid w:val="00216357"/>
    <w:rsid w:val="00220691"/>
    <w:rsid w:val="00221321"/>
    <w:rsid w:val="00221DE2"/>
    <w:rsid w:val="00234298"/>
    <w:rsid w:val="002430AB"/>
    <w:rsid w:val="002471D4"/>
    <w:rsid w:val="00253326"/>
    <w:rsid w:val="00261CDE"/>
    <w:rsid w:val="0026276F"/>
    <w:rsid w:val="00262E2B"/>
    <w:rsid w:val="00270098"/>
    <w:rsid w:val="00276CA4"/>
    <w:rsid w:val="002773E9"/>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9FB"/>
    <w:rsid w:val="002C5D36"/>
    <w:rsid w:val="002E24D1"/>
    <w:rsid w:val="002E482D"/>
    <w:rsid w:val="002E79D9"/>
    <w:rsid w:val="002E7B0A"/>
    <w:rsid w:val="002F2B53"/>
    <w:rsid w:val="00303860"/>
    <w:rsid w:val="00311075"/>
    <w:rsid w:val="003117E6"/>
    <w:rsid w:val="0031305D"/>
    <w:rsid w:val="0031471A"/>
    <w:rsid w:val="00332619"/>
    <w:rsid w:val="00333802"/>
    <w:rsid w:val="00341DBA"/>
    <w:rsid w:val="003436EB"/>
    <w:rsid w:val="0034575B"/>
    <w:rsid w:val="003467B5"/>
    <w:rsid w:val="00355B7C"/>
    <w:rsid w:val="00360352"/>
    <w:rsid w:val="00361065"/>
    <w:rsid w:val="0036248F"/>
    <w:rsid w:val="00371E18"/>
    <w:rsid w:val="00373B43"/>
    <w:rsid w:val="00382BCB"/>
    <w:rsid w:val="00390A58"/>
    <w:rsid w:val="00391944"/>
    <w:rsid w:val="00393949"/>
    <w:rsid w:val="003948AF"/>
    <w:rsid w:val="00394BBC"/>
    <w:rsid w:val="003A1D5C"/>
    <w:rsid w:val="003A4AC6"/>
    <w:rsid w:val="003A679D"/>
    <w:rsid w:val="003B4FCA"/>
    <w:rsid w:val="003C2820"/>
    <w:rsid w:val="003C3CB5"/>
    <w:rsid w:val="003C51B8"/>
    <w:rsid w:val="003C5A1A"/>
    <w:rsid w:val="003C6177"/>
    <w:rsid w:val="003D0424"/>
    <w:rsid w:val="003D32D7"/>
    <w:rsid w:val="003E2DD5"/>
    <w:rsid w:val="003F4E13"/>
    <w:rsid w:val="003F6960"/>
    <w:rsid w:val="0040020D"/>
    <w:rsid w:val="00405ADB"/>
    <w:rsid w:val="00410027"/>
    <w:rsid w:val="0041494E"/>
    <w:rsid w:val="0041677E"/>
    <w:rsid w:val="004254EE"/>
    <w:rsid w:val="00430D19"/>
    <w:rsid w:val="00433480"/>
    <w:rsid w:val="0043655D"/>
    <w:rsid w:val="00437D86"/>
    <w:rsid w:val="00441246"/>
    <w:rsid w:val="00441E0B"/>
    <w:rsid w:val="0044254F"/>
    <w:rsid w:val="00451E20"/>
    <w:rsid w:val="00452A46"/>
    <w:rsid w:val="00454581"/>
    <w:rsid w:val="00454978"/>
    <w:rsid w:val="00456DBC"/>
    <w:rsid w:val="00467E81"/>
    <w:rsid w:val="004744B6"/>
    <w:rsid w:val="004748B9"/>
    <w:rsid w:val="00477BA8"/>
    <w:rsid w:val="00477EB2"/>
    <w:rsid w:val="0048111A"/>
    <w:rsid w:val="00481F5C"/>
    <w:rsid w:val="00484196"/>
    <w:rsid w:val="00487BF1"/>
    <w:rsid w:val="00491FCB"/>
    <w:rsid w:val="00497943"/>
    <w:rsid w:val="00497A8B"/>
    <w:rsid w:val="004A0E45"/>
    <w:rsid w:val="004A0EF6"/>
    <w:rsid w:val="004A54A6"/>
    <w:rsid w:val="004B1105"/>
    <w:rsid w:val="004C3109"/>
    <w:rsid w:val="004C44C4"/>
    <w:rsid w:val="004C625A"/>
    <w:rsid w:val="004C6355"/>
    <w:rsid w:val="004D7943"/>
    <w:rsid w:val="004E1D5E"/>
    <w:rsid w:val="004E630B"/>
    <w:rsid w:val="004F2C7D"/>
    <w:rsid w:val="004F701E"/>
    <w:rsid w:val="004F7313"/>
    <w:rsid w:val="00507A39"/>
    <w:rsid w:val="005158A6"/>
    <w:rsid w:val="0052094C"/>
    <w:rsid w:val="00524637"/>
    <w:rsid w:val="00534A41"/>
    <w:rsid w:val="0053650E"/>
    <w:rsid w:val="00541E6B"/>
    <w:rsid w:val="00542535"/>
    <w:rsid w:val="00544E6E"/>
    <w:rsid w:val="00547910"/>
    <w:rsid w:val="00551033"/>
    <w:rsid w:val="00560AC4"/>
    <w:rsid w:val="00563FE4"/>
    <w:rsid w:val="00564EE9"/>
    <w:rsid w:val="00567A02"/>
    <w:rsid w:val="005711D9"/>
    <w:rsid w:val="005751C6"/>
    <w:rsid w:val="00582D8F"/>
    <w:rsid w:val="005837B0"/>
    <w:rsid w:val="00596AC1"/>
    <w:rsid w:val="005A408B"/>
    <w:rsid w:val="005A46AE"/>
    <w:rsid w:val="005A77EA"/>
    <w:rsid w:val="005A7F6F"/>
    <w:rsid w:val="005B5746"/>
    <w:rsid w:val="005C00AF"/>
    <w:rsid w:val="005C0914"/>
    <w:rsid w:val="005C1CEE"/>
    <w:rsid w:val="005C7C95"/>
    <w:rsid w:val="005D3C24"/>
    <w:rsid w:val="005D4528"/>
    <w:rsid w:val="005E088E"/>
    <w:rsid w:val="005E0F00"/>
    <w:rsid w:val="005F0B61"/>
    <w:rsid w:val="005F4D9C"/>
    <w:rsid w:val="005F4EFE"/>
    <w:rsid w:val="005F7E5C"/>
    <w:rsid w:val="00604996"/>
    <w:rsid w:val="00605B67"/>
    <w:rsid w:val="006122F5"/>
    <w:rsid w:val="00615978"/>
    <w:rsid w:val="006163B1"/>
    <w:rsid w:val="00616766"/>
    <w:rsid w:val="00616874"/>
    <w:rsid w:val="0062589F"/>
    <w:rsid w:val="00625F48"/>
    <w:rsid w:val="00626EA8"/>
    <w:rsid w:val="00641CEA"/>
    <w:rsid w:val="006448AC"/>
    <w:rsid w:val="00647F9E"/>
    <w:rsid w:val="0065080E"/>
    <w:rsid w:val="00655229"/>
    <w:rsid w:val="00656B0C"/>
    <w:rsid w:val="0066309A"/>
    <w:rsid w:val="0066627D"/>
    <w:rsid w:val="00676396"/>
    <w:rsid w:val="006832A2"/>
    <w:rsid w:val="00684A20"/>
    <w:rsid w:val="00690EC4"/>
    <w:rsid w:val="006962CB"/>
    <w:rsid w:val="006A0BB0"/>
    <w:rsid w:val="006A6293"/>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3107"/>
    <w:rsid w:val="0074144B"/>
    <w:rsid w:val="00741A3E"/>
    <w:rsid w:val="007443C2"/>
    <w:rsid w:val="007444DB"/>
    <w:rsid w:val="00746080"/>
    <w:rsid w:val="0075390A"/>
    <w:rsid w:val="00756CAD"/>
    <w:rsid w:val="007629BB"/>
    <w:rsid w:val="00762A82"/>
    <w:rsid w:val="007703B8"/>
    <w:rsid w:val="00771227"/>
    <w:rsid w:val="00772D42"/>
    <w:rsid w:val="00775751"/>
    <w:rsid w:val="00781015"/>
    <w:rsid w:val="00787132"/>
    <w:rsid w:val="007900FC"/>
    <w:rsid w:val="00791C2B"/>
    <w:rsid w:val="00794869"/>
    <w:rsid w:val="00797876"/>
    <w:rsid w:val="007A5116"/>
    <w:rsid w:val="007A5263"/>
    <w:rsid w:val="007B3A14"/>
    <w:rsid w:val="007B4EC6"/>
    <w:rsid w:val="007B549A"/>
    <w:rsid w:val="007B5745"/>
    <w:rsid w:val="007B6893"/>
    <w:rsid w:val="007C3F2C"/>
    <w:rsid w:val="007C51E4"/>
    <w:rsid w:val="007D4066"/>
    <w:rsid w:val="007E3EED"/>
    <w:rsid w:val="007F0685"/>
    <w:rsid w:val="007F136D"/>
    <w:rsid w:val="007F60CB"/>
    <w:rsid w:val="00801AAB"/>
    <w:rsid w:val="0080773A"/>
    <w:rsid w:val="008167EE"/>
    <w:rsid w:val="00817113"/>
    <w:rsid w:val="0081788D"/>
    <w:rsid w:val="008219C3"/>
    <w:rsid w:val="00825398"/>
    <w:rsid w:val="008263AE"/>
    <w:rsid w:val="008318C0"/>
    <w:rsid w:val="00831A29"/>
    <w:rsid w:val="00832B61"/>
    <w:rsid w:val="00835A88"/>
    <w:rsid w:val="00847A69"/>
    <w:rsid w:val="00854DD8"/>
    <w:rsid w:val="008566E7"/>
    <w:rsid w:val="008619E1"/>
    <w:rsid w:val="00866E5A"/>
    <w:rsid w:val="008721DF"/>
    <w:rsid w:val="008738A9"/>
    <w:rsid w:val="008748A0"/>
    <w:rsid w:val="00876EC6"/>
    <w:rsid w:val="00881C77"/>
    <w:rsid w:val="00882FB0"/>
    <w:rsid w:val="008839E0"/>
    <w:rsid w:val="00887017"/>
    <w:rsid w:val="00891007"/>
    <w:rsid w:val="008A1AFA"/>
    <w:rsid w:val="008A2CE2"/>
    <w:rsid w:val="008A3460"/>
    <w:rsid w:val="008B539C"/>
    <w:rsid w:val="008B77D5"/>
    <w:rsid w:val="008C155D"/>
    <w:rsid w:val="008D41F4"/>
    <w:rsid w:val="008D4634"/>
    <w:rsid w:val="008E161F"/>
    <w:rsid w:val="008E4CD7"/>
    <w:rsid w:val="008E58F7"/>
    <w:rsid w:val="008E6EC1"/>
    <w:rsid w:val="00900E86"/>
    <w:rsid w:val="00903815"/>
    <w:rsid w:val="00903C0A"/>
    <w:rsid w:val="009062C4"/>
    <w:rsid w:val="0090723B"/>
    <w:rsid w:val="00910193"/>
    <w:rsid w:val="0092312D"/>
    <w:rsid w:val="00933628"/>
    <w:rsid w:val="009465EA"/>
    <w:rsid w:val="009506DC"/>
    <w:rsid w:val="009566C4"/>
    <w:rsid w:val="00956DD9"/>
    <w:rsid w:val="009628AE"/>
    <w:rsid w:val="009633EF"/>
    <w:rsid w:val="00967A04"/>
    <w:rsid w:val="00973509"/>
    <w:rsid w:val="00977BBE"/>
    <w:rsid w:val="00977E7B"/>
    <w:rsid w:val="00986792"/>
    <w:rsid w:val="009871EF"/>
    <w:rsid w:val="00991292"/>
    <w:rsid w:val="00991AEE"/>
    <w:rsid w:val="0099252E"/>
    <w:rsid w:val="00993CBF"/>
    <w:rsid w:val="00997D63"/>
    <w:rsid w:val="009A149B"/>
    <w:rsid w:val="009B0BE2"/>
    <w:rsid w:val="009B33C8"/>
    <w:rsid w:val="009B5D57"/>
    <w:rsid w:val="009C134B"/>
    <w:rsid w:val="009C15E2"/>
    <w:rsid w:val="009C33BF"/>
    <w:rsid w:val="009C3820"/>
    <w:rsid w:val="009D4246"/>
    <w:rsid w:val="009E35EB"/>
    <w:rsid w:val="009E3CE6"/>
    <w:rsid w:val="009E64F2"/>
    <w:rsid w:val="009E7875"/>
    <w:rsid w:val="009F72D1"/>
    <w:rsid w:val="00A01015"/>
    <w:rsid w:val="00A07CE3"/>
    <w:rsid w:val="00A144A6"/>
    <w:rsid w:val="00A21627"/>
    <w:rsid w:val="00A231A5"/>
    <w:rsid w:val="00A26F8D"/>
    <w:rsid w:val="00A37A94"/>
    <w:rsid w:val="00A41611"/>
    <w:rsid w:val="00A441B7"/>
    <w:rsid w:val="00A447AF"/>
    <w:rsid w:val="00A46430"/>
    <w:rsid w:val="00A52818"/>
    <w:rsid w:val="00A5780A"/>
    <w:rsid w:val="00A62B15"/>
    <w:rsid w:val="00A63901"/>
    <w:rsid w:val="00A63F21"/>
    <w:rsid w:val="00A70241"/>
    <w:rsid w:val="00A72BFA"/>
    <w:rsid w:val="00A72FCD"/>
    <w:rsid w:val="00A74844"/>
    <w:rsid w:val="00A81D7B"/>
    <w:rsid w:val="00A87DCB"/>
    <w:rsid w:val="00A926B1"/>
    <w:rsid w:val="00A92F3A"/>
    <w:rsid w:val="00AA210A"/>
    <w:rsid w:val="00AB1BEE"/>
    <w:rsid w:val="00AB49A1"/>
    <w:rsid w:val="00AC1161"/>
    <w:rsid w:val="00AD0AB9"/>
    <w:rsid w:val="00AD18DD"/>
    <w:rsid w:val="00AD562B"/>
    <w:rsid w:val="00AE3F47"/>
    <w:rsid w:val="00AE69BF"/>
    <w:rsid w:val="00AF7347"/>
    <w:rsid w:val="00B014DF"/>
    <w:rsid w:val="00B11B77"/>
    <w:rsid w:val="00B16987"/>
    <w:rsid w:val="00B17EF5"/>
    <w:rsid w:val="00B2068A"/>
    <w:rsid w:val="00B22FD9"/>
    <w:rsid w:val="00B23F95"/>
    <w:rsid w:val="00B25BAB"/>
    <w:rsid w:val="00B26285"/>
    <w:rsid w:val="00B32EBC"/>
    <w:rsid w:val="00B32F46"/>
    <w:rsid w:val="00B33F4A"/>
    <w:rsid w:val="00B41297"/>
    <w:rsid w:val="00B46CC1"/>
    <w:rsid w:val="00B504F2"/>
    <w:rsid w:val="00B517DE"/>
    <w:rsid w:val="00B51CE1"/>
    <w:rsid w:val="00B52B73"/>
    <w:rsid w:val="00B5796D"/>
    <w:rsid w:val="00B61D0F"/>
    <w:rsid w:val="00B64EDD"/>
    <w:rsid w:val="00B65E43"/>
    <w:rsid w:val="00B72574"/>
    <w:rsid w:val="00B725A0"/>
    <w:rsid w:val="00B7491E"/>
    <w:rsid w:val="00B763C4"/>
    <w:rsid w:val="00B91560"/>
    <w:rsid w:val="00B9364B"/>
    <w:rsid w:val="00B95F9A"/>
    <w:rsid w:val="00B96D82"/>
    <w:rsid w:val="00BA0E21"/>
    <w:rsid w:val="00BA1434"/>
    <w:rsid w:val="00BA3915"/>
    <w:rsid w:val="00BA3AE4"/>
    <w:rsid w:val="00BB3501"/>
    <w:rsid w:val="00BB3A06"/>
    <w:rsid w:val="00BB7A7F"/>
    <w:rsid w:val="00BC1FAC"/>
    <w:rsid w:val="00BC3F72"/>
    <w:rsid w:val="00BC64B2"/>
    <w:rsid w:val="00BC662F"/>
    <w:rsid w:val="00BC6FFD"/>
    <w:rsid w:val="00BC778B"/>
    <w:rsid w:val="00BC7AFE"/>
    <w:rsid w:val="00BD0BDF"/>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0BA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97B7C"/>
    <w:rsid w:val="00CA155F"/>
    <w:rsid w:val="00CA1FEF"/>
    <w:rsid w:val="00CA25FC"/>
    <w:rsid w:val="00CA35B8"/>
    <w:rsid w:val="00CA3E7C"/>
    <w:rsid w:val="00CA6A56"/>
    <w:rsid w:val="00CB2CEE"/>
    <w:rsid w:val="00CB4DE3"/>
    <w:rsid w:val="00CB676C"/>
    <w:rsid w:val="00CC2DBC"/>
    <w:rsid w:val="00CC2F35"/>
    <w:rsid w:val="00CC40C3"/>
    <w:rsid w:val="00CD42C4"/>
    <w:rsid w:val="00CD4635"/>
    <w:rsid w:val="00CE43F8"/>
    <w:rsid w:val="00CE72FA"/>
    <w:rsid w:val="00CE7C8B"/>
    <w:rsid w:val="00CF01CC"/>
    <w:rsid w:val="00CF6D5C"/>
    <w:rsid w:val="00D10B1F"/>
    <w:rsid w:val="00D11E1F"/>
    <w:rsid w:val="00D20C81"/>
    <w:rsid w:val="00D3262F"/>
    <w:rsid w:val="00D361FE"/>
    <w:rsid w:val="00D36E74"/>
    <w:rsid w:val="00D425C9"/>
    <w:rsid w:val="00D42F13"/>
    <w:rsid w:val="00D43B3D"/>
    <w:rsid w:val="00D45A49"/>
    <w:rsid w:val="00D5035D"/>
    <w:rsid w:val="00D5213E"/>
    <w:rsid w:val="00D52A3F"/>
    <w:rsid w:val="00D535B2"/>
    <w:rsid w:val="00D56BC3"/>
    <w:rsid w:val="00D56E0D"/>
    <w:rsid w:val="00D62A71"/>
    <w:rsid w:val="00D70A3B"/>
    <w:rsid w:val="00D72110"/>
    <w:rsid w:val="00D919AF"/>
    <w:rsid w:val="00D937BD"/>
    <w:rsid w:val="00D95ED0"/>
    <w:rsid w:val="00D97662"/>
    <w:rsid w:val="00DA2D7C"/>
    <w:rsid w:val="00DB6F0A"/>
    <w:rsid w:val="00DC083E"/>
    <w:rsid w:val="00DC6A88"/>
    <w:rsid w:val="00DD705B"/>
    <w:rsid w:val="00DD7BAA"/>
    <w:rsid w:val="00DE0FFA"/>
    <w:rsid w:val="00DE6A70"/>
    <w:rsid w:val="00DF3DF3"/>
    <w:rsid w:val="00DF52D8"/>
    <w:rsid w:val="00DF5AA8"/>
    <w:rsid w:val="00E11D7D"/>
    <w:rsid w:val="00E1254C"/>
    <w:rsid w:val="00E16895"/>
    <w:rsid w:val="00E32614"/>
    <w:rsid w:val="00E33250"/>
    <w:rsid w:val="00E3526B"/>
    <w:rsid w:val="00E42486"/>
    <w:rsid w:val="00E44660"/>
    <w:rsid w:val="00E5059C"/>
    <w:rsid w:val="00E51610"/>
    <w:rsid w:val="00E54C06"/>
    <w:rsid w:val="00E5664A"/>
    <w:rsid w:val="00E6079B"/>
    <w:rsid w:val="00E7407A"/>
    <w:rsid w:val="00E81A0A"/>
    <w:rsid w:val="00E964F7"/>
    <w:rsid w:val="00EA4272"/>
    <w:rsid w:val="00EA51A7"/>
    <w:rsid w:val="00EA6F84"/>
    <w:rsid w:val="00EB7931"/>
    <w:rsid w:val="00ED1377"/>
    <w:rsid w:val="00ED1D3C"/>
    <w:rsid w:val="00ED3FB5"/>
    <w:rsid w:val="00ED4F18"/>
    <w:rsid w:val="00ED548C"/>
    <w:rsid w:val="00ED7F3F"/>
    <w:rsid w:val="00EF043C"/>
    <w:rsid w:val="00EF49B3"/>
    <w:rsid w:val="00EF56E1"/>
    <w:rsid w:val="00EF73FD"/>
    <w:rsid w:val="00F00561"/>
    <w:rsid w:val="00F01150"/>
    <w:rsid w:val="00F01E3D"/>
    <w:rsid w:val="00F04DC2"/>
    <w:rsid w:val="00F066D9"/>
    <w:rsid w:val="00F17ADE"/>
    <w:rsid w:val="00F25F52"/>
    <w:rsid w:val="00F37ABD"/>
    <w:rsid w:val="00F469D5"/>
    <w:rsid w:val="00F47FEE"/>
    <w:rsid w:val="00F527B3"/>
    <w:rsid w:val="00F61997"/>
    <w:rsid w:val="00F632AF"/>
    <w:rsid w:val="00F6382D"/>
    <w:rsid w:val="00F63F55"/>
    <w:rsid w:val="00F66378"/>
    <w:rsid w:val="00F71C51"/>
    <w:rsid w:val="00F778AB"/>
    <w:rsid w:val="00F77F4B"/>
    <w:rsid w:val="00F80994"/>
    <w:rsid w:val="00F9100C"/>
    <w:rsid w:val="00F91BD8"/>
    <w:rsid w:val="00FA0934"/>
    <w:rsid w:val="00FA653D"/>
    <w:rsid w:val="00FB23EE"/>
    <w:rsid w:val="00FC0E21"/>
    <w:rsid w:val="00FC34DF"/>
    <w:rsid w:val="00FD658E"/>
    <w:rsid w:val="00FD6872"/>
    <w:rsid w:val="00FE0C5A"/>
    <w:rsid w:val="00FE13A2"/>
    <w:rsid w:val="00FE6E4C"/>
    <w:rsid w:val="00FF0A9C"/>
    <w:rsid w:val="41D33915"/>
    <w:rsid w:val="5BE73E94"/>
    <w:rsid w:val="62A92F4C"/>
    <w:rsid w:val="773D60E8"/>
    <w:rsid w:val="79A54E13"/>
    <w:rsid w:val="7D463F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4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444DB"/>
    <w:pPr>
      <w:jc w:val="left"/>
    </w:pPr>
  </w:style>
  <w:style w:type="paragraph" w:styleId="a4">
    <w:name w:val="Balloon Text"/>
    <w:basedOn w:val="a"/>
    <w:link w:val="Char0"/>
    <w:uiPriority w:val="99"/>
    <w:semiHidden/>
    <w:unhideWhenUsed/>
    <w:qFormat/>
    <w:rsid w:val="007444DB"/>
    <w:rPr>
      <w:sz w:val="18"/>
      <w:szCs w:val="18"/>
    </w:rPr>
  </w:style>
  <w:style w:type="paragraph" w:styleId="a5">
    <w:name w:val="footer"/>
    <w:basedOn w:val="a"/>
    <w:link w:val="Char1"/>
    <w:uiPriority w:val="99"/>
    <w:unhideWhenUsed/>
    <w:qFormat/>
    <w:rsid w:val="007444D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444DB"/>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7444DB"/>
    <w:pPr>
      <w:snapToGrid w:val="0"/>
      <w:jc w:val="left"/>
    </w:pPr>
    <w:rPr>
      <w:sz w:val="18"/>
      <w:szCs w:val="18"/>
    </w:rPr>
  </w:style>
  <w:style w:type="paragraph" w:styleId="a8">
    <w:name w:val="annotation subject"/>
    <w:basedOn w:val="a3"/>
    <w:next w:val="a3"/>
    <w:link w:val="Char4"/>
    <w:uiPriority w:val="99"/>
    <w:semiHidden/>
    <w:unhideWhenUsed/>
    <w:rsid w:val="007444DB"/>
    <w:rPr>
      <w:b/>
      <w:bCs/>
    </w:rPr>
  </w:style>
  <w:style w:type="character" w:styleId="a9">
    <w:name w:val="Hyperlink"/>
    <w:basedOn w:val="a0"/>
    <w:uiPriority w:val="99"/>
    <w:unhideWhenUsed/>
    <w:qFormat/>
    <w:rsid w:val="007444DB"/>
    <w:rPr>
      <w:color w:val="0000FF" w:themeColor="hyperlink"/>
      <w:u w:val="single"/>
    </w:rPr>
  </w:style>
  <w:style w:type="character" w:styleId="aa">
    <w:name w:val="annotation reference"/>
    <w:basedOn w:val="a0"/>
    <w:uiPriority w:val="99"/>
    <w:semiHidden/>
    <w:unhideWhenUsed/>
    <w:qFormat/>
    <w:rsid w:val="007444DB"/>
    <w:rPr>
      <w:sz w:val="21"/>
      <w:szCs w:val="21"/>
    </w:rPr>
  </w:style>
  <w:style w:type="character" w:styleId="ab">
    <w:name w:val="footnote reference"/>
    <w:basedOn w:val="a0"/>
    <w:uiPriority w:val="99"/>
    <w:semiHidden/>
    <w:unhideWhenUsed/>
    <w:qFormat/>
    <w:rsid w:val="007444DB"/>
    <w:rPr>
      <w:vertAlign w:val="superscript"/>
    </w:rPr>
  </w:style>
  <w:style w:type="character" w:customStyle="1" w:styleId="Char2">
    <w:name w:val="页眉 Char"/>
    <w:basedOn w:val="a0"/>
    <w:link w:val="a6"/>
    <w:uiPriority w:val="99"/>
    <w:qFormat/>
    <w:rsid w:val="007444DB"/>
    <w:rPr>
      <w:sz w:val="18"/>
      <w:szCs w:val="18"/>
    </w:rPr>
  </w:style>
  <w:style w:type="character" w:customStyle="1" w:styleId="Char1">
    <w:name w:val="页脚 Char"/>
    <w:basedOn w:val="a0"/>
    <w:link w:val="a5"/>
    <w:uiPriority w:val="99"/>
    <w:qFormat/>
    <w:rsid w:val="007444DB"/>
    <w:rPr>
      <w:sz w:val="18"/>
      <w:szCs w:val="18"/>
    </w:rPr>
  </w:style>
  <w:style w:type="paragraph" w:styleId="ac">
    <w:name w:val="List Paragraph"/>
    <w:basedOn w:val="a"/>
    <w:uiPriority w:val="34"/>
    <w:qFormat/>
    <w:rsid w:val="007444DB"/>
    <w:pPr>
      <w:ind w:firstLineChars="200" w:firstLine="420"/>
    </w:pPr>
  </w:style>
  <w:style w:type="character" w:customStyle="1" w:styleId="Char0">
    <w:name w:val="批注框文本 Char"/>
    <w:basedOn w:val="a0"/>
    <w:link w:val="a4"/>
    <w:uiPriority w:val="99"/>
    <w:semiHidden/>
    <w:qFormat/>
    <w:rsid w:val="007444DB"/>
    <w:rPr>
      <w:sz w:val="18"/>
      <w:szCs w:val="18"/>
    </w:rPr>
  </w:style>
  <w:style w:type="character" w:customStyle="1" w:styleId="Char">
    <w:name w:val="批注文字 Char"/>
    <w:basedOn w:val="a0"/>
    <w:link w:val="a3"/>
    <w:uiPriority w:val="99"/>
    <w:semiHidden/>
    <w:qFormat/>
    <w:rsid w:val="007444DB"/>
  </w:style>
  <w:style w:type="character" w:customStyle="1" w:styleId="Char4">
    <w:name w:val="批注主题 Char"/>
    <w:basedOn w:val="Char"/>
    <w:link w:val="a8"/>
    <w:uiPriority w:val="99"/>
    <w:semiHidden/>
    <w:qFormat/>
    <w:rsid w:val="007444DB"/>
    <w:rPr>
      <w:b/>
      <w:bCs/>
    </w:rPr>
  </w:style>
  <w:style w:type="character" w:customStyle="1" w:styleId="Char3">
    <w:name w:val="脚注文本 Char"/>
    <w:basedOn w:val="a0"/>
    <w:link w:val="a7"/>
    <w:uiPriority w:val="99"/>
    <w:semiHidden/>
    <w:qFormat/>
    <w:rsid w:val="007444D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64A2-2799-447D-B8C2-3897212A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1519</Characters>
  <Application>Microsoft Office Word</Application>
  <DocSecurity>4</DocSecurity>
  <Lines>12</Lines>
  <Paragraphs>3</Paragraphs>
  <ScaleCrop>false</ScaleCrop>
  <Company>CNSTOCK</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2026-04-21T16:04:00Z</dcterms:created>
  <dcterms:modified xsi:type="dcterms:W3CDTF">2026-04-21T16:04:00Z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eyJoZGlkIjoiNmNjZTM1MDFjMzExNDU2NzczODQ3N2YzYWY2MmYxMWEiLCJ1c2VySWQiOiIxNTc5MDc3Mjg5In0=</vt:lpwstr>
  </property>
  <property fmtid="{D5CDD505-2E9C-101B-9397-08002B2CF9AE}" pid="3" name="KSOProductBuildVer">
    <vt:lpwstr>2052-12.1.0.19770</vt:lpwstr>
  </property>
  <property fmtid="{D5CDD505-2E9C-101B-9397-08002B2CF9AE}" pid="4" name="ICV">
    <vt:lpwstr>CD80D94C8CE849A1A7C4E072C28D2AE7_12</vt:lpwstr>
  </property>
</Properties>
</file>