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69" w:rsidRPr="00D11FA9" w:rsidRDefault="001F6A30" w:rsidP="00D8633A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8"/>
          <w:szCs w:val="28"/>
        </w:rPr>
      </w:pPr>
      <w:r w:rsidRPr="00D11FA9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汇添富基金管理股份有限公司关于</w:t>
      </w:r>
      <w:r w:rsidR="00A421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汇添富6月红添利定期开放债券型证券投资基金</w:t>
      </w:r>
      <w:r w:rsidR="00656ADD" w:rsidRPr="00D11FA9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调整开放期设置并修改</w:t>
      </w:r>
      <w:r w:rsidR="00956174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法律文件</w:t>
      </w:r>
      <w:r w:rsidR="00656ADD" w:rsidRPr="00D11FA9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的公告</w:t>
      </w:r>
    </w:p>
    <w:p w:rsidR="005E2726" w:rsidRPr="00D644C0" w:rsidRDefault="00EF177C" w:rsidP="005E272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为更好地满足投资者理财需求，根据《中华人民共和国证券投资基金法》、《公开募集证券投资基金运作管理办法》等法律法规的规定和</w:t>
      </w:r>
      <w:r w:rsidR="001850DC" w:rsidRPr="00D644C0">
        <w:rPr>
          <w:rFonts w:asciiTheme="minorEastAsia" w:hAnsiTheme="minorEastAsia" w:hint="eastAsia"/>
          <w:sz w:val="24"/>
          <w:szCs w:val="24"/>
        </w:rPr>
        <w:t>《</w:t>
      </w:r>
      <w:r w:rsidR="00A4211F">
        <w:rPr>
          <w:rFonts w:asciiTheme="minorEastAsia" w:hAnsiTheme="minorEastAsia"/>
          <w:sz w:val="24"/>
          <w:szCs w:val="24"/>
        </w:rPr>
        <w:t>汇添富6月红添利定期开放债券型证券投资基金</w:t>
      </w:r>
      <w:r w:rsidR="00526235" w:rsidRPr="00D644C0">
        <w:rPr>
          <w:rFonts w:asciiTheme="minorEastAsia" w:hAnsiTheme="minorEastAsia"/>
          <w:sz w:val="24"/>
          <w:szCs w:val="24"/>
        </w:rPr>
        <w:t>基金合同</w:t>
      </w:r>
      <w:r w:rsidR="001850DC" w:rsidRPr="00D644C0">
        <w:rPr>
          <w:rFonts w:asciiTheme="minorEastAsia" w:hAnsiTheme="minorEastAsia" w:hint="eastAsia"/>
          <w:sz w:val="24"/>
          <w:szCs w:val="24"/>
        </w:rPr>
        <w:t>》</w:t>
      </w:r>
      <w:r w:rsidRPr="00D644C0">
        <w:rPr>
          <w:rFonts w:asciiTheme="minorEastAsia" w:hAnsiTheme="minorEastAsia" w:hint="eastAsia"/>
          <w:sz w:val="24"/>
          <w:szCs w:val="24"/>
        </w:rPr>
        <w:t>（以下简称“《基金合同》”）的相关约定</w:t>
      </w:r>
      <w:r w:rsidR="00526235" w:rsidRPr="00D644C0">
        <w:rPr>
          <w:rFonts w:asciiTheme="minorEastAsia" w:hAnsiTheme="minorEastAsia"/>
          <w:sz w:val="24"/>
          <w:szCs w:val="24"/>
        </w:rPr>
        <w:t>，</w:t>
      </w:r>
      <w:r w:rsidRPr="00D644C0">
        <w:rPr>
          <w:rFonts w:asciiTheme="minorEastAsia" w:hAnsiTheme="minorEastAsia" w:hint="eastAsia"/>
          <w:sz w:val="24"/>
          <w:szCs w:val="24"/>
        </w:rPr>
        <w:t>汇添富基金管理股份有限公司（以下简称“本基金管理人”）</w:t>
      </w:r>
      <w:r w:rsidR="00526235" w:rsidRPr="00D644C0">
        <w:rPr>
          <w:rFonts w:asciiTheme="minorEastAsia" w:hAnsiTheme="minorEastAsia"/>
          <w:sz w:val="24"/>
          <w:szCs w:val="24"/>
        </w:rPr>
        <w:t>经与基金托管人</w:t>
      </w:r>
      <w:r w:rsidR="00656ADD" w:rsidRPr="00D644C0">
        <w:rPr>
          <w:rFonts w:asciiTheme="minorEastAsia" w:hAnsiTheme="minorEastAsia" w:hint="eastAsia"/>
          <w:sz w:val="24"/>
          <w:szCs w:val="24"/>
        </w:rPr>
        <w:t>中国</w:t>
      </w:r>
      <w:r w:rsidR="00A4211F">
        <w:rPr>
          <w:rFonts w:asciiTheme="minorEastAsia" w:hAnsiTheme="minorEastAsia" w:hint="eastAsia"/>
          <w:sz w:val="24"/>
          <w:szCs w:val="24"/>
        </w:rPr>
        <w:t>农业</w:t>
      </w:r>
      <w:r w:rsidR="00656ADD" w:rsidRPr="00D644C0">
        <w:rPr>
          <w:rFonts w:asciiTheme="minorEastAsia" w:hAnsiTheme="minorEastAsia" w:hint="eastAsia"/>
          <w:sz w:val="24"/>
          <w:szCs w:val="24"/>
        </w:rPr>
        <w:t>银行股份有限公司</w:t>
      </w:r>
      <w:r w:rsidR="00526235" w:rsidRPr="00D644C0">
        <w:rPr>
          <w:rFonts w:asciiTheme="minorEastAsia" w:hAnsiTheme="minorEastAsia"/>
          <w:sz w:val="24"/>
          <w:szCs w:val="24"/>
        </w:rPr>
        <w:t>协商一致，决定自</w:t>
      </w:r>
      <w:r w:rsidR="00E420CF" w:rsidRPr="00D644C0">
        <w:rPr>
          <w:rFonts w:asciiTheme="minorEastAsia" w:hAnsiTheme="minorEastAsia"/>
          <w:sz w:val="24"/>
          <w:szCs w:val="24"/>
        </w:rPr>
        <w:t>202</w:t>
      </w:r>
      <w:r w:rsidR="00E420CF">
        <w:rPr>
          <w:rFonts w:asciiTheme="minorEastAsia" w:hAnsiTheme="minorEastAsia"/>
          <w:sz w:val="24"/>
          <w:szCs w:val="24"/>
        </w:rPr>
        <w:t>6</w:t>
      </w:r>
      <w:r w:rsidR="00483A3B" w:rsidRPr="00D644C0">
        <w:rPr>
          <w:rFonts w:asciiTheme="minorEastAsia" w:hAnsiTheme="minorEastAsia"/>
          <w:sz w:val="24"/>
          <w:szCs w:val="24"/>
        </w:rPr>
        <w:t>年</w:t>
      </w:r>
      <w:r w:rsidR="00E420CF">
        <w:rPr>
          <w:rFonts w:asciiTheme="minorEastAsia" w:hAnsiTheme="minorEastAsia"/>
          <w:sz w:val="24"/>
          <w:szCs w:val="24"/>
        </w:rPr>
        <w:t>4</w:t>
      </w:r>
      <w:r w:rsidR="00483A3B" w:rsidRPr="00D644C0">
        <w:rPr>
          <w:rFonts w:asciiTheme="minorEastAsia" w:hAnsiTheme="minorEastAsia"/>
          <w:sz w:val="24"/>
          <w:szCs w:val="24"/>
        </w:rPr>
        <w:t>月</w:t>
      </w:r>
      <w:r w:rsidR="00E420CF">
        <w:rPr>
          <w:rFonts w:asciiTheme="minorEastAsia" w:hAnsiTheme="minorEastAsia"/>
          <w:sz w:val="24"/>
          <w:szCs w:val="24"/>
        </w:rPr>
        <w:t>21</w:t>
      </w:r>
      <w:r w:rsidR="00483A3B" w:rsidRPr="00D644C0">
        <w:rPr>
          <w:rFonts w:asciiTheme="minorEastAsia" w:hAnsiTheme="minorEastAsia"/>
          <w:sz w:val="24"/>
          <w:szCs w:val="24"/>
        </w:rPr>
        <w:t>日</w:t>
      </w:r>
      <w:r w:rsidR="00526235" w:rsidRPr="00D644C0">
        <w:rPr>
          <w:rFonts w:asciiTheme="minorEastAsia" w:hAnsiTheme="minorEastAsia"/>
          <w:sz w:val="24"/>
          <w:szCs w:val="24"/>
        </w:rPr>
        <w:t>起，</w:t>
      </w:r>
      <w:r w:rsidR="00656ADD" w:rsidRPr="00D644C0">
        <w:rPr>
          <w:rFonts w:asciiTheme="minorEastAsia" w:hAnsiTheme="minorEastAsia" w:hint="eastAsia"/>
          <w:sz w:val="24"/>
          <w:szCs w:val="24"/>
        </w:rPr>
        <w:t>调整</w:t>
      </w:r>
      <w:r w:rsidR="00A4211F">
        <w:rPr>
          <w:rFonts w:asciiTheme="minorEastAsia" w:hAnsiTheme="minorEastAsia" w:hint="eastAsia"/>
          <w:sz w:val="24"/>
          <w:szCs w:val="24"/>
        </w:rPr>
        <w:t>汇添富6月红添利定期开放债券型证券投资基金</w:t>
      </w:r>
      <w:r w:rsidR="00961A0B" w:rsidRPr="00961A0B">
        <w:rPr>
          <w:rFonts w:asciiTheme="minorEastAsia" w:hAnsiTheme="minorEastAsia" w:hint="eastAsia"/>
          <w:sz w:val="24"/>
          <w:szCs w:val="24"/>
        </w:rPr>
        <w:t>（以下简称“本基金”）</w:t>
      </w:r>
      <w:r w:rsidR="00656ADD" w:rsidRPr="00D644C0">
        <w:rPr>
          <w:rFonts w:asciiTheme="minorEastAsia" w:hAnsiTheme="minorEastAsia" w:hint="eastAsia"/>
          <w:sz w:val="24"/>
          <w:szCs w:val="24"/>
        </w:rPr>
        <w:t>开放期设置</w:t>
      </w:r>
      <w:r w:rsidRPr="00D644C0">
        <w:rPr>
          <w:rFonts w:asciiTheme="minorEastAsia" w:hAnsiTheme="minorEastAsia"/>
          <w:sz w:val="24"/>
          <w:szCs w:val="24"/>
        </w:rPr>
        <w:t>，</w:t>
      </w:r>
      <w:r w:rsidR="0096626C" w:rsidRPr="0096626C">
        <w:rPr>
          <w:rFonts w:asciiTheme="minorEastAsia" w:hAnsiTheme="minorEastAsia"/>
          <w:sz w:val="24"/>
          <w:szCs w:val="24"/>
        </w:rPr>
        <w:t>同时更新基金</w:t>
      </w:r>
      <w:r w:rsidR="00AD757A">
        <w:rPr>
          <w:rFonts w:asciiTheme="minorEastAsia" w:hAnsiTheme="minorEastAsia" w:hint="eastAsia"/>
          <w:sz w:val="24"/>
          <w:szCs w:val="24"/>
        </w:rPr>
        <w:t>管理人</w:t>
      </w:r>
      <w:r w:rsidR="0096626C" w:rsidRPr="0096626C">
        <w:rPr>
          <w:rFonts w:asciiTheme="minorEastAsia" w:hAnsiTheme="minorEastAsia"/>
          <w:sz w:val="24"/>
          <w:szCs w:val="24"/>
        </w:rPr>
        <w:t>信息</w:t>
      </w:r>
      <w:r w:rsidR="0096626C">
        <w:rPr>
          <w:rFonts w:asciiTheme="minorEastAsia" w:hAnsiTheme="minorEastAsia" w:hint="eastAsia"/>
          <w:sz w:val="24"/>
          <w:szCs w:val="24"/>
        </w:rPr>
        <w:t>，</w:t>
      </w:r>
      <w:r w:rsidR="005E2726" w:rsidRPr="00D644C0">
        <w:rPr>
          <w:rFonts w:asciiTheme="minorEastAsia" w:hAnsiTheme="minorEastAsia"/>
          <w:sz w:val="24"/>
          <w:szCs w:val="24"/>
        </w:rPr>
        <w:t>并</w:t>
      </w:r>
      <w:r w:rsidR="005E2726" w:rsidRPr="00D644C0">
        <w:rPr>
          <w:rFonts w:asciiTheme="minorEastAsia" w:hAnsiTheme="minorEastAsia" w:hint="eastAsia"/>
          <w:sz w:val="24"/>
          <w:szCs w:val="24"/>
        </w:rPr>
        <w:t>相应修订</w:t>
      </w:r>
      <w:r w:rsidRPr="00D644C0">
        <w:rPr>
          <w:rFonts w:asciiTheme="minorEastAsia" w:hAnsiTheme="minorEastAsia" w:hint="eastAsia"/>
          <w:sz w:val="24"/>
          <w:szCs w:val="24"/>
        </w:rPr>
        <w:t>《基金合同》</w:t>
      </w:r>
      <w:r w:rsidR="005E2726" w:rsidRPr="00D644C0">
        <w:rPr>
          <w:rFonts w:asciiTheme="minorEastAsia" w:hAnsiTheme="minorEastAsia"/>
          <w:sz w:val="24"/>
          <w:szCs w:val="24"/>
        </w:rPr>
        <w:t>等法律文件的相关条款。现将有关事项公告如下：</w:t>
      </w:r>
    </w:p>
    <w:p w:rsidR="002637F7" w:rsidRPr="00D644C0" w:rsidRDefault="00B84DE0" w:rsidP="002637F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 w:rsidR="00D50D8B" w:rsidRPr="00D644C0">
        <w:rPr>
          <w:rFonts w:asciiTheme="minorEastAsia" w:hAnsiTheme="minorEastAsia" w:hint="eastAsia"/>
          <w:b/>
          <w:sz w:val="24"/>
          <w:szCs w:val="24"/>
        </w:rPr>
        <w:t>、</w:t>
      </w:r>
      <w:r w:rsidR="00CB249A" w:rsidRPr="00D644C0">
        <w:rPr>
          <w:rFonts w:asciiTheme="minorEastAsia" w:hAnsiTheme="minorEastAsia" w:hint="eastAsia"/>
          <w:b/>
          <w:sz w:val="24"/>
          <w:szCs w:val="24"/>
        </w:rPr>
        <w:t>调整开放期设置</w:t>
      </w:r>
    </w:p>
    <w:p w:rsidR="002637F7" w:rsidRPr="00D644C0" w:rsidRDefault="00CB249A" w:rsidP="00A43D0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本基金开放期设置由“</w:t>
      </w:r>
      <w:r w:rsidR="00A4211F">
        <w:rPr>
          <w:rFonts w:asciiTheme="minorEastAsia" w:hAnsiTheme="minorEastAsia" w:hint="eastAsia"/>
          <w:sz w:val="24"/>
          <w:szCs w:val="24"/>
        </w:rPr>
        <w:t>为3</w:t>
      </w:r>
      <w:r w:rsidR="00960039" w:rsidRPr="00960039">
        <w:rPr>
          <w:rFonts w:asciiTheme="minorEastAsia" w:hAnsiTheme="minorEastAsia" w:hint="eastAsia"/>
          <w:sz w:val="24"/>
          <w:szCs w:val="24"/>
        </w:rPr>
        <w:t>个工作日</w:t>
      </w:r>
      <w:r w:rsidRPr="00D644C0">
        <w:rPr>
          <w:rFonts w:asciiTheme="minorEastAsia" w:hAnsiTheme="minorEastAsia" w:hint="eastAsia"/>
          <w:sz w:val="24"/>
          <w:szCs w:val="24"/>
        </w:rPr>
        <w:t>”调整为“</w:t>
      </w:r>
      <w:r w:rsidR="00960039" w:rsidRPr="00960039">
        <w:rPr>
          <w:rFonts w:asciiTheme="minorEastAsia" w:hAnsiTheme="minorEastAsia" w:hint="eastAsia"/>
          <w:sz w:val="24"/>
          <w:szCs w:val="24"/>
        </w:rPr>
        <w:t>不少于1个工作日、不超过</w:t>
      </w:r>
      <w:r w:rsidR="00960039">
        <w:rPr>
          <w:rFonts w:asciiTheme="minorEastAsia" w:hAnsiTheme="minorEastAsia" w:hint="eastAsia"/>
          <w:sz w:val="24"/>
          <w:szCs w:val="24"/>
        </w:rPr>
        <w:t>20</w:t>
      </w:r>
      <w:r w:rsidR="00960039" w:rsidRPr="00960039">
        <w:rPr>
          <w:rFonts w:asciiTheme="minorEastAsia" w:hAnsiTheme="minorEastAsia" w:hint="eastAsia"/>
          <w:sz w:val="24"/>
          <w:szCs w:val="24"/>
        </w:rPr>
        <w:t>个工作日</w:t>
      </w:r>
      <w:r w:rsidRPr="00D644C0">
        <w:rPr>
          <w:rFonts w:asciiTheme="minorEastAsia" w:hAnsiTheme="minorEastAsia" w:hint="eastAsia"/>
          <w:sz w:val="24"/>
          <w:szCs w:val="24"/>
        </w:rPr>
        <w:t>”。</w:t>
      </w:r>
    </w:p>
    <w:p w:rsidR="00775C91" w:rsidRPr="00D644C0" w:rsidRDefault="00B84DE0" w:rsidP="00775C9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="00775C91" w:rsidRPr="00D644C0">
        <w:rPr>
          <w:rFonts w:asciiTheme="minorEastAsia" w:hAnsiTheme="minorEastAsia" w:hint="eastAsia"/>
          <w:b/>
          <w:sz w:val="24"/>
          <w:szCs w:val="24"/>
        </w:rPr>
        <w:t>、重要提示</w:t>
      </w:r>
    </w:p>
    <w:p w:rsidR="00EF177C" w:rsidRPr="00D644C0" w:rsidRDefault="00EF177C" w:rsidP="00EF17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1、本</w:t>
      </w:r>
      <w:r w:rsidR="001E7652" w:rsidRPr="00D644C0">
        <w:rPr>
          <w:rFonts w:asciiTheme="minorEastAsia" w:hAnsiTheme="minorEastAsia" w:hint="eastAsia"/>
          <w:sz w:val="24"/>
          <w:szCs w:val="24"/>
        </w:rPr>
        <w:t>次</w:t>
      </w:r>
      <w:r w:rsidRPr="00D644C0">
        <w:rPr>
          <w:rFonts w:asciiTheme="minorEastAsia" w:hAnsiTheme="minorEastAsia" w:hint="eastAsia"/>
          <w:sz w:val="24"/>
          <w:szCs w:val="24"/>
        </w:rPr>
        <w:t>修订系因</w:t>
      </w:r>
      <w:r w:rsidR="00D644C0" w:rsidRPr="00D644C0">
        <w:rPr>
          <w:rFonts w:asciiTheme="minorEastAsia" w:hAnsiTheme="minorEastAsia" w:hint="eastAsia"/>
          <w:sz w:val="24"/>
          <w:szCs w:val="24"/>
        </w:rPr>
        <w:t>调整开放期设置</w:t>
      </w:r>
      <w:r w:rsidRPr="00D644C0">
        <w:rPr>
          <w:rFonts w:asciiTheme="minorEastAsia" w:hAnsiTheme="minorEastAsia" w:hint="eastAsia"/>
          <w:sz w:val="24"/>
          <w:szCs w:val="24"/>
        </w:rPr>
        <w:t>而作出，</w:t>
      </w:r>
      <w:r w:rsidR="00AA3C02" w:rsidRPr="00D644C0">
        <w:rPr>
          <w:rFonts w:asciiTheme="minorEastAsia" w:hAnsiTheme="minorEastAsia" w:hint="eastAsia"/>
          <w:sz w:val="24"/>
          <w:szCs w:val="24"/>
        </w:rPr>
        <w:t>对基金份额持有人利益无实质性不利影响，</w:t>
      </w:r>
      <w:r w:rsidR="006E0F31" w:rsidRPr="00D644C0">
        <w:rPr>
          <w:rFonts w:asciiTheme="minorEastAsia" w:hAnsiTheme="minorEastAsia" w:hint="eastAsia"/>
          <w:sz w:val="24"/>
          <w:szCs w:val="24"/>
        </w:rPr>
        <w:t>属于《基金合同》约定的不需召开基金份额持有人大会的事项</w:t>
      </w:r>
      <w:r w:rsidRPr="00D644C0">
        <w:rPr>
          <w:rFonts w:asciiTheme="minorEastAsia" w:hAnsiTheme="minorEastAsia" w:hint="eastAsia"/>
          <w:sz w:val="24"/>
          <w:szCs w:val="24"/>
        </w:rPr>
        <w:t>，</w:t>
      </w:r>
      <w:r w:rsidR="005C60FB" w:rsidRPr="00D644C0">
        <w:rPr>
          <w:rFonts w:asciiTheme="minorEastAsia" w:hAnsiTheme="minorEastAsia" w:hint="eastAsia"/>
          <w:sz w:val="24"/>
          <w:szCs w:val="24"/>
        </w:rPr>
        <w:t>可由基金管理人和基金托管人协商后修改，</w:t>
      </w:r>
      <w:r w:rsidRPr="00D644C0">
        <w:rPr>
          <w:rFonts w:asciiTheme="minorEastAsia" w:hAnsiTheme="minorEastAsia" w:hint="eastAsia"/>
          <w:sz w:val="24"/>
          <w:szCs w:val="24"/>
        </w:rPr>
        <w:t>并已履行了规定的程序，符合相关法律法规的规定及《基金合同》的约定。</w:t>
      </w:r>
      <w:bookmarkStart w:id="0" w:name="_GoBack"/>
      <w:bookmarkEnd w:id="0"/>
      <w:r w:rsidRPr="00D644C0">
        <w:rPr>
          <w:rFonts w:asciiTheme="minorEastAsia" w:hAnsiTheme="minorEastAsia" w:hint="eastAsia"/>
          <w:sz w:val="24"/>
          <w:szCs w:val="24"/>
        </w:rPr>
        <w:t>上述修订内容自</w:t>
      </w:r>
      <w:r w:rsidR="00E420CF" w:rsidRPr="00D644C0">
        <w:rPr>
          <w:rFonts w:asciiTheme="minorEastAsia" w:hAnsiTheme="minorEastAsia"/>
          <w:sz w:val="24"/>
          <w:szCs w:val="24"/>
        </w:rPr>
        <w:t>202</w:t>
      </w:r>
      <w:r w:rsidR="00E420CF">
        <w:rPr>
          <w:rFonts w:asciiTheme="minorEastAsia" w:hAnsiTheme="minorEastAsia"/>
          <w:sz w:val="24"/>
          <w:szCs w:val="24"/>
        </w:rPr>
        <w:t>6</w:t>
      </w:r>
      <w:r w:rsidR="00E420CF" w:rsidRPr="00D644C0">
        <w:rPr>
          <w:rFonts w:asciiTheme="minorEastAsia" w:hAnsiTheme="minorEastAsia"/>
          <w:sz w:val="24"/>
          <w:szCs w:val="24"/>
        </w:rPr>
        <w:t>年</w:t>
      </w:r>
      <w:r w:rsidR="00E420CF">
        <w:rPr>
          <w:rFonts w:asciiTheme="minorEastAsia" w:hAnsiTheme="minorEastAsia"/>
          <w:sz w:val="24"/>
          <w:szCs w:val="24"/>
        </w:rPr>
        <w:t>4</w:t>
      </w:r>
      <w:r w:rsidR="00E420CF" w:rsidRPr="00D644C0">
        <w:rPr>
          <w:rFonts w:asciiTheme="minorEastAsia" w:hAnsiTheme="minorEastAsia"/>
          <w:sz w:val="24"/>
          <w:szCs w:val="24"/>
        </w:rPr>
        <w:t>月</w:t>
      </w:r>
      <w:r w:rsidR="00E420CF">
        <w:rPr>
          <w:rFonts w:asciiTheme="minorEastAsia" w:hAnsiTheme="minorEastAsia"/>
          <w:sz w:val="24"/>
          <w:szCs w:val="24"/>
        </w:rPr>
        <w:t>21</w:t>
      </w:r>
      <w:r w:rsidR="00E420CF" w:rsidRPr="00D644C0">
        <w:rPr>
          <w:rFonts w:asciiTheme="minorEastAsia" w:hAnsiTheme="minorEastAsia"/>
          <w:sz w:val="24"/>
          <w:szCs w:val="24"/>
        </w:rPr>
        <w:t>日</w:t>
      </w:r>
      <w:r w:rsidRPr="00D644C0">
        <w:rPr>
          <w:rFonts w:asciiTheme="minorEastAsia" w:hAnsiTheme="minorEastAsia" w:hint="eastAsia"/>
          <w:sz w:val="24"/>
          <w:szCs w:val="24"/>
        </w:rPr>
        <w:t>起生效。</w:t>
      </w:r>
    </w:p>
    <w:p w:rsidR="00EF177C" w:rsidRPr="00D644C0" w:rsidRDefault="00EF177C" w:rsidP="00EF17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2、根据《基金合同》</w:t>
      </w:r>
      <w:r w:rsidR="001E7652" w:rsidRPr="00D644C0">
        <w:rPr>
          <w:rFonts w:asciiTheme="minorEastAsia" w:hAnsiTheme="minorEastAsia" w:hint="eastAsia"/>
          <w:sz w:val="24"/>
          <w:szCs w:val="24"/>
        </w:rPr>
        <w:t>的</w:t>
      </w:r>
      <w:r w:rsidRPr="00D644C0">
        <w:rPr>
          <w:rFonts w:asciiTheme="minorEastAsia" w:hAnsiTheme="minorEastAsia" w:hint="eastAsia"/>
          <w:sz w:val="24"/>
          <w:szCs w:val="24"/>
        </w:rPr>
        <w:t>修订内容，本基金管理人将同时对本基金的</w:t>
      </w:r>
      <w:r w:rsidR="009566B0">
        <w:rPr>
          <w:rFonts w:asciiTheme="minorEastAsia" w:hAnsiTheme="minorEastAsia" w:hint="eastAsia"/>
          <w:sz w:val="24"/>
          <w:szCs w:val="24"/>
        </w:rPr>
        <w:t>托管协议、</w:t>
      </w:r>
      <w:r w:rsidRPr="00D644C0">
        <w:rPr>
          <w:rFonts w:asciiTheme="minorEastAsia" w:hAnsiTheme="minorEastAsia" w:hint="eastAsia"/>
          <w:sz w:val="24"/>
          <w:szCs w:val="24"/>
        </w:rPr>
        <w:t>招募说明书中的相关内容进行更新。</w:t>
      </w:r>
    </w:p>
    <w:p w:rsidR="00EF177C" w:rsidRPr="00D644C0" w:rsidRDefault="00EF177C" w:rsidP="00EF17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3、修订后的《基金合同》全文于</w:t>
      </w:r>
      <w:r w:rsidR="00E420CF" w:rsidRPr="00D644C0">
        <w:rPr>
          <w:rFonts w:asciiTheme="minorEastAsia" w:hAnsiTheme="minorEastAsia"/>
          <w:sz w:val="24"/>
          <w:szCs w:val="24"/>
        </w:rPr>
        <w:t>202</w:t>
      </w:r>
      <w:r w:rsidR="00E420CF">
        <w:rPr>
          <w:rFonts w:asciiTheme="minorEastAsia" w:hAnsiTheme="minorEastAsia"/>
          <w:sz w:val="24"/>
          <w:szCs w:val="24"/>
        </w:rPr>
        <w:t>6</w:t>
      </w:r>
      <w:r w:rsidR="00E420CF" w:rsidRPr="00D644C0">
        <w:rPr>
          <w:rFonts w:asciiTheme="minorEastAsia" w:hAnsiTheme="minorEastAsia"/>
          <w:sz w:val="24"/>
          <w:szCs w:val="24"/>
        </w:rPr>
        <w:t>年</w:t>
      </w:r>
      <w:r w:rsidR="00E420CF">
        <w:rPr>
          <w:rFonts w:asciiTheme="minorEastAsia" w:hAnsiTheme="minorEastAsia"/>
          <w:sz w:val="24"/>
          <w:szCs w:val="24"/>
        </w:rPr>
        <w:t>4</w:t>
      </w:r>
      <w:r w:rsidR="00E420CF" w:rsidRPr="00D644C0">
        <w:rPr>
          <w:rFonts w:asciiTheme="minorEastAsia" w:hAnsiTheme="minorEastAsia"/>
          <w:sz w:val="24"/>
          <w:szCs w:val="24"/>
        </w:rPr>
        <w:t>月</w:t>
      </w:r>
      <w:r w:rsidR="00E420CF">
        <w:rPr>
          <w:rFonts w:asciiTheme="minorEastAsia" w:hAnsiTheme="minorEastAsia"/>
          <w:sz w:val="24"/>
          <w:szCs w:val="24"/>
        </w:rPr>
        <w:t>20</w:t>
      </w:r>
      <w:r w:rsidR="00E420CF" w:rsidRPr="00D644C0">
        <w:rPr>
          <w:rFonts w:asciiTheme="minorEastAsia" w:hAnsiTheme="minorEastAsia"/>
          <w:sz w:val="24"/>
          <w:szCs w:val="24"/>
        </w:rPr>
        <w:t>日</w:t>
      </w:r>
      <w:r w:rsidRPr="00D644C0">
        <w:rPr>
          <w:rFonts w:asciiTheme="minorEastAsia" w:hAnsiTheme="minorEastAsia" w:hint="eastAsia"/>
          <w:sz w:val="24"/>
          <w:szCs w:val="24"/>
        </w:rPr>
        <w:t>在本基金管理人网站（www.99fund.com）和中国证监会基金电子披露网站（http://eid.csrc.gov.cn/fund）披露，供投资者查阅。</w:t>
      </w:r>
    </w:p>
    <w:p w:rsidR="00EF177C" w:rsidRPr="00D644C0" w:rsidRDefault="00EF177C" w:rsidP="00EF17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775C91" w:rsidRPr="00D644C0" w:rsidRDefault="00EF177C" w:rsidP="00EF177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特此公告。</w:t>
      </w:r>
    </w:p>
    <w:p w:rsidR="00F83229" w:rsidRPr="00D644C0" w:rsidRDefault="00F83229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汇添富基金管理股份有限公司</w:t>
      </w:r>
    </w:p>
    <w:p w:rsidR="00775C91" w:rsidRPr="00D644C0" w:rsidRDefault="00E420CF" w:rsidP="00775C9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E420CF">
        <w:rPr>
          <w:rFonts w:asciiTheme="minorEastAsia" w:hAnsiTheme="minorEastAsia" w:hint="eastAsia"/>
          <w:sz w:val="24"/>
          <w:szCs w:val="24"/>
        </w:rPr>
        <w:t>2026年4月20日</w:t>
      </w:r>
    </w:p>
    <w:p w:rsidR="00A4211F" w:rsidRDefault="00A4211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D644C0" w:rsidRPr="00D644C0" w:rsidRDefault="00D644C0" w:rsidP="00D644C0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D644C0">
        <w:rPr>
          <w:rFonts w:asciiTheme="minorEastAsia" w:hAnsiTheme="minorEastAsia" w:hint="eastAsia"/>
          <w:b/>
          <w:sz w:val="24"/>
          <w:szCs w:val="24"/>
        </w:rPr>
        <w:t>附件：</w:t>
      </w:r>
      <w:r w:rsidR="00A4211F">
        <w:rPr>
          <w:rFonts w:asciiTheme="minorEastAsia" w:hAnsiTheme="minorEastAsia" w:hint="eastAsia"/>
          <w:b/>
          <w:sz w:val="24"/>
          <w:szCs w:val="24"/>
        </w:rPr>
        <w:t>汇添富6月红添利定期开放债券型证券投资基金</w:t>
      </w:r>
      <w:r w:rsidRPr="00D644C0">
        <w:rPr>
          <w:rFonts w:asciiTheme="minorEastAsia" w:hAnsiTheme="minorEastAsia" w:hint="eastAsia"/>
          <w:b/>
          <w:sz w:val="24"/>
          <w:szCs w:val="24"/>
        </w:rPr>
        <w:t>法律文件的修订内容要点</w:t>
      </w:r>
    </w:p>
    <w:p w:rsidR="00D644C0" w:rsidRPr="00D644C0" w:rsidRDefault="00D644C0" w:rsidP="00D644C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4C0">
        <w:rPr>
          <w:rFonts w:asciiTheme="minorEastAsia" w:hAnsiTheme="minorEastAsia" w:hint="eastAsia"/>
          <w:sz w:val="24"/>
          <w:szCs w:val="24"/>
        </w:rPr>
        <w:t>一、《</w:t>
      </w:r>
      <w:r w:rsidR="00A4211F">
        <w:rPr>
          <w:rFonts w:asciiTheme="minorEastAsia" w:hAnsiTheme="minorEastAsia" w:hint="eastAsia"/>
          <w:sz w:val="24"/>
          <w:szCs w:val="24"/>
        </w:rPr>
        <w:t>汇添富6月红添利定期开放债券型证券投资基金</w:t>
      </w:r>
      <w:r w:rsidRPr="00D644C0">
        <w:rPr>
          <w:rFonts w:asciiTheme="minorEastAsia" w:hAnsiTheme="minorEastAsia" w:hint="eastAsia"/>
          <w:sz w:val="24"/>
          <w:szCs w:val="24"/>
        </w:rPr>
        <w:t>基金合同》修订内容要点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5"/>
        <w:gridCol w:w="6521"/>
      </w:tblGrid>
      <w:tr w:rsidR="00D644C0" w:rsidRPr="00D644C0" w:rsidTr="00D644C0">
        <w:tc>
          <w:tcPr>
            <w:tcW w:w="1775" w:type="dxa"/>
            <w:shd w:val="clear" w:color="auto" w:fill="auto"/>
            <w:vAlign w:val="center"/>
          </w:tcPr>
          <w:p w:rsidR="00D644C0" w:rsidRPr="00D644C0" w:rsidRDefault="00D644C0" w:rsidP="00D644C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44C0">
              <w:rPr>
                <w:rFonts w:asciiTheme="minorEastAsia" w:hAnsiTheme="minorEastAsia" w:hint="eastAsia"/>
                <w:b/>
                <w:sz w:val="24"/>
                <w:szCs w:val="24"/>
              </w:rPr>
              <w:t>章节</w:t>
            </w:r>
          </w:p>
        </w:tc>
        <w:tc>
          <w:tcPr>
            <w:tcW w:w="6521" w:type="dxa"/>
            <w:shd w:val="clear" w:color="auto" w:fill="auto"/>
          </w:tcPr>
          <w:p w:rsidR="00D644C0" w:rsidRPr="00D644C0" w:rsidRDefault="00D644C0" w:rsidP="002914F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44C0">
              <w:rPr>
                <w:rFonts w:asciiTheme="minorEastAsia" w:hAnsiTheme="minorEastAsia" w:hint="eastAsia"/>
                <w:b/>
                <w:sz w:val="24"/>
                <w:szCs w:val="24"/>
              </w:rPr>
              <w:t>修订内容</w:t>
            </w:r>
          </w:p>
        </w:tc>
      </w:tr>
      <w:tr w:rsidR="00921082" w:rsidRPr="00D644C0" w:rsidTr="00D644C0">
        <w:tc>
          <w:tcPr>
            <w:tcW w:w="1775" w:type="dxa"/>
            <w:shd w:val="clear" w:color="auto" w:fill="auto"/>
            <w:vAlign w:val="center"/>
          </w:tcPr>
          <w:p w:rsidR="00921082" w:rsidRPr="00D644C0" w:rsidRDefault="00921082" w:rsidP="0092108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4C0">
              <w:rPr>
                <w:rFonts w:asciiTheme="minorEastAsia" w:hAnsiTheme="minorEastAsia" w:hint="eastAsia"/>
                <w:sz w:val="24"/>
                <w:szCs w:val="24"/>
              </w:rPr>
              <w:t>释义</w:t>
            </w:r>
          </w:p>
        </w:tc>
        <w:tc>
          <w:tcPr>
            <w:tcW w:w="6521" w:type="dxa"/>
            <w:shd w:val="clear" w:color="auto" w:fill="auto"/>
          </w:tcPr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44、开放期：每个封闭期结束后的下一工作日起进入开放期。第一个开放期的首日为基金合同生效日 6个月后的月度对日，第二个及以后的开放期的首日为上一个开放期结束次日的6个月后的月度对日。本基金的每个开放期</w:t>
            </w:r>
            <w:r w:rsidR="00A4211F" w:rsidRPr="00EE081D">
              <w:rPr>
                <w:rFonts w:asciiTheme="minorEastAsia" w:hAnsiTheme="minorEastAsia" w:hint="eastAsia"/>
                <w:b/>
                <w:bCs/>
                <w:sz w:val="24"/>
              </w:rPr>
              <w:t>为</w:t>
            </w:r>
            <w:r w:rsidR="00A4211F" w:rsidRPr="00A4211F">
              <w:rPr>
                <w:rFonts w:asciiTheme="minorEastAsia" w:hAnsiTheme="minorEastAsia" w:hint="eastAsia"/>
                <w:b/>
                <w:bCs/>
                <w:sz w:val="24"/>
              </w:rPr>
              <w:t>3个工作日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921082">
              <w:rPr>
                <w:rFonts w:asciiTheme="minorEastAsia" w:hAnsiTheme="minorEastAsia"/>
                <w:b/>
                <w:bCs/>
                <w:sz w:val="24"/>
              </w:rPr>
              <w:t>修改为</w:t>
            </w:r>
            <w:r w:rsidRPr="00921082">
              <w:rPr>
                <w:rFonts w:asciiTheme="minorEastAsia" w:hAnsiTheme="minorEastAsia" w:hint="eastAsia"/>
                <w:b/>
                <w:bCs/>
                <w:sz w:val="24"/>
              </w:rPr>
              <w:t>：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44、开放期：每个封闭期结束后的下一工作日起进入开放期。第一个开放期的首日为基金合同生效日 6个月后的月度对日，第二个及以后的开放期的首日为上一个开放期结束次日的6个月后的月度对日。本基金的每个开放期</w:t>
            </w:r>
            <w:r w:rsidR="00A4211F" w:rsidRPr="00A4211F">
              <w:rPr>
                <w:rFonts w:asciiTheme="minorEastAsia" w:hAnsiTheme="minorEastAsia" w:hint="eastAsia"/>
                <w:b/>
                <w:bCs/>
                <w:sz w:val="24"/>
              </w:rPr>
              <w:t>不少于1 个工作日、不超过20 个工作日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</w:tc>
      </w:tr>
      <w:tr w:rsidR="00921082" w:rsidRPr="00D644C0" w:rsidTr="00D644C0">
        <w:tc>
          <w:tcPr>
            <w:tcW w:w="1775" w:type="dxa"/>
            <w:shd w:val="clear" w:color="auto" w:fill="auto"/>
            <w:vAlign w:val="center"/>
          </w:tcPr>
          <w:p w:rsidR="00921082" w:rsidRPr="00D644C0" w:rsidRDefault="00921082" w:rsidP="0092108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4C0">
              <w:rPr>
                <w:rFonts w:asciiTheme="minorEastAsia" w:hAnsiTheme="minorEastAsia" w:hint="eastAsia"/>
                <w:sz w:val="24"/>
                <w:szCs w:val="24"/>
              </w:rPr>
              <w:t>基金的基本情况</w:t>
            </w:r>
          </w:p>
        </w:tc>
        <w:tc>
          <w:tcPr>
            <w:tcW w:w="6521" w:type="dxa"/>
            <w:shd w:val="clear" w:color="auto" w:fill="auto"/>
          </w:tcPr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每个封闭期结束后的下一工作日起进入开放期。本基金的每个开放期</w:t>
            </w:r>
            <w:r w:rsidR="00A4211F" w:rsidRPr="00EE081D">
              <w:rPr>
                <w:rFonts w:asciiTheme="minorEastAsia" w:hAnsiTheme="minorEastAsia" w:hint="eastAsia"/>
                <w:b/>
                <w:bCs/>
                <w:sz w:val="24"/>
              </w:rPr>
              <w:t>为3个工作日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。在开放期间本基金采取开放运作模式，投资人可办理基金份额申购、赎回或其他业务。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921082">
              <w:rPr>
                <w:rFonts w:asciiTheme="minorEastAsia" w:hAnsiTheme="minorEastAsia"/>
                <w:b/>
                <w:bCs/>
                <w:sz w:val="24"/>
              </w:rPr>
              <w:t>修改为</w:t>
            </w:r>
            <w:r w:rsidRPr="00921082">
              <w:rPr>
                <w:rFonts w:asciiTheme="minorEastAsia" w:hAnsiTheme="minorEastAsia" w:hint="eastAsia"/>
                <w:b/>
                <w:bCs/>
                <w:sz w:val="24"/>
              </w:rPr>
              <w:t>：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每个封闭期结束后的下一工作日起进入开放期。本基金的每个开放期</w:t>
            </w:r>
            <w:r w:rsidR="00A4211F" w:rsidRPr="00EE081D">
              <w:rPr>
                <w:rFonts w:asciiTheme="minorEastAsia" w:hAnsiTheme="minorEastAsia" w:hint="eastAsia"/>
                <w:b/>
                <w:bCs/>
                <w:sz w:val="24"/>
              </w:rPr>
              <w:t>不少于1 个工作日、不超过20 个工作日</w:t>
            </w:r>
            <w:r w:rsidR="00A4211F" w:rsidRPr="00A4211F">
              <w:rPr>
                <w:rFonts w:asciiTheme="minorEastAsia" w:hAnsiTheme="minorEastAsia" w:hint="eastAsia"/>
                <w:sz w:val="24"/>
              </w:rPr>
              <w:t>。在开放期间本基金采取开放运作模式，投资人可办理基金份额申购、赎回或其他业务。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</w:tc>
      </w:tr>
      <w:tr w:rsidR="00921082" w:rsidRPr="00D644C0" w:rsidTr="00D644C0">
        <w:tc>
          <w:tcPr>
            <w:tcW w:w="1775" w:type="dxa"/>
            <w:shd w:val="clear" w:color="auto" w:fill="auto"/>
            <w:vAlign w:val="center"/>
          </w:tcPr>
          <w:p w:rsidR="00921082" w:rsidRPr="00D644C0" w:rsidRDefault="00921082" w:rsidP="0092108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4C0">
              <w:rPr>
                <w:rFonts w:asciiTheme="minorEastAsia" w:hAnsiTheme="minorEastAsia" w:hint="eastAsia"/>
                <w:sz w:val="24"/>
                <w:szCs w:val="24"/>
              </w:rPr>
              <w:t>基金份额的申购与赎回</w:t>
            </w:r>
          </w:p>
        </w:tc>
        <w:tc>
          <w:tcPr>
            <w:tcW w:w="6521" w:type="dxa"/>
            <w:shd w:val="clear" w:color="auto" w:fill="auto"/>
          </w:tcPr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EE081D" w:rsidRPr="00EE081D">
              <w:rPr>
                <w:rFonts w:asciiTheme="minorEastAsia" w:hAnsiTheme="minorEastAsia" w:hint="eastAsia"/>
                <w:sz w:val="24"/>
              </w:rPr>
              <w:t>除法律法规或基金合同另有约定外，自每个封闭期结束后的下一工作日起进入开放期。本基金的每个开放期</w:t>
            </w:r>
            <w:r w:rsidR="00EE081D" w:rsidRPr="00EE081D">
              <w:rPr>
                <w:rFonts w:asciiTheme="minorEastAsia" w:hAnsiTheme="minorEastAsia" w:hint="eastAsia"/>
                <w:b/>
                <w:bCs/>
                <w:sz w:val="24"/>
              </w:rPr>
              <w:t>为3个工作日</w:t>
            </w:r>
            <w:r w:rsidR="00EE081D" w:rsidRPr="00EE081D">
              <w:rPr>
                <w:rFonts w:asciiTheme="minorEastAsia" w:hAnsiTheme="minorEastAsia" w:hint="eastAsia"/>
                <w:sz w:val="24"/>
              </w:rPr>
              <w:t>。在开放期间本基金采取开放运作模式，投资人可办理基金份额申购、赎回或其他业务。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 w:rsidRPr="00921082">
              <w:rPr>
                <w:rFonts w:asciiTheme="minorEastAsia" w:hAnsiTheme="minorEastAsia"/>
                <w:b/>
                <w:bCs/>
                <w:sz w:val="24"/>
              </w:rPr>
              <w:t>修改为</w:t>
            </w:r>
            <w:r w:rsidRPr="00921082">
              <w:rPr>
                <w:rFonts w:asciiTheme="minorEastAsia" w:hAnsiTheme="minorEastAsia" w:hint="eastAsia"/>
                <w:b/>
                <w:bCs/>
                <w:sz w:val="24"/>
              </w:rPr>
              <w:t>：</w:t>
            </w:r>
          </w:p>
          <w:p w:rsidR="00921082" w:rsidRPr="00921082" w:rsidRDefault="00921082" w:rsidP="0092108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1082">
              <w:rPr>
                <w:rFonts w:asciiTheme="minorEastAsia" w:hAnsiTheme="minorEastAsia" w:hint="eastAsia"/>
                <w:sz w:val="24"/>
              </w:rPr>
              <w:t>“</w:t>
            </w:r>
            <w:r w:rsidR="00EE081D" w:rsidRPr="00EE081D">
              <w:rPr>
                <w:rFonts w:asciiTheme="minorEastAsia" w:hAnsiTheme="minorEastAsia" w:hint="eastAsia"/>
                <w:sz w:val="24"/>
              </w:rPr>
              <w:t>除法律法规或基金合同另有约定外，自每个封闭期结束后的下一工作日起进入开放期。本基金的每个开放期</w:t>
            </w:r>
            <w:r w:rsidR="00EE081D" w:rsidRPr="00EE081D">
              <w:rPr>
                <w:rFonts w:asciiTheme="minorEastAsia" w:hAnsiTheme="minorEastAsia" w:hint="eastAsia"/>
                <w:b/>
                <w:bCs/>
                <w:sz w:val="24"/>
              </w:rPr>
              <w:t>不少于1 个工作日、不超过20 个工作日</w:t>
            </w:r>
            <w:r w:rsidR="00EE081D" w:rsidRPr="00EE081D">
              <w:rPr>
                <w:rFonts w:asciiTheme="minorEastAsia" w:hAnsiTheme="minorEastAsia" w:hint="eastAsia"/>
                <w:sz w:val="24"/>
              </w:rPr>
              <w:t>。在开放期间本基金采取开放运作模式，投资人可办理基金份额申购、赎回或其他业务。</w:t>
            </w:r>
            <w:r w:rsidRPr="00921082">
              <w:rPr>
                <w:rFonts w:asciiTheme="minorEastAsia" w:hAnsiTheme="minorEastAsia" w:hint="eastAsia"/>
                <w:sz w:val="24"/>
              </w:rPr>
              <w:t>”</w:t>
            </w:r>
          </w:p>
        </w:tc>
      </w:tr>
    </w:tbl>
    <w:p w:rsidR="007D573D" w:rsidRPr="00D10450" w:rsidRDefault="00D10450" w:rsidP="00D10450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Pr="00586275">
        <w:rPr>
          <w:rFonts w:ascii="宋体" w:hAnsi="宋体" w:hint="eastAsia"/>
          <w:sz w:val="24"/>
          <w:szCs w:val="24"/>
        </w:rPr>
        <w:t>、根据《基金合同》的修订内容对本基金的</w:t>
      </w:r>
      <w:r w:rsidR="00173D97">
        <w:rPr>
          <w:rFonts w:ascii="宋体" w:hAnsi="宋体" w:hint="eastAsia"/>
          <w:sz w:val="24"/>
          <w:szCs w:val="24"/>
        </w:rPr>
        <w:t>托管协议、</w:t>
      </w:r>
      <w:r w:rsidRPr="00586275">
        <w:rPr>
          <w:rFonts w:ascii="宋体" w:hAnsi="宋体" w:hint="eastAsia"/>
          <w:sz w:val="24"/>
          <w:szCs w:val="24"/>
        </w:rPr>
        <w:t>招募说明书对应内容进行修订。</w:t>
      </w:r>
    </w:p>
    <w:sectPr w:rsidR="007D573D" w:rsidRPr="00D10450" w:rsidSect="00F92F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2A" w:rsidRDefault="00750F2A" w:rsidP="00C45E52">
      <w:r>
        <w:separator/>
      </w:r>
    </w:p>
  </w:endnote>
  <w:endnote w:type="continuationSeparator" w:id="0">
    <w:p w:rsidR="00750F2A" w:rsidRDefault="00750F2A" w:rsidP="00C4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282564"/>
      <w:docPartObj>
        <w:docPartGallery w:val="Page Numbers (Bottom of Page)"/>
        <w:docPartUnique/>
      </w:docPartObj>
    </w:sdtPr>
    <w:sdtContent>
      <w:p w:rsidR="00D10450" w:rsidRDefault="00F92FDE">
        <w:pPr>
          <w:pStyle w:val="a4"/>
          <w:jc w:val="center"/>
        </w:pPr>
        <w:r>
          <w:fldChar w:fldCharType="begin"/>
        </w:r>
        <w:r w:rsidR="00D10450">
          <w:instrText>PAGE   \* MERGEFORMAT</w:instrText>
        </w:r>
        <w:r>
          <w:fldChar w:fldCharType="separate"/>
        </w:r>
        <w:r w:rsidR="00B419EF" w:rsidRPr="00B419EF">
          <w:rPr>
            <w:noProof/>
            <w:lang w:val="zh-CN"/>
          </w:rPr>
          <w:t>1</w:t>
        </w:r>
        <w:r>
          <w:fldChar w:fldCharType="end"/>
        </w:r>
      </w:p>
    </w:sdtContent>
  </w:sdt>
  <w:p w:rsidR="00D10450" w:rsidRDefault="00D104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2A" w:rsidRDefault="00750F2A" w:rsidP="00C45E52">
      <w:r>
        <w:separator/>
      </w:r>
    </w:p>
  </w:footnote>
  <w:footnote w:type="continuationSeparator" w:id="0">
    <w:p w:rsidR="00750F2A" w:rsidRDefault="00750F2A" w:rsidP="00C4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FAB"/>
    <w:multiLevelType w:val="hybridMultilevel"/>
    <w:tmpl w:val="88B2B416"/>
    <w:lvl w:ilvl="0" w:tplc="8D0ED59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E57E74"/>
    <w:multiLevelType w:val="hybridMultilevel"/>
    <w:tmpl w:val="4C804AF2"/>
    <w:lvl w:ilvl="0" w:tplc="C882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85B08"/>
    <w:multiLevelType w:val="hybridMultilevel"/>
    <w:tmpl w:val="4E5C7FE6"/>
    <w:lvl w:ilvl="0" w:tplc="DC121D2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6B17E8"/>
    <w:multiLevelType w:val="hybridMultilevel"/>
    <w:tmpl w:val="EFA0862C"/>
    <w:lvl w:ilvl="0" w:tplc="FE54A4C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0268F"/>
    <w:multiLevelType w:val="hybridMultilevel"/>
    <w:tmpl w:val="83AA8CC4"/>
    <w:lvl w:ilvl="0" w:tplc="830836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DE3CAA"/>
    <w:multiLevelType w:val="hybridMultilevel"/>
    <w:tmpl w:val="FB047656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6802843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61B6E"/>
    <w:multiLevelType w:val="hybridMultilevel"/>
    <w:tmpl w:val="C60E8A3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4B1CBF4C">
      <w:start w:val="1"/>
      <w:numFmt w:val="decimal"/>
      <w:lvlText w:val="%2."/>
      <w:lvlJc w:val="left"/>
      <w:pPr>
        <w:tabs>
          <w:tab w:val="num" w:pos="1044"/>
        </w:tabs>
        <w:ind w:left="104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37FF1"/>
    <w:multiLevelType w:val="hybridMultilevel"/>
    <w:tmpl w:val="D4CE5CCE"/>
    <w:lvl w:ilvl="0" w:tplc="6E52C96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C53E1E"/>
    <w:multiLevelType w:val="hybridMultilevel"/>
    <w:tmpl w:val="0096F94A"/>
    <w:lvl w:ilvl="0" w:tplc="F2AC356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8715DC"/>
    <w:multiLevelType w:val="hybridMultilevel"/>
    <w:tmpl w:val="FC7A9D5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1EE2429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63C81"/>
    <w:multiLevelType w:val="hybridMultilevel"/>
    <w:tmpl w:val="22FA3A08"/>
    <w:lvl w:ilvl="0" w:tplc="429E127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229"/>
    <w:rsid w:val="000021A3"/>
    <w:rsid w:val="00010E52"/>
    <w:rsid w:val="00013655"/>
    <w:rsid w:val="00021D07"/>
    <w:rsid w:val="00023606"/>
    <w:rsid w:val="00023914"/>
    <w:rsid w:val="0005520B"/>
    <w:rsid w:val="0005651D"/>
    <w:rsid w:val="0006482B"/>
    <w:rsid w:val="00071976"/>
    <w:rsid w:val="00071F65"/>
    <w:rsid w:val="00073E76"/>
    <w:rsid w:val="00077D5C"/>
    <w:rsid w:val="00092AC6"/>
    <w:rsid w:val="00093BBB"/>
    <w:rsid w:val="00094C84"/>
    <w:rsid w:val="000A4FF7"/>
    <w:rsid w:val="000B21F6"/>
    <w:rsid w:val="000C6A88"/>
    <w:rsid w:val="000D6F88"/>
    <w:rsid w:val="000E0FA3"/>
    <w:rsid w:val="000E1981"/>
    <w:rsid w:val="000E1AC3"/>
    <w:rsid w:val="000E5E95"/>
    <w:rsid w:val="000F2A0D"/>
    <w:rsid w:val="000F4EA3"/>
    <w:rsid w:val="000F78B8"/>
    <w:rsid w:val="001003EE"/>
    <w:rsid w:val="001011A2"/>
    <w:rsid w:val="00124FEC"/>
    <w:rsid w:val="001271B8"/>
    <w:rsid w:val="0015148F"/>
    <w:rsid w:val="00152744"/>
    <w:rsid w:val="001605BC"/>
    <w:rsid w:val="00170D0B"/>
    <w:rsid w:val="00173665"/>
    <w:rsid w:val="00173BA3"/>
    <w:rsid w:val="00173D97"/>
    <w:rsid w:val="00175172"/>
    <w:rsid w:val="001850DC"/>
    <w:rsid w:val="00187C6F"/>
    <w:rsid w:val="00187FE9"/>
    <w:rsid w:val="00197630"/>
    <w:rsid w:val="001A4DE8"/>
    <w:rsid w:val="001B08EB"/>
    <w:rsid w:val="001B7698"/>
    <w:rsid w:val="001C385F"/>
    <w:rsid w:val="001D43EC"/>
    <w:rsid w:val="001E6BA4"/>
    <w:rsid w:val="001E7652"/>
    <w:rsid w:val="001F4717"/>
    <w:rsid w:val="001F6A30"/>
    <w:rsid w:val="001F7399"/>
    <w:rsid w:val="001F7F4B"/>
    <w:rsid w:val="002007DD"/>
    <w:rsid w:val="002010A8"/>
    <w:rsid w:val="00233B17"/>
    <w:rsid w:val="002373EF"/>
    <w:rsid w:val="00254C19"/>
    <w:rsid w:val="00255746"/>
    <w:rsid w:val="00260035"/>
    <w:rsid w:val="002637F7"/>
    <w:rsid w:val="00274338"/>
    <w:rsid w:val="00291478"/>
    <w:rsid w:val="00295CE9"/>
    <w:rsid w:val="00297B81"/>
    <w:rsid w:val="002C3E9E"/>
    <w:rsid w:val="002F1E8B"/>
    <w:rsid w:val="00315579"/>
    <w:rsid w:val="00316128"/>
    <w:rsid w:val="00327911"/>
    <w:rsid w:val="00341086"/>
    <w:rsid w:val="0034503C"/>
    <w:rsid w:val="0034752A"/>
    <w:rsid w:val="00372121"/>
    <w:rsid w:val="00382622"/>
    <w:rsid w:val="003A1556"/>
    <w:rsid w:val="003A523B"/>
    <w:rsid w:val="003A5F85"/>
    <w:rsid w:val="003A76A5"/>
    <w:rsid w:val="003B05A9"/>
    <w:rsid w:val="003B69AA"/>
    <w:rsid w:val="003D5C0B"/>
    <w:rsid w:val="003E26E1"/>
    <w:rsid w:val="003E7556"/>
    <w:rsid w:val="003F0891"/>
    <w:rsid w:val="003F526C"/>
    <w:rsid w:val="003F786A"/>
    <w:rsid w:val="0040443E"/>
    <w:rsid w:val="00404B6E"/>
    <w:rsid w:val="00413311"/>
    <w:rsid w:val="00421BFB"/>
    <w:rsid w:val="0042722E"/>
    <w:rsid w:val="00431024"/>
    <w:rsid w:val="00436A5B"/>
    <w:rsid w:val="00444BF5"/>
    <w:rsid w:val="004547E7"/>
    <w:rsid w:val="004605E4"/>
    <w:rsid w:val="004625FE"/>
    <w:rsid w:val="00464B10"/>
    <w:rsid w:val="00465871"/>
    <w:rsid w:val="00470B62"/>
    <w:rsid w:val="004772FB"/>
    <w:rsid w:val="00483A3B"/>
    <w:rsid w:val="00484559"/>
    <w:rsid w:val="00490C69"/>
    <w:rsid w:val="004924A7"/>
    <w:rsid w:val="00492B2F"/>
    <w:rsid w:val="0049417F"/>
    <w:rsid w:val="004A111F"/>
    <w:rsid w:val="004A5571"/>
    <w:rsid w:val="004B6395"/>
    <w:rsid w:val="004B676D"/>
    <w:rsid w:val="004E464D"/>
    <w:rsid w:val="004E61CF"/>
    <w:rsid w:val="00501DB5"/>
    <w:rsid w:val="00503F9F"/>
    <w:rsid w:val="005076D5"/>
    <w:rsid w:val="0051060E"/>
    <w:rsid w:val="00510AA1"/>
    <w:rsid w:val="00512970"/>
    <w:rsid w:val="00526235"/>
    <w:rsid w:val="005277CD"/>
    <w:rsid w:val="005352B7"/>
    <w:rsid w:val="00537EF8"/>
    <w:rsid w:val="00541C64"/>
    <w:rsid w:val="00545FE2"/>
    <w:rsid w:val="00561F97"/>
    <w:rsid w:val="00563239"/>
    <w:rsid w:val="005740BC"/>
    <w:rsid w:val="00582C56"/>
    <w:rsid w:val="00596F2C"/>
    <w:rsid w:val="005A2622"/>
    <w:rsid w:val="005A5EA1"/>
    <w:rsid w:val="005C3D8D"/>
    <w:rsid w:val="005C60FB"/>
    <w:rsid w:val="005D00F9"/>
    <w:rsid w:val="005D50C6"/>
    <w:rsid w:val="005D5AD4"/>
    <w:rsid w:val="005E0798"/>
    <w:rsid w:val="005E2726"/>
    <w:rsid w:val="005E51FE"/>
    <w:rsid w:val="005F2BB0"/>
    <w:rsid w:val="005F4D00"/>
    <w:rsid w:val="006108F0"/>
    <w:rsid w:val="00612AF4"/>
    <w:rsid w:val="006350C8"/>
    <w:rsid w:val="0063543C"/>
    <w:rsid w:val="00640F1E"/>
    <w:rsid w:val="0064490F"/>
    <w:rsid w:val="00656ADD"/>
    <w:rsid w:val="0066316B"/>
    <w:rsid w:val="00681F1E"/>
    <w:rsid w:val="00682B5E"/>
    <w:rsid w:val="006878A2"/>
    <w:rsid w:val="0069668E"/>
    <w:rsid w:val="006A4B5E"/>
    <w:rsid w:val="006A50E4"/>
    <w:rsid w:val="006A7069"/>
    <w:rsid w:val="006C17D6"/>
    <w:rsid w:val="006C5B0E"/>
    <w:rsid w:val="006D1462"/>
    <w:rsid w:val="006D2E4D"/>
    <w:rsid w:val="006D3EE0"/>
    <w:rsid w:val="006E0F31"/>
    <w:rsid w:val="006E30CD"/>
    <w:rsid w:val="00700D93"/>
    <w:rsid w:val="00714FD2"/>
    <w:rsid w:val="00720489"/>
    <w:rsid w:val="00721371"/>
    <w:rsid w:val="00745F15"/>
    <w:rsid w:val="00746CA0"/>
    <w:rsid w:val="00750F2A"/>
    <w:rsid w:val="007701A6"/>
    <w:rsid w:val="00771BF8"/>
    <w:rsid w:val="00775C91"/>
    <w:rsid w:val="00776505"/>
    <w:rsid w:val="007852A6"/>
    <w:rsid w:val="00785C45"/>
    <w:rsid w:val="00793043"/>
    <w:rsid w:val="007A3000"/>
    <w:rsid w:val="007A6E09"/>
    <w:rsid w:val="007B28A1"/>
    <w:rsid w:val="007B4A6B"/>
    <w:rsid w:val="007D379C"/>
    <w:rsid w:val="007D47C1"/>
    <w:rsid w:val="007D573D"/>
    <w:rsid w:val="007D791E"/>
    <w:rsid w:val="007E03B7"/>
    <w:rsid w:val="007E6731"/>
    <w:rsid w:val="007F09B4"/>
    <w:rsid w:val="007F1F5C"/>
    <w:rsid w:val="007F319A"/>
    <w:rsid w:val="00801580"/>
    <w:rsid w:val="008148DD"/>
    <w:rsid w:val="0082485F"/>
    <w:rsid w:val="008250BC"/>
    <w:rsid w:val="00852CDD"/>
    <w:rsid w:val="00861A71"/>
    <w:rsid w:val="00861BFC"/>
    <w:rsid w:val="00864B3A"/>
    <w:rsid w:val="008656F2"/>
    <w:rsid w:val="008669A7"/>
    <w:rsid w:val="00866A0C"/>
    <w:rsid w:val="00876F91"/>
    <w:rsid w:val="00882B94"/>
    <w:rsid w:val="0088654A"/>
    <w:rsid w:val="008A1535"/>
    <w:rsid w:val="008B335A"/>
    <w:rsid w:val="008C3588"/>
    <w:rsid w:val="008C6A8C"/>
    <w:rsid w:val="008C7D06"/>
    <w:rsid w:val="008D66BA"/>
    <w:rsid w:val="008E0896"/>
    <w:rsid w:val="008F4319"/>
    <w:rsid w:val="009015C4"/>
    <w:rsid w:val="00902256"/>
    <w:rsid w:val="009061C8"/>
    <w:rsid w:val="00921082"/>
    <w:rsid w:val="0092512C"/>
    <w:rsid w:val="00941CCD"/>
    <w:rsid w:val="00947E7F"/>
    <w:rsid w:val="00956174"/>
    <w:rsid w:val="009566B0"/>
    <w:rsid w:val="00960039"/>
    <w:rsid w:val="00961A0B"/>
    <w:rsid w:val="009634CD"/>
    <w:rsid w:val="0096626C"/>
    <w:rsid w:val="00967259"/>
    <w:rsid w:val="009706BB"/>
    <w:rsid w:val="009815C7"/>
    <w:rsid w:val="00991787"/>
    <w:rsid w:val="009C1C43"/>
    <w:rsid w:val="009D4B92"/>
    <w:rsid w:val="009D61E9"/>
    <w:rsid w:val="009E1DE2"/>
    <w:rsid w:val="009E34ED"/>
    <w:rsid w:val="009E3F4A"/>
    <w:rsid w:val="009E4872"/>
    <w:rsid w:val="00A143F6"/>
    <w:rsid w:val="00A172E9"/>
    <w:rsid w:val="00A41A8A"/>
    <w:rsid w:val="00A4211F"/>
    <w:rsid w:val="00A43D0D"/>
    <w:rsid w:val="00A46D78"/>
    <w:rsid w:val="00A50E96"/>
    <w:rsid w:val="00A6285A"/>
    <w:rsid w:val="00A671F9"/>
    <w:rsid w:val="00A76DC6"/>
    <w:rsid w:val="00A86E74"/>
    <w:rsid w:val="00A87333"/>
    <w:rsid w:val="00A9165C"/>
    <w:rsid w:val="00AA0124"/>
    <w:rsid w:val="00AA3C02"/>
    <w:rsid w:val="00AB2581"/>
    <w:rsid w:val="00AB71F8"/>
    <w:rsid w:val="00AC55D2"/>
    <w:rsid w:val="00AD1288"/>
    <w:rsid w:val="00AD757A"/>
    <w:rsid w:val="00AE2CEF"/>
    <w:rsid w:val="00B0558A"/>
    <w:rsid w:val="00B1383D"/>
    <w:rsid w:val="00B14BCF"/>
    <w:rsid w:val="00B210B5"/>
    <w:rsid w:val="00B22BDA"/>
    <w:rsid w:val="00B23F7E"/>
    <w:rsid w:val="00B30E4A"/>
    <w:rsid w:val="00B33B7B"/>
    <w:rsid w:val="00B36836"/>
    <w:rsid w:val="00B419EF"/>
    <w:rsid w:val="00B43F81"/>
    <w:rsid w:val="00B46046"/>
    <w:rsid w:val="00B51242"/>
    <w:rsid w:val="00B554EE"/>
    <w:rsid w:val="00B57368"/>
    <w:rsid w:val="00B6696F"/>
    <w:rsid w:val="00B70411"/>
    <w:rsid w:val="00B70CB2"/>
    <w:rsid w:val="00B80E75"/>
    <w:rsid w:val="00B84393"/>
    <w:rsid w:val="00B84DE0"/>
    <w:rsid w:val="00BB003C"/>
    <w:rsid w:val="00BC535F"/>
    <w:rsid w:val="00BC5DB1"/>
    <w:rsid w:val="00BE09DC"/>
    <w:rsid w:val="00BE4616"/>
    <w:rsid w:val="00C02167"/>
    <w:rsid w:val="00C05E54"/>
    <w:rsid w:val="00C10EE1"/>
    <w:rsid w:val="00C2713F"/>
    <w:rsid w:val="00C27487"/>
    <w:rsid w:val="00C40F72"/>
    <w:rsid w:val="00C42687"/>
    <w:rsid w:val="00C45E52"/>
    <w:rsid w:val="00C46828"/>
    <w:rsid w:val="00C478D7"/>
    <w:rsid w:val="00C55B75"/>
    <w:rsid w:val="00C56CE7"/>
    <w:rsid w:val="00C573B7"/>
    <w:rsid w:val="00C67AC9"/>
    <w:rsid w:val="00C707FA"/>
    <w:rsid w:val="00C76287"/>
    <w:rsid w:val="00C858A8"/>
    <w:rsid w:val="00C93818"/>
    <w:rsid w:val="00C970D4"/>
    <w:rsid w:val="00CA3168"/>
    <w:rsid w:val="00CB249A"/>
    <w:rsid w:val="00CB46EF"/>
    <w:rsid w:val="00CB4951"/>
    <w:rsid w:val="00CB73E3"/>
    <w:rsid w:val="00CC5B5B"/>
    <w:rsid w:val="00CC6630"/>
    <w:rsid w:val="00CD6853"/>
    <w:rsid w:val="00CE7E5B"/>
    <w:rsid w:val="00CF0A8E"/>
    <w:rsid w:val="00CF6CEA"/>
    <w:rsid w:val="00D0693C"/>
    <w:rsid w:val="00D10450"/>
    <w:rsid w:val="00D11FA9"/>
    <w:rsid w:val="00D142C8"/>
    <w:rsid w:val="00D26CA7"/>
    <w:rsid w:val="00D33453"/>
    <w:rsid w:val="00D46BF4"/>
    <w:rsid w:val="00D506DA"/>
    <w:rsid w:val="00D50D8B"/>
    <w:rsid w:val="00D511AC"/>
    <w:rsid w:val="00D534EF"/>
    <w:rsid w:val="00D54236"/>
    <w:rsid w:val="00D63946"/>
    <w:rsid w:val="00D644C0"/>
    <w:rsid w:val="00D749E0"/>
    <w:rsid w:val="00D758ED"/>
    <w:rsid w:val="00D75965"/>
    <w:rsid w:val="00D80659"/>
    <w:rsid w:val="00D8633A"/>
    <w:rsid w:val="00D9288D"/>
    <w:rsid w:val="00D92B57"/>
    <w:rsid w:val="00DA1529"/>
    <w:rsid w:val="00DA203A"/>
    <w:rsid w:val="00DA3925"/>
    <w:rsid w:val="00DB2544"/>
    <w:rsid w:val="00DB291D"/>
    <w:rsid w:val="00DB2B98"/>
    <w:rsid w:val="00DC276A"/>
    <w:rsid w:val="00DD26E2"/>
    <w:rsid w:val="00DD4E15"/>
    <w:rsid w:val="00E27724"/>
    <w:rsid w:val="00E33C2A"/>
    <w:rsid w:val="00E420CF"/>
    <w:rsid w:val="00E44B0B"/>
    <w:rsid w:val="00E5356C"/>
    <w:rsid w:val="00E53B89"/>
    <w:rsid w:val="00E54AFE"/>
    <w:rsid w:val="00E56877"/>
    <w:rsid w:val="00E71522"/>
    <w:rsid w:val="00E733DF"/>
    <w:rsid w:val="00E74548"/>
    <w:rsid w:val="00E75D29"/>
    <w:rsid w:val="00E8185F"/>
    <w:rsid w:val="00E832BB"/>
    <w:rsid w:val="00E958CF"/>
    <w:rsid w:val="00E9671E"/>
    <w:rsid w:val="00EA5C4B"/>
    <w:rsid w:val="00EB2889"/>
    <w:rsid w:val="00EC5DD0"/>
    <w:rsid w:val="00ED6F75"/>
    <w:rsid w:val="00EE05A2"/>
    <w:rsid w:val="00EE081D"/>
    <w:rsid w:val="00EE210D"/>
    <w:rsid w:val="00EE3ED1"/>
    <w:rsid w:val="00EF177C"/>
    <w:rsid w:val="00F03207"/>
    <w:rsid w:val="00F0545E"/>
    <w:rsid w:val="00F10F58"/>
    <w:rsid w:val="00F248D5"/>
    <w:rsid w:val="00F251A5"/>
    <w:rsid w:val="00F52BC8"/>
    <w:rsid w:val="00F53126"/>
    <w:rsid w:val="00F620BB"/>
    <w:rsid w:val="00F67A91"/>
    <w:rsid w:val="00F76493"/>
    <w:rsid w:val="00F773C1"/>
    <w:rsid w:val="00F82014"/>
    <w:rsid w:val="00F83229"/>
    <w:rsid w:val="00F83C74"/>
    <w:rsid w:val="00F92FDE"/>
    <w:rsid w:val="00F964C0"/>
    <w:rsid w:val="00F97E14"/>
    <w:rsid w:val="00FA172A"/>
    <w:rsid w:val="00FA2116"/>
    <w:rsid w:val="00FA727E"/>
    <w:rsid w:val="00FB505A"/>
    <w:rsid w:val="00FE2A99"/>
    <w:rsid w:val="00FE7A97"/>
    <w:rsid w:val="00FF165E"/>
    <w:rsid w:val="00FF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E5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45E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45E52"/>
  </w:style>
  <w:style w:type="paragraph" w:styleId="a6">
    <w:name w:val="Balloon Text"/>
    <w:basedOn w:val="a"/>
    <w:link w:val="Char2"/>
    <w:uiPriority w:val="99"/>
    <w:semiHidden/>
    <w:unhideWhenUsed/>
    <w:rsid w:val="00FF165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F165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6877"/>
    <w:rPr>
      <w:sz w:val="21"/>
      <w:szCs w:val="21"/>
    </w:rPr>
  </w:style>
  <w:style w:type="paragraph" w:styleId="a8">
    <w:name w:val="annotation text"/>
    <w:basedOn w:val="a"/>
    <w:link w:val="Char3"/>
    <w:uiPriority w:val="99"/>
    <w:unhideWhenUsed/>
    <w:rsid w:val="00E56877"/>
    <w:pPr>
      <w:jc w:val="left"/>
    </w:pPr>
  </w:style>
  <w:style w:type="character" w:customStyle="1" w:styleId="Char3">
    <w:name w:val="批注文字 Char"/>
    <w:basedOn w:val="a0"/>
    <w:link w:val="a8"/>
    <w:uiPriority w:val="99"/>
    <w:rsid w:val="00E56877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56877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56877"/>
    <w:rPr>
      <w:b/>
      <w:bCs/>
    </w:rPr>
  </w:style>
  <w:style w:type="paragraph" w:styleId="aa">
    <w:name w:val="Revision"/>
    <w:hidden/>
    <w:uiPriority w:val="99"/>
    <w:semiHidden/>
    <w:rsid w:val="00D26CA7"/>
  </w:style>
  <w:style w:type="paragraph" w:customStyle="1" w:styleId="Default">
    <w:name w:val="Default"/>
    <w:rsid w:val="00D26CA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customStyle="1" w:styleId="1">
    <w:name w:val="网格型1"/>
    <w:basedOn w:val="a1"/>
    <w:next w:val="ab"/>
    <w:uiPriority w:val="59"/>
    <w:rsid w:val="00D26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next w:val="ac"/>
    <w:uiPriority w:val="34"/>
    <w:qFormat/>
    <w:rsid w:val="00D26CA7"/>
    <w:pPr>
      <w:ind w:firstLineChars="200" w:firstLine="420"/>
    </w:pPr>
  </w:style>
  <w:style w:type="table" w:styleId="ab">
    <w:name w:val="Table Grid"/>
    <w:basedOn w:val="a1"/>
    <w:uiPriority w:val="59"/>
    <w:rsid w:val="00D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26CA7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941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DEE6-07EB-47FD-8214-F31091F3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4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郭婉婷20170112</dc:creator>
  <cp:lastModifiedBy>ZHONGM</cp:lastModifiedBy>
  <cp:revision>2</cp:revision>
  <cp:lastPrinted>2017-10-18T07:15:00Z</cp:lastPrinted>
  <dcterms:created xsi:type="dcterms:W3CDTF">2026-04-19T16:01:00Z</dcterms:created>
  <dcterms:modified xsi:type="dcterms:W3CDTF">2026-04-19T16:01:00Z</dcterms:modified>
</cp:coreProperties>
</file>