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C3" w:rsidRPr="00AA0FF8" w:rsidRDefault="00092556">
      <w:pPr>
        <w:spacing w:line="360" w:lineRule="auto"/>
        <w:jc w:val="center"/>
        <w:rPr>
          <w:rFonts w:ascii="Times New Roman" w:eastAsiaTheme="minorEastAsia" w:hAnsi="Times New Roman"/>
          <w:b/>
          <w:bCs/>
          <w:kern w:val="0"/>
          <w:sz w:val="28"/>
          <w:szCs w:val="28"/>
        </w:rPr>
      </w:pPr>
      <w:r w:rsidRPr="00AA0FF8">
        <w:rPr>
          <w:rFonts w:ascii="Times New Roman" w:eastAsiaTheme="minorEastAsia" w:hAnsi="Times New Roman"/>
          <w:b/>
          <w:bCs/>
          <w:kern w:val="0"/>
          <w:sz w:val="28"/>
          <w:szCs w:val="28"/>
        </w:rPr>
        <w:t>海富通基金管理有限公司关于旗下部分基金</w:t>
      </w:r>
    </w:p>
    <w:p w:rsidR="00AD1FC3" w:rsidRPr="00AA0FF8" w:rsidRDefault="00092556">
      <w:pPr>
        <w:spacing w:line="360" w:lineRule="auto"/>
        <w:jc w:val="center"/>
        <w:rPr>
          <w:rFonts w:ascii="Times New Roman" w:eastAsiaTheme="minorEastAsia" w:hAnsi="Times New Roman"/>
          <w:b/>
          <w:bCs/>
          <w:kern w:val="0"/>
          <w:sz w:val="28"/>
          <w:szCs w:val="28"/>
        </w:rPr>
      </w:pPr>
      <w:r w:rsidRPr="00AA0FF8">
        <w:rPr>
          <w:rFonts w:ascii="Times New Roman" w:eastAsiaTheme="minorEastAsia" w:hAnsi="Times New Roman"/>
          <w:b/>
          <w:bCs/>
          <w:kern w:val="0"/>
          <w:sz w:val="28"/>
          <w:szCs w:val="28"/>
        </w:rPr>
        <w:t>新增东莞证券股份有限公司为销售机构</w:t>
      </w:r>
    </w:p>
    <w:p w:rsidR="00AD1FC3" w:rsidRPr="00AA0FF8" w:rsidRDefault="00092556">
      <w:pPr>
        <w:spacing w:line="360" w:lineRule="auto"/>
        <w:jc w:val="center"/>
        <w:rPr>
          <w:rFonts w:ascii="Times New Roman" w:eastAsiaTheme="minorEastAsia" w:hAnsi="Times New Roman"/>
          <w:b/>
          <w:bCs/>
          <w:kern w:val="0"/>
          <w:sz w:val="28"/>
          <w:szCs w:val="28"/>
        </w:rPr>
      </w:pPr>
      <w:r w:rsidRPr="00AA0FF8">
        <w:rPr>
          <w:rFonts w:ascii="Times New Roman" w:eastAsiaTheme="minorEastAsia" w:hAnsi="Times New Roman"/>
          <w:b/>
          <w:bCs/>
          <w:kern w:val="0"/>
          <w:sz w:val="28"/>
          <w:szCs w:val="28"/>
        </w:rPr>
        <w:t>并参加其申购费率优惠活动的公告</w:t>
      </w:r>
    </w:p>
    <w:p w:rsidR="00AD1FC3" w:rsidRPr="00AA0FF8" w:rsidRDefault="00AD1FC3">
      <w:pPr>
        <w:widowControl/>
        <w:spacing w:line="360" w:lineRule="auto"/>
        <w:jc w:val="center"/>
        <w:rPr>
          <w:rFonts w:ascii="Times New Roman" w:eastAsiaTheme="minorEastAsia" w:hAnsi="Times New Roman"/>
          <w:b/>
          <w:bCs/>
          <w:color w:val="014E9E"/>
          <w:kern w:val="0"/>
          <w:sz w:val="24"/>
          <w:szCs w:val="24"/>
        </w:rPr>
      </w:pPr>
    </w:p>
    <w:p w:rsidR="00AD1FC3" w:rsidRPr="00AA0FF8" w:rsidRDefault="00092556">
      <w:pPr>
        <w:spacing w:line="360" w:lineRule="auto"/>
        <w:ind w:firstLineChars="200" w:firstLine="480"/>
        <w:rPr>
          <w:rFonts w:ascii="Times New Roman" w:eastAsiaTheme="minorEastAsia" w:hAnsi="Times New Roman"/>
          <w:kern w:val="0"/>
          <w:sz w:val="24"/>
          <w:szCs w:val="24"/>
        </w:rPr>
      </w:pPr>
      <w:r w:rsidRPr="00AA0FF8">
        <w:rPr>
          <w:rFonts w:ascii="Times New Roman" w:eastAsiaTheme="minorEastAsia" w:hAnsi="Times New Roman"/>
          <w:kern w:val="0"/>
          <w:sz w:val="24"/>
          <w:szCs w:val="24"/>
        </w:rPr>
        <w:t>根据海富通基金管理有限公司（以下简称</w:t>
      </w:r>
      <w:r w:rsidRPr="00AA0FF8">
        <w:rPr>
          <w:rFonts w:ascii="Times New Roman" w:eastAsiaTheme="minorEastAsia" w:hAnsi="Times New Roman"/>
          <w:kern w:val="0"/>
          <w:sz w:val="24"/>
          <w:szCs w:val="24"/>
        </w:rPr>
        <w:t>“</w:t>
      </w:r>
      <w:r w:rsidRPr="00AA0FF8">
        <w:rPr>
          <w:rFonts w:ascii="Times New Roman" w:eastAsiaTheme="minorEastAsia" w:hAnsi="Times New Roman"/>
          <w:kern w:val="0"/>
          <w:sz w:val="24"/>
          <w:szCs w:val="24"/>
        </w:rPr>
        <w:t>本公司</w:t>
      </w:r>
      <w:r w:rsidRPr="00AA0FF8">
        <w:rPr>
          <w:rFonts w:ascii="Times New Roman" w:eastAsiaTheme="minorEastAsia" w:hAnsi="Times New Roman"/>
          <w:kern w:val="0"/>
          <w:sz w:val="24"/>
          <w:szCs w:val="24"/>
        </w:rPr>
        <w:t>”</w:t>
      </w:r>
      <w:r w:rsidRPr="00AA0FF8">
        <w:rPr>
          <w:rFonts w:ascii="Times New Roman" w:eastAsiaTheme="minorEastAsia" w:hAnsi="Times New Roman"/>
          <w:kern w:val="0"/>
          <w:sz w:val="24"/>
          <w:szCs w:val="24"/>
        </w:rPr>
        <w:t>）与</w:t>
      </w:r>
      <w:r w:rsidRPr="00AA0FF8">
        <w:rPr>
          <w:rFonts w:ascii="Times New Roman" w:eastAsiaTheme="minorEastAsia" w:hAnsi="Times New Roman"/>
          <w:sz w:val="24"/>
          <w:szCs w:val="24"/>
        </w:rPr>
        <w:t>东莞证券股份有限公司（以下简称</w:t>
      </w:r>
      <w:r w:rsidRPr="00AA0FF8">
        <w:rPr>
          <w:rFonts w:ascii="Times New Roman" w:eastAsiaTheme="minorEastAsia" w:hAnsi="Times New Roman"/>
          <w:sz w:val="24"/>
          <w:szCs w:val="24"/>
        </w:rPr>
        <w:t>“</w:t>
      </w:r>
      <w:r w:rsidRPr="00AA0FF8">
        <w:rPr>
          <w:rFonts w:ascii="Times New Roman" w:eastAsiaTheme="minorEastAsia" w:hAnsi="Times New Roman"/>
          <w:sz w:val="24"/>
          <w:szCs w:val="24"/>
        </w:rPr>
        <w:t>东莞证券</w:t>
      </w:r>
      <w:r w:rsidRPr="00AA0FF8">
        <w:rPr>
          <w:rFonts w:ascii="Times New Roman" w:eastAsiaTheme="minorEastAsia" w:hAnsi="Times New Roman"/>
          <w:sz w:val="24"/>
          <w:szCs w:val="24"/>
        </w:rPr>
        <w:t>”</w:t>
      </w:r>
      <w:r w:rsidRPr="00AA0FF8">
        <w:rPr>
          <w:rFonts w:ascii="Times New Roman" w:eastAsiaTheme="minorEastAsia" w:hAnsi="Times New Roman"/>
          <w:sz w:val="24"/>
          <w:szCs w:val="24"/>
        </w:rPr>
        <w:t>）</w:t>
      </w:r>
      <w:r w:rsidRPr="00AA0FF8">
        <w:rPr>
          <w:rFonts w:ascii="Times New Roman" w:eastAsiaTheme="minorEastAsia" w:hAnsi="Times New Roman"/>
          <w:kern w:val="0"/>
          <w:sz w:val="24"/>
          <w:szCs w:val="24"/>
        </w:rPr>
        <w:t>签订的开放式证券投资基金销售协议，现增加</w:t>
      </w:r>
      <w:r w:rsidRPr="00AA0FF8">
        <w:rPr>
          <w:rFonts w:ascii="Times New Roman" w:eastAsiaTheme="minorEastAsia" w:hAnsi="Times New Roman"/>
          <w:sz w:val="24"/>
          <w:szCs w:val="24"/>
        </w:rPr>
        <w:t>东莞证券</w:t>
      </w:r>
      <w:r w:rsidRPr="00AA0FF8">
        <w:rPr>
          <w:rFonts w:ascii="Times New Roman" w:eastAsiaTheme="minorEastAsia" w:hAnsi="Times New Roman"/>
          <w:kern w:val="0"/>
          <w:sz w:val="24"/>
          <w:szCs w:val="24"/>
        </w:rPr>
        <w:t>为本公司旗下部分基金的销售机构，并于</w:t>
      </w:r>
      <w:r w:rsidRPr="00AA0FF8">
        <w:rPr>
          <w:rFonts w:ascii="Times New Roman" w:eastAsiaTheme="minorEastAsia" w:hAnsi="Times New Roman"/>
          <w:kern w:val="0"/>
          <w:sz w:val="24"/>
          <w:szCs w:val="24"/>
        </w:rPr>
        <w:t>2026</w:t>
      </w:r>
      <w:r w:rsidRPr="00AA0FF8">
        <w:rPr>
          <w:rFonts w:ascii="Times New Roman" w:eastAsiaTheme="minorEastAsia" w:hAnsi="Times New Roman"/>
          <w:kern w:val="0"/>
          <w:sz w:val="24"/>
          <w:szCs w:val="24"/>
        </w:rPr>
        <w:t>年</w:t>
      </w:r>
      <w:r w:rsidRPr="00AA0FF8">
        <w:rPr>
          <w:rFonts w:ascii="Times New Roman" w:eastAsiaTheme="minorEastAsia" w:hAnsi="Times New Roman"/>
          <w:kern w:val="0"/>
          <w:sz w:val="24"/>
          <w:szCs w:val="24"/>
        </w:rPr>
        <w:t>4</w:t>
      </w:r>
      <w:r w:rsidRPr="00AA0FF8">
        <w:rPr>
          <w:rFonts w:ascii="Times New Roman" w:eastAsiaTheme="minorEastAsia" w:hAnsi="Times New Roman"/>
          <w:kern w:val="0"/>
          <w:sz w:val="24"/>
          <w:szCs w:val="24"/>
        </w:rPr>
        <w:t>月</w:t>
      </w:r>
      <w:r w:rsidRPr="00AA0FF8">
        <w:rPr>
          <w:rFonts w:ascii="Times New Roman" w:eastAsiaTheme="minorEastAsia" w:hAnsi="Times New Roman"/>
          <w:kern w:val="0"/>
          <w:sz w:val="24"/>
          <w:szCs w:val="24"/>
        </w:rPr>
        <w:t>22</w:t>
      </w:r>
      <w:r w:rsidRPr="00AA0FF8">
        <w:rPr>
          <w:rFonts w:ascii="Times New Roman" w:eastAsiaTheme="minorEastAsia" w:hAnsi="Times New Roman"/>
          <w:kern w:val="0"/>
          <w:sz w:val="24"/>
          <w:szCs w:val="24"/>
        </w:rPr>
        <w:t>日起</w:t>
      </w:r>
      <w:r w:rsidRPr="00AA0FF8">
        <w:rPr>
          <w:rFonts w:ascii="Times New Roman" w:eastAsiaTheme="minorEastAsia" w:hAnsi="Times New Roman"/>
          <w:sz w:val="24"/>
          <w:szCs w:val="24"/>
        </w:rPr>
        <w:t>参加东莞证券的申购费率优惠活动</w:t>
      </w:r>
      <w:r w:rsidRPr="00AA0FF8">
        <w:rPr>
          <w:rFonts w:ascii="Times New Roman" w:eastAsiaTheme="minorEastAsia" w:hAnsi="Times New Roman"/>
          <w:kern w:val="0"/>
          <w:sz w:val="24"/>
          <w:szCs w:val="24"/>
        </w:rPr>
        <w:t>。现将有关事项公告如下：</w:t>
      </w:r>
    </w:p>
    <w:p w:rsidR="00AD1FC3" w:rsidRPr="00AA0FF8" w:rsidRDefault="00092556">
      <w:pPr>
        <w:numPr>
          <w:ilvl w:val="0"/>
          <w:numId w:val="1"/>
        </w:numPr>
        <w:spacing w:line="360" w:lineRule="auto"/>
        <w:ind w:firstLine="420"/>
        <w:rPr>
          <w:rFonts w:ascii="Times New Roman" w:eastAsiaTheme="minorEastAsia" w:hAnsi="Times New Roman"/>
          <w:b/>
          <w:sz w:val="24"/>
          <w:szCs w:val="24"/>
        </w:rPr>
      </w:pPr>
      <w:r w:rsidRPr="00AA0FF8">
        <w:rPr>
          <w:rFonts w:ascii="Times New Roman" w:eastAsiaTheme="minorEastAsia" w:hAnsi="Times New Roman"/>
          <w:b/>
          <w:sz w:val="24"/>
          <w:szCs w:val="24"/>
        </w:rPr>
        <w:t>适用基金</w:t>
      </w:r>
    </w:p>
    <w:tbl>
      <w:tblPr>
        <w:tblW w:w="88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1865"/>
        <w:gridCol w:w="6167"/>
      </w:tblGrid>
      <w:tr w:rsidR="00AD1FC3" w:rsidRPr="00AA0FF8" w:rsidTr="0032491E">
        <w:trPr>
          <w:trHeight w:val="520"/>
        </w:trPr>
        <w:tc>
          <w:tcPr>
            <w:tcW w:w="788" w:type="dxa"/>
            <w:vAlign w:val="center"/>
          </w:tcPr>
          <w:p w:rsidR="00AD1FC3" w:rsidRPr="00AA0FF8" w:rsidRDefault="00092556">
            <w:pPr>
              <w:widowControl/>
              <w:spacing w:line="360" w:lineRule="auto"/>
              <w:jc w:val="center"/>
              <w:textAlignment w:val="center"/>
              <w:rPr>
                <w:rFonts w:ascii="Times New Roman" w:eastAsiaTheme="minorEastAsia" w:hAnsi="Times New Roman"/>
                <w:b/>
                <w:bCs/>
                <w:color w:val="000000"/>
                <w:sz w:val="24"/>
                <w:szCs w:val="24"/>
              </w:rPr>
            </w:pPr>
            <w:r w:rsidRPr="00AA0FF8">
              <w:rPr>
                <w:rFonts w:ascii="Times New Roman" w:eastAsiaTheme="minorEastAsia" w:hAnsi="Times New Roman"/>
                <w:b/>
                <w:bCs/>
                <w:color w:val="000000"/>
                <w:kern w:val="0"/>
                <w:sz w:val="24"/>
                <w:szCs w:val="24"/>
                <w:lang/>
              </w:rPr>
              <w:t>序号</w:t>
            </w:r>
          </w:p>
        </w:tc>
        <w:tc>
          <w:tcPr>
            <w:tcW w:w="1865" w:type="dxa"/>
            <w:vAlign w:val="center"/>
          </w:tcPr>
          <w:p w:rsidR="00AD1FC3" w:rsidRPr="00AA0FF8" w:rsidRDefault="00092556">
            <w:pPr>
              <w:widowControl/>
              <w:spacing w:line="360" w:lineRule="auto"/>
              <w:jc w:val="center"/>
              <w:textAlignment w:val="center"/>
              <w:rPr>
                <w:rFonts w:ascii="Times New Roman" w:eastAsiaTheme="minorEastAsia" w:hAnsi="Times New Roman"/>
                <w:b/>
                <w:bCs/>
                <w:color w:val="000000"/>
                <w:sz w:val="24"/>
                <w:szCs w:val="24"/>
              </w:rPr>
            </w:pPr>
            <w:r w:rsidRPr="00AA0FF8">
              <w:rPr>
                <w:rFonts w:ascii="Times New Roman" w:eastAsiaTheme="minorEastAsia" w:hAnsi="Times New Roman"/>
                <w:b/>
                <w:bCs/>
                <w:color w:val="000000"/>
                <w:kern w:val="0"/>
                <w:sz w:val="24"/>
                <w:szCs w:val="24"/>
                <w:lang/>
              </w:rPr>
              <w:t>基金代码</w:t>
            </w:r>
          </w:p>
        </w:tc>
        <w:tc>
          <w:tcPr>
            <w:tcW w:w="6167" w:type="dxa"/>
            <w:vAlign w:val="center"/>
          </w:tcPr>
          <w:p w:rsidR="00AD1FC3" w:rsidRPr="00AA0FF8" w:rsidRDefault="00092556">
            <w:pPr>
              <w:widowControl/>
              <w:spacing w:line="360" w:lineRule="auto"/>
              <w:jc w:val="center"/>
              <w:textAlignment w:val="center"/>
              <w:rPr>
                <w:rFonts w:ascii="Times New Roman" w:eastAsiaTheme="minorEastAsia" w:hAnsi="Times New Roman"/>
                <w:b/>
                <w:bCs/>
                <w:color w:val="000000"/>
                <w:sz w:val="24"/>
                <w:szCs w:val="24"/>
              </w:rPr>
            </w:pPr>
            <w:r w:rsidRPr="00AA0FF8">
              <w:rPr>
                <w:rFonts w:ascii="Times New Roman" w:eastAsiaTheme="minorEastAsia" w:hAnsi="Times New Roman"/>
                <w:b/>
                <w:bCs/>
                <w:color w:val="000000"/>
                <w:kern w:val="0"/>
                <w:sz w:val="24"/>
                <w:szCs w:val="24"/>
                <w:lang/>
              </w:rPr>
              <w:t>基金名称</w:t>
            </w:r>
          </w:p>
        </w:tc>
      </w:tr>
      <w:tr w:rsidR="00AD1FC3" w:rsidRPr="00AA0FF8" w:rsidTr="0032491E">
        <w:trPr>
          <w:trHeight w:val="260"/>
        </w:trPr>
        <w:tc>
          <w:tcPr>
            <w:tcW w:w="788" w:type="dxa"/>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1</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A</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018042</w:t>
            </w:r>
          </w:p>
        </w:tc>
        <w:tc>
          <w:tcPr>
            <w:tcW w:w="6167" w:type="dxa"/>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海富通稳固收益债券型证券投资基金</w:t>
            </w:r>
          </w:p>
        </w:tc>
      </w:tr>
      <w:tr w:rsidR="00AD1FC3" w:rsidRPr="00AA0FF8" w:rsidTr="0032491E">
        <w:trPr>
          <w:trHeight w:val="260"/>
        </w:trPr>
        <w:tc>
          <w:tcPr>
            <w:tcW w:w="788" w:type="dxa"/>
            <w:vMerge w:val="restart"/>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2</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A</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519033</w:t>
            </w:r>
          </w:p>
        </w:tc>
        <w:tc>
          <w:tcPr>
            <w:tcW w:w="6167" w:type="dxa"/>
            <w:vMerge w:val="restart"/>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海富通国策导向混合型证券投资基金</w:t>
            </w:r>
          </w:p>
        </w:tc>
      </w:tr>
      <w:tr w:rsidR="00AD1FC3" w:rsidRPr="00AA0FF8" w:rsidTr="0032491E">
        <w:trPr>
          <w:trHeight w:val="260"/>
        </w:trPr>
        <w:tc>
          <w:tcPr>
            <w:tcW w:w="788" w:type="dxa"/>
            <w:vMerge/>
            <w:vAlign w:val="center"/>
          </w:tcPr>
          <w:p w:rsidR="00AD1FC3" w:rsidRPr="00AA0FF8" w:rsidRDefault="00AD1FC3">
            <w:pPr>
              <w:spacing w:line="360" w:lineRule="auto"/>
              <w:jc w:val="center"/>
              <w:rPr>
                <w:rFonts w:ascii="Times New Roman" w:eastAsiaTheme="minorEastAsia" w:hAnsi="Times New Roman"/>
                <w:color w:val="000000"/>
                <w:sz w:val="24"/>
                <w:szCs w:val="24"/>
              </w:rPr>
            </w:pP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Style w:val="font11"/>
                <w:rFonts w:ascii="Times New Roman" w:eastAsiaTheme="minorEastAsia" w:hAnsi="Times New Roman" w:cs="Times New Roman" w:hint="default"/>
                <w:sz w:val="24"/>
                <w:szCs w:val="24"/>
                <w:lang/>
              </w:rPr>
              <w:t>C</w:t>
            </w:r>
            <w:r w:rsidRPr="00AA0FF8">
              <w:rPr>
                <w:rStyle w:val="font41"/>
                <w:rFonts w:ascii="Times New Roman" w:eastAsiaTheme="minorEastAsia" w:hAnsi="Times New Roman" w:cs="Times New Roman" w:hint="default"/>
                <w:sz w:val="24"/>
                <w:szCs w:val="24"/>
                <w:lang/>
              </w:rPr>
              <w:t>类：</w:t>
            </w:r>
            <w:r w:rsidRPr="00AA0FF8">
              <w:rPr>
                <w:rStyle w:val="font41"/>
                <w:rFonts w:ascii="Times New Roman" w:eastAsiaTheme="minorEastAsia" w:hAnsi="Times New Roman" w:cs="Times New Roman" w:hint="default"/>
                <w:sz w:val="24"/>
                <w:szCs w:val="24"/>
                <w:lang/>
              </w:rPr>
              <w:t>019299</w:t>
            </w:r>
          </w:p>
        </w:tc>
        <w:tc>
          <w:tcPr>
            <w:tcW w:w="6167" w:type="dxa"/>
            <w:vMerge/>
            <w:vAlign w:val="center"/>
          </w:tcPr>
          <w:p w:rsidR="00AD1FC3" w:rsidRPr="00AA0FF8" w:rsidRDefault="00AD1FC3">
            <w:pPr>
              <w:spacing w:line="360" w:lineRule="auto"/>
              <w:jc w:val="left"/>
              <w:rPr>
                <w:rFonts w:ascii="Times New Roman" w:eastAsiaTheme="minorEastAsia" w:hAnsi="Times New Roman"/>
                <w:color w:val="000000"/>
                <w:sz w:val="24"/>
                <w:szCs w:val="24"/>
              </w:rPr>
            </w:pPr>
          </w:p>
        </w:tc>
      </w:tr>
      <w:tr w:rsidR="00AD1FC3" w:rsidRPr="00AA0FF8" w:rsidTr="0032491E">
        <w:trPr>
          <w:trHeight w:val="260"/>
        </w:trPr>
        <w:tc>
          <w:tcPr>
            <w:tcW w:w="788" w:type="dxa"/>
            <w:vMerge/>
            <w:vAlign w:val="center"/>
          </w:tcPr>
          <w:p w:rsidR="00AD1FC3" w:rsidRPr="00AA0FF8" w:rsidRDefault="00AD1FC3">
            <w:pPr>
              <w:spacing w:line="360" w:lineRule="auto"/>
              <w:jc w:val="center"/>
              <w:rPr>
                <w:rFonts w:ascii="Times New Roman" w:eastAsiaTheme="minorEastAsia" w:hAnsi="Times New Roman"/>
                <w:color w:val="000000"/>
                <w:sz w:val="24"/>
                <w:szCs w:val="24"/>
              </w:rPr>
            </w:pP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Style w:val="font11"/>
                <w:rFonts w:ascii="Times New Roman" w:eastAsiaTheme="minorEastAsia" w:hAnsi="Times New Roman" w:cs="Times New Roman" w:hint="default"/>
                <w:sz w:val="24"/>
                <w:szCs w:val="24"/>
                <w:lang/>
              </w:rPr>
              <w:t>D</w:t>
            </w:r>
            <w:r w:rsidRPr="00AA0FF8">
              <w:rPr>
                <w:rStyle w:val="font41"/>
                <w:rFonts w:ascii="Times New Roman" w:eastAsiaTheme="minorEastAsia" w:hAnsi="Times New Roman" w:cs="Times New Roman" w:hint="default"/>
                <w:sz w:val="24"/>
                <w:szCs w:val="24"/>
                <w:lang/>
              </w:rPr>
              <w:t>类：</w:t>
            </w:r>
            <w:r w:rsidRPr="00AA0FF8">
              <w:rPr>
                <w:rStyle w:val="font41"/>
                <w:rFonts w:ascii="Times New Roman" w:eastAsiaTheme="minorEastAsia" w:hAnsi="Times New Roman" w:cs="Times New Roman" w:hint="default"/>
                <w:sz w:val="24"/>
                <w:szCs w:val="24"/>
                <w:lang/>
              </w:rPr>
              <w:t>019300</w:t>
            </w:r>
          </w:p>
        </w:tc>
        <w:tc>
          <w:tcPr>
            <w:tcW w:w="6167" w:type="dxa"/>
            <w:vMerge/>
            <w:vAlign w:val="center"/>
          </w:tcPr>
          <w:p w:rsidR="00AD1FC3" w:rsidRPr="00AA0FF8" w:rsidRDefault="00AD1FC3">
            <w:pPr>
              <w:spacing w:line="360" w:lineRule="auto"/>
              <w:jc w:val="left"/>
              <w:rPr>
                <w:rFonts w:ascii="Times New Roman" w:eastAsiaTheme="minorEastAsia" w:hAnsi="Times New Roman"/>
                <w:color w:val="000000"/>
                <w:sz w:val="24"/>
                <w:szCs w:val="24"/>
              </w:rPr>
            </w:pPr>
          </w:p>
        </w:tc>
      </w:tr>
      <w:tr w:rsidR="00AD1FC3" w:rsidRPr="00AA0FF8" w:rsidTr="0032491E">
        <w:trPr>
          <w:trHeight w:val="260"/>
        </w:trPr>
        <w:tc>
          <w:tcPr>
            <w:tcW w:w="788" w:type="dxa"/>
            <w:vMerge w:val="restart"/>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3</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A</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519034</w:t>
            </w:r>
          </w:p>
        </w:tc>
        <w:tc>
          <w:tcPr>
            <w:tcW w:w="6167" w:type="dxa"/>
            <w:vMerge w:val="restart"/>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海富通中证</w:t>
            </w:r>
            <w:r w:rsidRPr="00AA0FF8">
              <w:rPr>
                <w:rFonts w:ascii="Times New Roman" w:eastAsiaTheme="minorEastAsia" w:hAnsi="Times New Roman"/>
                <w:color w:val="000000"/>
                <w:kern w:val="0"/>
                <w:sz w:val="24"/>
                <w:szCs w:val="24"/>
                <w:lang/>
              </w:rPr>
              <w:t>500</w:t>
            </w:r>
            <w:r w:rsidRPr="00AA0FF8">
              <w:rPr>
                <w:rFonts w:ascii="Times New Roman" w:eastAsiaTheme="minorEastAsia" w:hAnsi="Times New Roman"/>
                <w:color w:val="000000"/>
                <w:kern w:val="0"/>
                <w:sz w:val="24"/>
                <w:szCs w:val="24"/>
                <w:lang/>
              </w:rPr>
              <w:t>指数增强型证券投资基金</w:t>
            </w:r>
          </w:p>
        </w:tc>
      </w:tr>
      <w:tr w:rsidR="00AD1FC3" w:rsidRPr="00AA0FF8" w:rsidTr="0032491E">
        <w:trPr>
          <w:trHeight w:val="260"/>
        </w:trPr>
        <w:tc>
          <w:tcPr>
            <w:tcW w:w="788" w:type="dxa"/>
            <w:vMerge/>
            <w:vAlign w:val="center"/>
          </w:tcPr>
          <w:p w:rsidR="00AD1FC3" w:rsidRPr="00AA0FF8" w:rsidRDefault="00AD1FC3">
            <w:pPr>
              <w:spacing w:line="360" w:lineRule="auto"/>
              <w:jc w:val="center"/>
              <w:rPr>
                <w:rFonts w:ascii="Times New Roman" w:eastAsiaTheme="minorEastAsia" w:hAnsi="Times New Roman"/>
                <w:color w:val="000000"/>
                <w:sz w:val="24"/>
                <w:szCs w:val="24"/>
              </w:rPr>
            </w:pP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C</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009004</w:t>
            </w:r>
          </w:p>
        </w:tc>
        <w:tc>
          <w:tcPr>
            <w:tcW w:w="6167" w:type="dxa"/>
            <w:vMerge/>
            <w:vAlign w:val="center"/>
          </w:tcPr>
          <w:p w:rsidR="00AD1FC3" w:rsidRPr="00AA0FF8" w:rsidRDefault="00AD1FC3">
            <w:pPr>
              <w:spacing w:line="360" w:lineRule="auto"/>
              <w:jc w:val="left"/>
              <w:rPr>
                <w:rFonts w:ascii="Times New Roman" w:eastAsiaTheme="minorEastAsia" w:hAnsi="Times New Roman"/>
                <w:color w:val="000000"/>
                <w:sz w:val="24"/>
                <w:szCs w:val="24"/>
              </w:rPr>
            </w:pPr>
          </w:p>
        </w:tc>
      </w:tr>
      <w:tr w:rsidR="00AD1FC3" w:rsidRPr="00AA0FF8" w:rsidTr="0032491E">
        <w:trPr>
          <w:trHeight w:val="260"/>
        </w:trPr>
        <w:tc>
          <w:tcPr>
            <w:tcW w:w="788" w:type="dxa"/>
            <w:vMerge w:val="restart"/>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4</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A</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519050</w:t>
            </w:r>
          </w:p>
        </w:tc>
        <w:tc>
          <w:tcPr>
            <w:tcW w:w="6167" w:type="dxa"/>
            <w:vMerge w:val="restart"/>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海富通安颐收益混合型证券投资基金</w:t>
            </w:r>
          </w:p>
        </w:tc>
      </w:tr>
      <w:tr w:rsidR="00AD1FC3" w:rsidRPr="00AA0FF8" w:rsidTr="0032491E">
        <w:trPr>
          <w:trHeight w:val="260"/>
        </w:trPr>
        <w:tc>
          <w:tcPr>
            <w:tcW w:w="788" w:type="dxa"/>
            <w:vMerge/>
            <w:vAlign w:val="center"/>
          </w:tcPr>
          <w:p w:rsidR="00AD1FC3" w:rsidRPr="00AA0FF8" w:rsidRDefault="00AD1FC3">
            <w:pPr>
              <w:spacing w:line="360" w:lineRule="auto"/>
              <w:jc w:val="center"/>
              <w:rPr>
                <w:rFonts w:ascii="Times New Roman" w:eastAsiaTheme="minorEastAsia" w:hAnsi="Times New Roman"/>
                <w:color w:val="000000"/>
                <w:sz w:val="24"/>
                <w:szCs w:val="24"/>
              </w:rPr>
            </w:pP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C</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002339</w:t>
            </w:r>
          </w:p>
        </w:tc>
        <w:tc>
          <w:tcPr>
            <w:tcW w:w="6167" w:type="dxa"/>
            <w:vMerge/>
            <w:vAlign w:val="center"/>
          </w:tcPr>
          <w:p w:rsidR="00AD1FC3" w:rsidRPr="00AA0FF8" w:rsidRDefault="00AD1FC3">
            <w:pPr>
              <w:spacing w:line="360" w:lineRule="auto"/>
              <w:rPr>
                <w:rFonts w:ascii="Times New Roman" w:eastAsiaTheme="minorEastAsia" w:hAnsi="Times New Roman"/>
                <w:color w:val="000000"/>
                <w:sz w:val="24"/>
                <w:szCs w:val="24"/>
              </w:rPr>
            </w:pPr>
          </w:p>
        </w:tc>
      </w:tr>
      <w:tr w:rsidR="00AD1FC3" w:rsidRPr="00AA0FF8" w:rsidTr="0032491E">
        <w:trPr>
          <w:trHeight w:val="260"/>
        </w:trPr>
        <w:tc>
          <w:tcPr>
            <w:tcW w:w="788" w:type="dxa"/>
            <w:vMerge w:val="restart"/>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5</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A</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519051</w:t>
            </w:r>
          </w:p>
        </w:tc>
        <w:tc>
          <w:tcPr>
            <w:tcW w:w="6167" w:type="dxa"/>
            <w:vMerge w:val="restart"/>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海富通一年定期开放债券型证券投资基金</w:t>
            </w:r>
          </w:p>
        </w:tc>
      </w:tr>
      <w:tr w:rsidR="00AD1FC3" w:rsidRPr="00AA0FF8" w:rsidTr="0032491E">
        <w:trPr>
          <w:trHeight w:val="260"/>
        </w:trPr>
        <w:tc>
          <w:tcPr>
            <w:tcW w:w="788" w:type="dxa"/>
            <w:vMerge/>
            <w:vAlign w:val="center"/>
          </w:tcPr>
          <w:p w:rsidR="00AD1FC3" w:rsidRPr="00AA0FF8" w:rsidRDefault="00AD1FC3">
            <w:pPr>
              <w:spacing w:line="360" w:lineRule="auto"/>
              <w:jc w:val="center"/>
              <w:rPr>
                <w:rFonts w:ascii="Times New Roman" w:eastAsiaTheme="minorEastAsia" w:hAnsi="Times New Roman"/>
                <w:color w:val="000000"/>
                <w:sz w:val="24"/>
                <w:szCs w:val="24"/>
              </w:rPr>
            </w:pP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C</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001976</w:t>
            </w:r>
          </w:p>
        </w:tc>
        <w:tc>
          <w:tcPr>
            <w:tcW w:w="6167" w:type="dxa"/>
            <w:vMerge/>
            <w:vAlign w:val="center"/>
          </w:tcPr>
          <w:p w:rsidR="00AD1FC3" w:rsidRPr="00AA0FF8" w:rsidRDefault="00AD1FC3">
            <w:pPr>
              <w:spacing w:line="360" w:lineRule="auto"/>
              <w:rPr>
                <w:rFonts w:ascii="Times New Roman" w:eastAsiaTheme="minorEastAsia" w:hAnsi="Times New Roman"/>
                <w:color w:val="000000"/>
                <w:sz w:val="24"/>
                <w:szCs w:val="24"/>
              </w:rPr>
            </w:pPr>
          </w:p>
        </w:tc>
      </w:tr>
      <w:tr w:rsidR="00AD1FC3" w:rsidRPr="00AA0FF8" w:rsidTr="0032491E">
        <w:trPr>
          <w:trHeight w:val="260"/>
        </w:trPr>
        <w:tc>
          <w:tcPr>
            <w:tcW w:w="788" w:type="dxa"/>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6</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519056</w:t>
            </w:r>
          </w:p>
        </w:tc>
        <w:tc>
          <w:tcPr>
            <w:tcW w:w="6167"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海富通内需热点混合型证券投资基金</w:t>
            </w:r>
          </w:p>
        </w:tc>
      </w:tr>
      <w:tr w:rsidR="00AD1FC3" w:rsidRPr="00AA0FF8" w:rsidTr="0032491E">
        <w:trPr>
          <w:trHeight w:val="260"/>
        </w:trPr>
        <w:tc>
          <w:tcPr>
            <w:tcW w:w="788" w:type="dxa"/>
            <w:vMerge w:val="restart"/>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7</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A</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519062</w:t>
            </w:r>
          </w:p>
        </w:tc>
        <w:tc>
          <w:tcPr>
            <w:tcW w:w="6167" w:type="dxa"/>
            <w:vMerge w:val="restart"/>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海富通阿尔法对冲混合型发起式证券投资基金</w:t>
            </w:r>
          </w:p>
        </w:tc>
      </w:tr>
      <w:tr w:rsidR="00AD1FC3" w:rsidRPr="00AA0FF8" w:rsidTr="0032491E">
        <w:trPr>
          <w:trHeight w:val="260"/>
        </w:trPr>
        <w:tc>
          <w:tcPr>
            <w:tcW w:w="788" w:type="dxa"/>
            <w:vMerge/>
            <w:vAlign w:val="center"/>
          </w:tcPr>
          <w:p w:rsidR="00AD1FC3" w:rsidRPr="00AA0FF8" w:rsidRDefault="00AD1FC3">
            <w:pPr>
              <w:spacing w:line="360" w:lineRule="auto"/>
              <w:jc w:val="center"/>
              <w:rPr>
                <w:rFonts w:ascii="Times New Roman" w:eastAsiaTheme="minorEastAsia" w:hAnsi="Times New Roman"/>
                <w:color w:val="000000"/>
                <w:sz w:val="24"/>
                <w:szCs w:val="24"/>
              </w:rPr>
            </w:pP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C</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008795</w:t>
            </w:r>
          </w:p>
        </w:tc>
        <w:tc>
          <w:tcPr>
            <w:tcW w:w="6167" w:type="dxa"/>
            <w:vMerge/>
            <w:vAlign w:val="center"/>
          </w:tcPr>
          <w:p w:rsidR="00AD1FC3" w:rsidRPr="00AA0FF8" w:rsidRDefault="00AD1FC3">
            <w:pPr>
              <w:spacing w:line="360" w:lineRule="auto"/>
              <w:jc w:val="left"/>
              <w:rPr>
                <w:rFonts w:ascii="Times New Roman" w:eastAsiaTheme="minorEastAsia" w:hAnsi="Times New Roman"/>
                <w:color w:val="000000"/>
                <w:sz w:val="24"/>
                <w:szCs w:val="24"/>
              </w:rPr>
            </w:pPr>
          </w:p>
        </w:tc>
      </w:tr>
      <w:tr w:rsidR="00AD1FC3" w:rsidRPr="00AA0FF8" w:rsidTr="0032491E">
        <w:trPr>
          <w:trHeight w:val="260"/>
        </w:trPr>
        <w:tc>
          <w:tcPr>
            <w:tcW w:w="788" w:type="dxa"/>
            <w:vMerge w:val="restart"/>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8</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A</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519130</w:t>
            </w:r>
          </w:p>
        </w:tc>
        <w:tc>
          <w:tcPr>
            <w:tcW w:w="6167" w:type="dxa"/>
            <w:vMerge w:val="restart"/>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海富通新内需灵活配置混合型证券投资基金</w:t>
            </w:r>
          </w:p>
        </w:tc>
      </w:tr>
      <w:tr w:rsidR="00AD1FC3" w:rsidRPr="00AA0FF8" w:rsidTr="0032491E">
        <w:trPr>
          <w:trHeight w:val="260"/>
        </w:trPr>
        <w:tc>
          <w:tcPr>
            <w:tcW w:w="788" w:type="dxa"/>
            <w:vMerge/>
            <w:vAlign w:val="center"/>
          </w:tcPr>
          <w:p w:rsidR="00AD1FC3" w:rsidRPr="00AA0FF8" w:rsidRDefault="00AD1FC3">
            <w:pPr>
              <w:spacing w:line="360" w:lineRule="auto"/>
              <w:jc w:val="center"/>
              <w:rPr>
                <w:rFonts w:ascii="Times New Roman" w:eastAsiaTheme="minorEastAsia" w:hAnsi="Times New Roman"/>
                <w:color w:val="000000"/>
                <w:sz w:val="24"/>
                <w:szCs w:val="24"/>
              </w:rPr>
            </w:pP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C</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002172</w:t>
            </w:r>
          </w:p>
        </w:tc>
        <w:tc>
          <w:tcPr>
            <w:tcW w:w="6167" w:type="dxa"/>
            <w:vMerge/>
            <w:vAlign w:val="center"/>
          </w:tcPr>
          <w:p w:rsidR="00AD1FC3" w:rsidRPr="00AA0FF8" w:rsidRDefault="00AD1FC3">
            <w:pPr>
              <w:spacing w:line="360" w:lineRule="auto"/>
              <w:jc w:val="left"/>
              <w:rPr>
                <w:rFonts w:ascii="Times New Roman" w:eastAsiaTheme="minorEastAsia" w:hAnsi="Times New Roman"/>
                <w:color w:val="000000"/>
                <w:sz w:val="24"/>
                <w:szCs w:val="24"/>
              </w:rPr>
            </w:pPr>
          </w:p>
        </w:tc>
      </w:tr>
      <w:tr w:rsidR="00AD1FC3" w:rsidRPr="00AA0FF8" w:rsidTr="0032491E">
        <w:trPr>
          <w:trHeight w:val="260"/>
        </w:trPr>
        <w:tc>
          <w:tcPr>
            <w:tcW w:w="788" w:type="dxa"/>
            <w:vMerge/>
            <w:vAlign w:val="center"/>
          </w:tcPr>
          <w:p w:rsidR="00AD1FC3" w:rsidRPr="00AA0FF8" w:rsidRDefault="00AD1FC3">
            <w:pPr>
              <w:spacing w:line="360" w:lineRule="auto"/>
              <w:jc w:val="center"/>
              <w:rPr>
                <w:rFonts w:ascii="Times New Roman" w:eastAsiaTheme="minorEastAsia" w:hAnsi="Times New Roman"/>
                <w:color w:val="000000"/>
                <w:sz w:val="24"/>
                <w:szCs w:val="24"/>
              </w:rPr>
            </w:pP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D</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024068</w:t>
            </w:r>
          </w:p>
        </w:tc>
        <w:tc>
          <w:tcPr>
            <w:tcW w:w="6167" w:type="dxa"/>
            <w:vMerge/>
            <w:vAlign w:val="center"/>
          </w:tcPr>
          <w:p w:rsidR="00AD1FC3" w:rsidRPr="00AA0FF8" w:rsidRDefault="00AD1FC3">
            <w:pPr>
              <w:spacing w:line="360" w:lineRule="auto"/>
              <w:jc w:val="left"/>
              <w:rPr>
                <w:rFonts w:ascii="Times New Roman" w:eastAsiaTheme="minorEastAsia" w:hAnsi="Times New Roman"/>
                <w:color w:val="000000"/>
                <w:sz w:val="24"/>
                <w:szCs w:val="24"/>
              </w:rPr>
            </w:pPr>
          </w:p>
        </w:tc>
      </w:tr>
      <w:tr w:rsidR="00AD1FC3" w:rsidRPr="00AA0FF8" w:rsidTr="0032491E">
        <w:trPr>
          <w:trHeight w:val="260"/>
        </w:trPr>
        <w:tc>
          <w:tcPr>
            <w:tcW w:w="788" w:type="dxa"/>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9</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519133</w:t>
            </w:r>
          </w:p>
        </w:tc>
        <w:tc>
          <w:tcPr>
            <w:tcW w:w="6167"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海富通改革驱动灵活配置混合型证券投资基金</w:t>
            </w:r>
          </w:p>
        </w:tc>
      </w:tr>
      <w:tr w:rsidR="00AD1FC3" w:rsidRPr="00AA0FF8" w:rsidTr="0032491E">
        <w:trPr>
          <w:trHeight w:val="260"/>
        </w:trPr>
        <w:tc>
          <w:tcPr>
            <w:tcW w:w="788" w:type="dxa"/>
            <w:noWrap/>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10</w:t>
            </w:r>
          </w:p>
        </w:tc>
        <w:tc>
          <w:tcPr>
            <w:tcW w:w="1865" w:type="dxa"/>
            <w:noWrap/>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519136</w:t>
            </w:r>
          </w:p>
        </w:tc>
        <w:tc>
          <w:tcPr>
            <w:tcW w:w="6167" w:type="dxa"/>
            <w:noWrap/>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海富通瑞丰债券型证券投资基金</w:t>
            </w:r>
          </w:p>
        </w:tc>
      </w:tr>
      <w:tr w:rsidR="00AD1FC3" w:rsidRPr="00AA0FF8" w:rsidTr="0032491E">
        <w:trPr>
          <w:trHeight w:val="260"/>
        </w:trPr>
        <w:tc>
          <w:tcPr>
            <w:tcW w:w="788" w:type="dxa"/>
            <w:noWrap/>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lastRenderedPageBreak/>
              <w:t>11</w:t>
            </w:r>
          </w:p>
        </w:tc>
        <w:tc>
          <w:tcPr>
            <w:tcW w:w="1865" w:type="dxa"/>
            <w:noWrap/>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519220</w:t>
            </w:r>
          </w:p>
        </w:tc>
        <w:tc>
          <w:tcPr>
            <w:tcW w:w="6167" w:type="dxa"/>
            <w:noWrap/>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海富通聚利纯债债券型证券投资基金</w:t>
            </w:r>
          </w:p>
        </w:tc>
      </w:tr>
      <w:tr w:rsidR="00AD1FC3" w:rsidRPr="00AA0FF8" w:rsidTr="0032491E">
        <w:trPr>
          <w:trHeight w:val="260"/>
        </w:trPr>
        <w:tc>
          <w:tcPr>
            <w:tcW w:w="788" w:type="dxa"/>
            <w:vMerge w:val="restart"/>
            <w:noWrap/>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12</w:t>
            </w:r>
          </w:p>
        </w:tc>
        <w:tc>
          <w:tcPr>
            <w:tcW w:w="1865" w:type="dxa"/>
            <w:noWrap/>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A</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519222</w:t>
            </w:r>
          </w:p>
        </w:tc>
        <w:tc>
          <w:tcPr>
            <w:tcW w:w="6167" w:type="dxa"/>
            <w:vMerge w:val="restart"/>
            <w:noWrap/>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海富通欣益灵活配置混合型证券投资基金</w:t>
            </w:r>
          </w:p>
        </w:tc>
      </w:tr>
      <w:tr w:rsidR="00AD1FC3" w:rsidRPr="00AA0FF8" w:rsidTr="0032491E">
        <w:trPr>
          <w:trHeight w:val="260"/>
        </w:trPr>
        <w:tc>
          <w:tcPr>
            <w:tcW w:w="788" w:type="dxa"/>
            <w:vMerge/>
            <w:noWrap/>
            <w:vAlign w:val="center"/>
          </w:tcPr>
          <w:p w:rsidR="00AD1FC3" w:rsidRPr="00AA0FF8" w:rsidRDefault="00AD1FC3">
            <w:pPr>
              <w:spacing w:line="360" w:lineRule="auto"/>
              <w:jc w:val="center"/>
              <w:rPr>
                <w:rFonts w:ascii="Times New Roman" w:eastAsiaTheme="minorEastAsia" w:hAnsi="Times New Roman"/>
                <w:color w:val="000000"/>
                <w:sz w:val="24"/>
                <w:szCs w:val="24"/>
              </w:rPr>
            </w:pPr>
          </w:p>
        </w:tc>
        <w:tc>
          <w:tcPr>
            <w:tcW w:w="1865" w:type="dxa"/>
            <w:noWrap/>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C</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519221</w:t>
            </w:r>
          </w:p>
        </w:tc>
        <w:tc>
          <w:tcPr>
            <w:tcW w:w="6167" w:type="dxa"/>
            <w:vMerge/>
            <w:noWrap/>
            <w:vAlign w:val="center"/>
          </w:tcPr>
          <w:p w:rsidR="00AD1FC3" w:rsidRPr="00AA0FF8" w:rsidRDefault="00AD1FC3">
            <w:pPr>
              <w:spacing w:line="360" w:lineRule="auto"/>
              <w:jc w:val="left"/>
              <w:rPr>
                <w:rFonts w:ascii="Times New Roman" w:eastAsiaTheme="minorEastAsia" w:hAnsi="Times New Roman"/>
                <w:color w:val="000000"/>
                <w:sz w:val="24"/>
                <w:szCs w:val="24"/>
              </w:rPr>
            </w:pPr>
          </w:p>
        </w:tc>
      </w:tr>
      <w:tr w:rsidR="00AD1FC3" w:rsidRPr="00AA0FF8" w:rsidTr="0032491E">
        <w:trPr>
          <w:trHeight w:val="260"/>
        </w:trPr>
        <w:tc>
          <w:tcPr>
            <w:tcW w:w="788" w:type="dxa"/>
            <w:vAlign w:val="center"/>
          </w:tcPr>
          <w:p w:rsidR="00AD1FC3" w:rsidRPr="00AA0FF8" w:rsidRDefault="00092556">
            <w:pPr>
              <w:widowControl/>
              <w:spacing w:line="360" w:lineRule="auto"/>
              <w:jc w:val="center"/>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13</w:t>
            </w:r>
          </w:p>
        </w:tc>
        <w:tc>
          <w:tcPr>
            <w:tcW w:w="1865" w:type="dxa"/>
            <w:vAlign w:val="center"/>
          </w:tcPr>
          <w:p w:rsidR="00AD1FC3" w:rsidRPr="00AA0FF8" w:rsidRDefault="00092556">
            <w:pPr>
              <w:widowControl/>
              <w:spacing w:line="360" w:lineRule="auto"/>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C</w:t>
            </w:r>
            <w:r w:rsidRPr="00AA0FF8">
              <w:rPr>
                <w:rFonts w:ascii="Times New Roman" w:eastAsiaTheme="minorEastAsia" w:hAnsi="Times New Roman"/>
                <w:color w:val="000000"/>
                <w:kern w:val="0"/>
                <w:sz w:val="24"/>
                <w:szCs w:val="24"/>
                <w:lang/>
              </w:rPr>
              <w:t>类：</w:t>
            </w:r>
            <w:r w:rsidRPr="00AA0FF8">
              <w:rPr>
                <w:rFonts w:ascii="Times New Roman" w:eastAsiaTheme="minorEastAsia" w:hAnsi="Times New Roman"/>
                <w:color w:val="000000"/>
                <w:kern w:val="0"/>
                <w:sz w:val="24"/>
                <w:szCs w:val="24"/>
                <w:lang/>
              </w:rPr>
              <w:t>010224</w:t>
            </w:r>
          </w:p>
        </w:tc>
        <w:tc>
          <w:tcPr>
            <w:tcW w:w="6167" w:type="dxa"/>
            <w:vAlign w:val="center"/>
          </w:tcPr>
          <w:p w:rsidR="00AD1FC3" w:rsidRPr="00AA0FF8" w:rsidRDefault="00092556">
            <w:pPr>
              <w:widowControl/>
              <w:spacing w:line="360" w:lineRule="auto"/>
              <w:jc w:val="left"/>
              <w:textAlignment w:val="center"/>
              <w:rPr>
                <w:rFonts w:ascii="Times New Roman" w:eastAsiaTheme="minorEastAsia" w:hAnsi="Times New Roman"/>
                <w:color w:val="000000"/>
                <w:sz w:val="24"/>
                <w:szCs w:val="24"/>
              </w:rPr>
            </w:pPr>
            <w:r w:rsidRPr="00AA0FF8">
              <w:rPr>
                <w:rFonts w:ascii="Times New Roman" w:eastAsiaTheme="minorEastAsia" w:hAnsi="Times New Roman"/>
                <w:color w:val="000000"/>
                <w:kern w:val="0"/>
                <w:sz w:val="24"/>
                <w:szCs w:val="24"/>
                <w:lang/>
              </w:rPr>
              <w:t>海富通中证</w:t>
            </w:r>
            <w:r w:rsidRPr="00AA0FF8">
              <w:rPr>
                <w:rFonts w:ascii="Times New Roman" w:eastAsiaTheme="minorEastAsia" w:hAnsi="Times New Roman"/>
                <w:color w:val="000000"/>
                <w:kern w:val="0"/>
                <w:sz w:val="24"/>
                <w:szCs w:val="24"/>
                <w:lang/>
              </w:rPr>
              <w:t>A100</w:t>
            </w:r>
            <w:r w:rsidRPr="00AA0FF8">
              <w:rPr>
                <w:rFonts w:ascii="Times New Roman" w:eastAsiaTheme="minorEastAsia" w:hAnsi="Times New Roman"/>
                <w:color w:val="000000"/>
                <w:kern w:val="0"/>
                <w:sz w:val="24"/>
                <w:szCs w:val="24"/>
                <w:lang/>
              </w:rPr>
              <w:t>指数证券投资基金（</w:t>
            </w:r>
            <w:r w:rsidRPr="00AA0FF8">
              <w:rPr>
                <w:rFonts w:ascii="Times New Roman" w:eastAsiaTheme="minorEastAsia" w:hAnsi="Times New Roman"/>
                <w:color w:val="000000"/>
                <w:kern w:val="0"/>
                <w:sz w:val="24"/>
                <w:szCs w:val="24"/>
                <w:lang/>
              </w:rPr>
              <w:t>LOF</w:t>
            </w:r>
            <w:r w:rsidRPr="00AA0FF8">
              <w:rPr>
                <w:rFonts w:ascii="Times New Roman" w:eastAsiaTheme="minorEastAsia" w:hAnsi="Times New Roman"/>
                <w:color w:val="000000"/>
                <w:kern w:val="0"/>
                <w:sz w:val="24"/>
                <w:szCs w:val="24"/>
                <w:lang/>
              </w:rPr>
              <w:t>）</w:t>
            </w:r>
          </w:p>
        </w:tc>
      </w:tr>
    </w:tbl>
    <w:p w:rsidR="00AD1FC3" w:rsidRPr="00AA0FF8" w:rsidRDefault="00092556">
      <w:pPr>
        <w:spacing w:line="360" w:lineRule="auto"/>
        <w:ind w:firstLine="420"/>
        <w:rPr>
          <w:rFonts w:ascii="Times New Roman" w:eastAsiaTheme="minorEastAsia" w:hAnsi="Times New Roman"/>
          <w:b/>
          <w:sz w:val="24"/>
          <w:szCs w:val="24"/>
        </w:rPr>
      </w:pPr>
      <w:r w:rsidRPr="00AA0FF8">
        <w:rPr>
          <w:rFonts w:ascii="Times New Roman" w:eastAsiaTheme="minorEastAsia" w:hAnsi="Times New Roman"/>
          <w:b/>
          <w:sz w:val="24"/>
          <w:szCs w:val="24"/>
        </w:rPr>
        <w:t>二、业务开通时间</w:t>
      </w:r>
    </w:p>
    <w:p w:rsidR="00AD1FC3" w:rsidRPr="00AA0FF8" w:rsidRDefault="00092556">
      <w:pPr>
        <w:spacing w:line="360" w:lineRule="auto"/>
        <w:ind w:firstLine="420"/>
        <w:rPr>
          <w:rFonts w:ascii="Times New Roman" w:eastAsiaTheme="minorEastAsia" w:hAnsi="Times New Roman"/>
          <w:b/>
          <w:sz w:val="24"/>
          <w:szCs w:val="24"/>
        </w:rPr>
      </w:pPr>
      <w:r w:rsidRPr="00AA0FF8">
        <w:rPr>
          <w:rFonts w:ascii="Times New Roman" w:eastAsiaTheme="minorEastAsia" w:hAnsi="Times New Roman"/>
          <w:sz w:val="24"/>
          <w:szCs w:val="24"/>
        </w:rPr>
        <w:t>自</w:t>
      </w:r>
      <w:r w:rsidRPr="00AA0FF8">
        <w:rPr>
          <w:rFonts w:ascii="Times New Roman" w:eastAsiaTheme="minorEastAsia" w:hAnsi="Times New Roman"/>
          <w:kern w:val="0"/>
          <w:sz w:val="24"/>
          <w:szCs w:val="24"/>
        </w:rPr>
        <w:t>2026</w:t>
      </w:r>
      <w:r w:rsidRPr="00AA0FF8">
        <w:rPr>
          <w:rFonts w:ascii="Times New Roman" w:eastAsiaTheme="minorEastAsia" w:hAnsi="Times New Roman"/>
          <w:kern w:val="0"/>
          <w:sz w:val="24"/>
          <w:szCs w:val="24"/>
        </w:rPr>
        <w:t>年</w:t>
      </w:r>
      <w:r w:rsidRPr="00AA0FF8">
        <w:rPr>
          <w:rFonts w:ascii="Times New Roman" w:eastAsiaTheme="minorEastAsia" w:hAnsi="Times New Roman"/>
          <w:kern w:val="0"/>
          <w:sz w:val="24"/>
          <w:szCs w:val="24"/>
        </w:rPr>
        <w:t>4</w:t>
      </w:r>
      <w:r w:rsidRPr="00AA0FF8">
        <w:rPr>
          <w:rFonts w:ascii="Times New Roman" w:eastAsiaTheme="minorEastAsia" w:hAnsi="Times New Roman"/>
          <w:kern w:val="0"/>
          <w:sz w:val="24"/>
          <w:szCs w:val="24"/>
        </w:rPr>
        <w:t>月</w:t>
      </w:r>
      <w:r w:rsidRPr="00AA0FF8">
        <w:rPr>
          <w:rFonts w:ascii="Times New Roman" w:eastAsiaTheme="minorEastAsia" w:hAnsi="Times New Roman"/>
          <w:kern w:val="0"/>
          <w:sz w:val="24"/>
          <w:szCs w:val="24"/>
        </w:rPr>
        <w:t>22</w:t>
      </w:r>
      <w:r w:rsidRPr="00AA0FF8">
        <w:rPr>
          <w:rFonts w:ascii="Times New Roman" w:eastAsiaTheme="minorEastAsia" w:hAnsi="Times New Roman"/>
          <w:kern w:val="0"/>
          <w:sz w:val="24"/>
          <w:szCs w:val="24"/>
        </w:rPr>
        <w:t>日</w:t>
      </w:r>
      <w:r w:rsidRPr="00AA0FF8">
        <w:rPr>
          <w:rFonts w:ascii="Times New Roman" w:eastAsiaTheme="minorEastAsia" w:hAnsi="Times New Roman"/>
          <w:sz w:val="24"/>
          <w:szCs w:val="24"/>
        </w:rPr>
        <w:t>起，投资者可在东莞证券办理上述开放式基金的开户、申购、赎回等业务。具体的业务流程、业务开通情况、办理方式和办理时间等以东莞证券的规定为准。</w:t>
      </w:r>
    </w:p>
    <w:p w:rsidR="00AD1FC3" w:rsidRPr="00AA0FF8" w:rsidRDefault="00092556">
      <w:pPr>
        <w:spacing w:line="360" w:lineRule="auto"/>
        <w:ind w:firstLine="420"/>
        <w:rPr>
          <w:rFonts w:ascii="Times New Roman" w:eastAsiaTheme="minorEastAsia" w:hAnsi="Times New Roman"/>
          <w:b/>
          <w:sz w:val="24"/>
          <w:szCs w:val="24"/>
        </w:rPr>
      </w:pPr>
      <w:r w:rsidRPr="00AA0FF8">
        <w:rPr>
          <w:rFonts w:ascii="Times New Roman" w:eastAsiaTheme="minorEastAsia" w:hAnsi="Times New Roman"/>
          <w:b/>
          <w:sz w:val="24"/>
          <w:szCs w:val="24"/>
        </w:rPr>
        <w:t>三、适用投资者范围</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符合法律法规及基金合同规定的投资者。</w:t>
      </w:r>
    </w:p>
    <w:p w:rsidR="00AD1FC3" w:rsidRPr="00AA0FF8" w:rsidRDefault="00092556">
      <w:pPr>
        <w:spacing w:line="360" w:lineRule="auto"/>
        <w:ind w:firstLine="420"/>
        <w:rPr>
          <w:rFonts w:ascii="Times New Roman" w:eastAsiaTheme="minorEastAsia" w:hAnsi="Times New Roman"/>
          <w:b/>
          <w:sz w:val="24"/>
          <w:szCs w:val="24"/>
        </w:rPr>
      </w:pPr>
      <w:r w:rsidRPr="00AA0FF8">
        <w:rPr>
          <w:rFonts w:ascii="Times New Roman" w:eastAsiaTheme="minorEastAsia" w:hAnsi="Times New Roman"/>
          <w:b/>
          <w:sz w:val="24"/>
          <w:szCs w:val="24"/>
        </w:rPr>
        <w:t>四、费率优惠活动</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1</w:t>
      </w:r>
      <w:r w:rsidRPr="00AA0FF8">
        <w:rPr>
          <w:rFonts w:ascii="Times New Roman" w:eastAsiaTheme="minorEastAsia" w:hAnsi="Times New Roman"/>
          <w:sz w:val="24"/>
          <w:szCs w:val="24"/>
        </w:rPr>
        <w:t>、费率优惠内容</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自</w:t>
      </w:r>
      <w:r w:rsidRPr="00AA0FF8">
        <w:rPr>
          <w:rFonts w:ascii="Times New Roman" w:eastAsiaTheme="minorEastAsia" w:hAnsi="Times New Roman"/>
          <w:kern w:val="0"/>
          <w:sz w:val="24"/>
          <w:szCs w:val="24"/>
        </w:rPr>
        <w:t>2026</w:t>
      </w:r>
      <w:r w:rsidRPr="00AA0FF8">
        <w:rPr>
          <w:rFonts w:ascii="Times New Roman" w:eastAsiaTheme="minorEastAsia" w:hAnsi="Times New Roman"/>
          <w:kern w:val="0"/>
          <w:sz w:val="24"/>
          <w:szCs w:val="24"/>
        </w:rPr>
        <w:t>年</w:t>
      </w:r>
      <w:r w:rsidRPr="00AA0FF8">
        <w:rPr>
          <w:rFonts w:ascii="Times New Roman" w:eastAsiaTheme="minorEastAsia" w:hAnsi="Times New Roman"/>
          <w:kern w:val="0"/>
          <w:sz w:val="24"/>
          <w:szCs w:val="24"/>
        </w:rPr>
        <w:t>4</w:t>
      </w:r>
      <w:r w:rsidRPr="00AA0FF8">
        <w:rPr>
          <w:rFonts w:ascii="Times New Roman" w:eastAsiaTheme="minorEastAsia" w:hAnsi="Times New Roman"/>
          <w:kern w:val="0"/>
          <w:sz w:val="24"/>
          <w:szCs w:val="24"/>
        </w:rPr>
        <w:t>月</w:t>
      </w:r>
      <w:r w:rsidRPr="00AA0FF8">
        <w:rPr>
          <w:rFonts w:ascii="Times New Roman" w:eastAsiaTheme="minorEastAsia" w:hAnsi="Times New Roman"/>
          <w:kern w:val="0"/>
          <w:sz w:val="24"/>
          <w:szCs w:val="24"/>
        </w:rPr>
        <w:t>22</w:t>
      </w:r>
      <w:r w:rsidRPr="00AA0FF8">
        <w:rPr>
          <w:rFonts w:ascii="Times New Roman" w:eastAsiaTheme="minorEastAsia" w:hAnsi="Times New Roman"/>
          <w:kern w:val="0"/>
          <w:sz w:val="24"/>
          <w:szCs w:val="24"/>
        </w:rPr>
        <w:t>日</w:t>
      </w:r>
      <w:r w:rsidRPr="00AA0FF8">
        <w:rPr>
          <w:rFonts w:ascii="Times New Roman" w:eastAsiaTheme="minorEastAsia" w:hAnsi="Times New Roman"/>
          <w:sz w:val="24"/>
          <w:szCs w:val="24"/>
        </w:rPr>
        <w:t>起，投资者通过东莞证券申购本公司上述开放式基金，在不违反法律法规和基金合同的相关要求下，申购（含定期定额申购）费率不设折扣限制（执行固定申购费用的除外），具体折扣费率以东莞证券</w:t>
      </w:r>
      <w:r w:rsidRPr="00AA0FF8">
        <w:rPr>
          <w:rFonts w:ascii="Times New Roman" w:eastAsiaTheme="minorEastAsia" w:hAnsi="Times New Roman"/>
          <w:kern w:val="0"/>
          <w:sz w:val="24"/>
          <w:szCs w:val="24"/>
        </w:rPr>
        <w:t>的</w:t>
      </w:r>
      <w:r w:rsidRPr="00AA0FF8">
        <w:rPr>
          <w:rFonts w:ascii="Times New Roman" w:eastAsiaTheme="minorEastAsia" w:hAnsi="Times New Roman"/>
          <w:sz w:val="24"/>
          <w:szCs w:val="24"/>
        </w:rPr>
        <w:t>活动为准。基金原费率请详见基金合同、招募说明书等法律文件，以及本公司发布的最新</w:t>
      </w:r>
      <w:r w:rsidRPr="00AA0FF8">
        <w:rPr>
          <w:rFonts w:ascii="Times New Roman" w:eastAsiaTheme="minorEastAsia" w:hAnsi="Times New Roman"/>
          <w:sz w:val="24"/>
          <w:szCs w:val="24"/>
        </w:rPr>
        <w:t>业务公告。</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费率优惠期限内，如本公司新增通过东莞证券销售的基金产品，其申购业务将同时享有上述费率优惠。</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2</w:t>
      </w:r>
      <w:r w:rsidRPr="00AA0FF8">
        <w:rPr>
          <w:rFonts w:ascii="Times New Roman" w:eastAsiaTheme="minorEastAsia" w:hAnsi="Times New Roman"/>
          <w:sz w:val="24"/>
          <w:szCs w:val="24"/>
        </w:rPr>
        <w:t>、费率优惠期限</w:t>
      </w:r>
      <w:r w:rsidRPr="00AA0FF8">
        <w:rPr>
          <w:rFonts w:ascii="Times New Roman" w:eastAsiaTheme="minorEastAsia" w:hAnsi="Times New Roman"/>
          <w:sz w:val="24"/>
          <w:szCs w:val="24"/>
        </w:rPr>
        <w:t xml:space="preserve"> </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以东莞证券官方网站所示公告为准。</w:t>
      </w:r>
    </w:p>
    <w:p w:rsidR="00AD1FC3" w:rsidRPr="00AA0FF8" w:rsidRDefault="00092556">
      <w:pPr>
        <w:spacing w:line="360" w:lineRule="auto"/>
        <w:ind w:firstLine="420"/>
        <w:rPr>
          <w:rFonts w:ascii="Times New Roman" w:eastAsiaTheme="minorEastAsia" w:hAnsi="Times New Roman"/>
          <w:b/>
          <w:sz w:val="24"/>
          <w:szCs w:val="24"/>
        </w:rPr>
      </w:pPr>
      <w:r w:rsidRPr="00AA0FF8">
        <w:rPr>
          <w:rFonts w:ascii="Times New Roman" w:eastAsiaTheme="minorEastAsia" w:hAnsi="Times New Roman"/>
          <w:b/>
          <w:sz w:val="24"/>
          <w:szCs w:val="24"/>
        </w:rPr>
        <w:t>五、重要提示</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1</w:t>
      </w:r>
      <w:r w:rsidRPr="00AA0FF8">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2</w:t>
      </w:r>
      <w:r w:rsidRPr="00AA0FF8">
        <w:rPr>
          <w:rFonts w:ascii="Times New Roman" w:eastAsiaTheme="minorEastAsia" w:hAnsi="Times New Roman"/>
          <w:sz w:val="24"/>
          <w:szCs w:val="24"/>
        </w:rPr>
        <w:t>、本次费率优惠活动仅适用于本公司在东莞证券处于正常申购期的基金产品的前端收费模式。</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3</w:t>
      </w:r>
      <w:r w:rsidRPr="00AA0FF8">
        <w:rPr>
          <w:rFonts w:ascii="Times New Roman" w:eastAsiaTheme="minorEastAsia" w:hAnsi="Times New Roman"/>
          <w:sz w:val="24"/>
          <w:szCs w:val="24"/>
        </w:rPr>
        <w:t>、本优惠活动仅适用于本公司产品在东莞证券申购（含定期定额申购）业务的手续费，不包括基金赎回等其他业务的手续费。</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4</w:t>
      </w:r>
      <w:r w:rsidRPr="00AA0FF8">
        <w:rPr>
          <w:rFonts w:ascii="Times New Roman" w:eastAsiaTheme="minorEastAsia" w:hAnsi="Times New Roman"/>
          <w:sz w:val="24"/>
          <w:szCs w:val="24"/>
        </w:rPr>
        <w:t>、基金定投费率优惠活动参</w:t>
      </w:r>
      <w:r w:rsidRPr="00AA0FF8">
        <w:rPr>
          <w:rFonts w:ascii="Times New Roman" w:eastAsiaTheme="minorEastAsia" w:hAnsi="Times New Roman"/>
          <w:sz w:val="24"/>
          <w:szCs w:val="24"/>
        </w:rPr>
        <w:t>与基金产品需已在东莞证券开通了基金定投业务。</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5</w:t>
      </w:r>
      <w:r w:rsidRPr="00AA0FF8">
        <w:rPr>
          <w:rFonts w:ascii="Times New Roman" w:eastAsiaTheme="minorEastAsia" w:hAnsi="Times New Roman"/>
          <w:sz w:val="24"/>
          <w:szCs w:val="24"/>
        </w:rPr>
        <w:t>、费率优惠活动解释权归东莞证券所有，有关优惠活动的具体规定如有变化，敬请投资者留意前述销售机构的有关公告。</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6</w:t>
      </w:r>
      <w:r w:rsidRPr="00AA0FF8">
        <w:rPr>
          <w:rFonts w:ascii="Times New Roman" w:eastAsiaTheme="minorEastAsia" w:hAnsi="Times New Roman"/>
          <w:sz w:val="24"/>
          <w:szCs w:val="24"/>
        </w:rPr>
        <w:t>、</w:t>
      </w:r>
      <w:r w:rsidRPr="00AA0FF8">
        <w:rPr>
          <w:rFonts w:ascii="Times New Roman" w:eastAsiaTheme="minorEastAsia" w:hAnsi="Times New Roman"/>
          <w:sz w:val="24"/>
          <w:szCs w:val="24"/>
          <w:lang/>
        </w:rPr>
        <w:t>海富通一年定期开放债券型证券投资基金</w:t>
      </w:r>
      <w:r w:rsidRPr="00AA0FF8">
        <w:rPr>
          <w:rFonts w:ascii="Times New Roman" w:eastAsiaTheme="minorEastAsia" w:hAnsi="Times New Roman"/>
          <w:sz w:val="24"/>
          <w:szCs w:val="24"/>
        </w:rPr>
        <w:t>的开放申购赎回安排请见本公司最新业务公告。</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7</w:t>
      </w:r>
      <w:r w:rsidRPr="00AA0FF8">
        <w:rPr>
          <w:rFonts w:ascii="Times New Roman" w:eastAsiaTheme="minorEastAsia" w:hAnsi="Times New Roman"/>
          <w:sz w:val="24"/>
          <w:szCs w:val="24"/>
        </w:rPr>
        <w:t>、特别提示投资人关注上述基金产品的基金合同、招募说明书等法律文件及基金管理人的风险提示。</w:t>
      </w:r>
    </w:p>
    <w:p w:rsidR="00AD1FC3" w:rsidRPr="00AA0FF8" w:rsidRDefault="00092556">
      <w:pPr>
        <w:spacing w:line="360" w:lineRule="auto"/>
        <w:ind w:firstLine="420"/>
        <w:rPr>
          <w:rFonts w:ascii="Times New Roman" w:eastAsiaTheme="minorEastAsia" w:hAnsi="Times New Roman"/>
          <w:b/>
          <w:sz w:val="24"/>
          <w:szCs w:val="24"/>
        </w:rPr>
      </w:pPr>
      <w:r w:rsidRPr="00AA0FF8">
        <w:rPr>
          <w:rFonts w:ascii="Times New Roman" w:eastAsiaTheme="minorEastAsia" w:hAnsi="Times New Roman"/>
          <w:b/>
          <w:sz w:val="24"/>
          <w:szCs w:val="24"/>
        </w:rPr>
        <w:t>六、投资者可通过以下途径咨询有关详情：</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1</w:t>
      </w:r>
      <w:r w:rsidRPr="00AA0FF8">
        <w:rPr>
          <w:rFonts w:ascii="Times New Roman" w:eastAsiaTheme="minorEastAsia" w:hAnsi="Times New Roman"/>
          <w:sz w:val="24"/>
          <w:szCs w:val="24"/>
        </w:rPr>
        <w:t>、东莞证券股份有限公司</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网站：</w:t>
      </w:r>
      <w:r w:rsidRPr="00AA0FF8">
        <w:rPr>
          <w:rFonts w:ascii="Times New Roman" w:eastAsiaTheme="minorEastAsia" w:hAnsi="Times New Roman"/>
          <w:sz w:val="24"/>
          <w:szCs w:val="24"/>
        </w:rPr>
        <w:t>www.dgzq.com.cn</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客户服务电话：</w:t>
      </w:r>
      <w:r w:rsidRPr="00AA0FF8">
        <w:rPr>
          <w:rFonts w:ascii="Times New Roman" w:eastAsiaTheme="minorEastAsia" w:hAnsi="Times New Roman"/>
          <w:sz w:val="24"/>
          <w:szCs w:val="24"/>
        </w:rPr>
        <w:t>95328</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2</w:t>
      </w:r>
      <w:r w:rsidRPr="00AA0FF8">
        <w:rPr>
          <w:rFonts w:ascii="Times New Roman" w:eastAsiaTheme="minorEastAsia" w:hAnsi="Times New Roman"/>
          <w:sz w:val="24"/>
          <w:szCs w:val="24"/>
        </w:rPr>
        <w:t>、海富通基金管理有限公司</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网站：</w:t>
      </w:r>
      <w:r w:rsidRPr="00AA0FF8">
        <w:rPr>
          <w:rFonts w:ascii="Times New Roman" w:eastAsiaTheme="minorEastAsia" w:hAnsi="Times New Roman"/>
          <w:sz w:val="24"/>
          <w:szCs w:val="24"/>
        </w:rPr>
        <w:t>www.hftfund.com</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客户服务电话：</w:t>
      </w:r>
      <w:r w:rsidRPr="00AA0FF8">
        <w:rPr>
          <w:rFonts w:ascii="Times New Roman" w:eastAsiaTheme="minorEastAsia" w:hAnsi="Times New Roman"/>
          <w:sz w:val="24"/>
          <w:szCs w:val="24"/>
        </w:rPr>
        <w:t>40088-40099</w:t>
      </w:r>
      <w:r w:rsidRPr="00AA0FF8">
        <w:rPr>
          <w:rFonts w:ascii="Times New Roman" w:eastAsiaTheme="minorEastAsia" w:hAnsi="Times New Roman"/>
          <w:sz w:val="24"/>
          <w:szCs w:val="24"/>
        </w:rPr>
        <w:t>（免长途话费）</w:t>
      </w:r>
    </w:p>
    <w:p w:rsidR="00AD1FC3" w:rsidRPr="00AA0FF8" w:rsidRDefault="00092556">
      <w:pPr>
        <w:spacing w:line="360" w:lineRule="auto"/>
        <w:ind w:firstLine="420"/>
        <w:rPr>
          <w:rFonts w:ascii="Times New Roman" w:eastAsiaTheme="minorEastAsia" w:hAnsi="Times New Roman"/>
          <w:sz w:val="24"/>
          <w:szCs w:val="24"/>
        </w:rPr>
      </w:pPr>
      <w:r w:rsidRPr="00AA0FF8">
        <w:rPr>
          <w:rFonts w:ascii="Times New Roman" w:eastAsiaTheme="minorEastAsia" w:hAnsi="Times New Roman"/>
          <w:sz w:val="24"/>
          <w:szCs w:val="24"/>
        </w:rPr>
        <w:t>官方微信服务号：</w:t>
      </w:r>
      <w:r w:rsidRPr="00AA0FF8">
        <w:rPr>
          <w:rFonts w:ascii="Times New Roman" w:eastAsiaTheme="minorEastAsia" w:hAnsi="Times New Roman"/>
          <w:sz w:val="24"/>
          <w:szCs w:val="24"/>
        </w:rPr>
        <w:t>fund_hft</w:t>
      </w:r>
    </w:p>
    <w:p w:rsidR="00AD1FC3" w:rsidRPr="00AA0FF8" w:rsidRDefault="00AD1FC3">
      <w:pPr>
        <w:spacing w:line="360" w:lineRule="auto"/>
        <w:ind w:firstLine="420"/>
        <w:rPr>
          <w:rFonts w:ascii="Times New Roman" w:eastAsiaTheme="minorEastAsia" w:hAnsi="Times New Roman"/>
          <w:sz w:val="24"/>
          <w:szCs w:val="24"/>
        </w:rPr>
      </w:pPr>
    </w:p>
    <w:p w:rsidR="00AD1FC3" w:rsidRPr="00AA0FF8" w:rsidRDefault="00092556">
      <w:pPr>
        <w:spacing w:line="360" w:lineRule="auto"/>
        <w:ind w:firstLine="420"/>
        <w:rPr>
          <w:rFonts w:ascii="Times New Roman" w:hAnsi="Times New Roman"/>
          <w:sz w:val="24"/>
          <w:szCs w:val="24"/>
        </w:rPr>
      </w:pPr>
      <w:r w:rsidRPr="00AA0FF8">
        <w:rPr>
          <w:rFonts w:ascii="Times New Roman" w:hAnsi="Times New Roman"/>
          <w:sz w:val="24"/>
          <w:szCs w:val="24"/>
        </w:rPr>
        <w:t>本公告的解释权归海富通基金管理有限公司。</w:t>
      </w:r>
    </w:p>
    <w:p w:rsidR="00AD1FC3" w:rsidRPr="00AA0FF8" w:rsidRDefault="00AD1FC3">
      <w:pPr>
        <w:spacing w:line="360" w:lineRule="auto"/>
        <w:ind w:firstLine="420"/>
        <w:rPr>
          <w:rFonts w:ascii="Times New Roman" w:hAnsi="Times New Roman"/>
          <w:sz w:val="24"/>
          <w:szCs w:val="24"/>
        </w:rPr>
      </w:pPr>
    </w:p>
    <w:p w:rsidR="00AD1FC3" w:rsidRPr="00AA0FF8" w:rsidRDefault="00092556">
      <w:pPr>
        <w:spacing w:line="360" w:lineRule="auto"/>
        <w:ind w:firstLine="420"/>
        <w:rPr>
          <w:rFonts w:ascii="Times New Roman" w:hAnsi="Times New Roman"/>
          <w:sz w:val="24"/>
          <w:szCs w:val="24"/>
          <w:lang/>
        </w:rPr>
      </w:pPr>
      <w:r w:rsidRPr="00AA0FF8">
        <w:rPr>
          <w:rFonts w:ascii="Times New Roman" w:hAnsi="Times New Roman"/>
          <w:sz w:val="24"/>
          <w:szCs w:val="24"/>
        </w:rPr>
        <w:t>风险提示：</w:t>
      </w:r>
      <w:r w:rsidRPr="00AA0FF8">
        <w:rPr>
          <w:rFonts w:ascii="Times New Roman" w:hAnsi="Times New Roman"/>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AA0FF8">
        <w:rPr>
          <w:rFonts w:ascii="Times New Roman" w:hAnsi="Times New Roman"/>
          <w:sz w:val="24"/>
          <w:szCs w:val="24"/>
          <w:lang/>
        </w:rPr>
        <w:t>“</w:t>
      </w:r>
      <w:r w:rsidRPr="00AA0FF8">
        <w:rPr>
          <w:rFonts w:ascii="Times New Roman" w:hAnsi="Times New Roman"/>
          <w:sz w:val="24"/>
          <w:szCs w:val="24"/>
          <w:lang/>
        </w:rPr>
        <w:t>买者自负</w:t>
      </w:r>
      <w:r w:rsidRPr="00AA0FF8">
        <w:rPr>
          <w:rFonts w:ascii="Times New Roman" w:hAnsi="Times New Roman"/>
          <w:sz w:val="24"/>
          <w:szCs w:val="24"/>
          <w:lang/>
        </w:rPr>
        <w:t>”</w:t>
      </w:r>
      <w:r w:rsidRPr="00AA0FF8">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AD1FC3" w:rsidRPr="00AA0FF8" w:rsidRDefault="00AD1FC3">
      <w:pPr>
        <w:spacing w:line="360" w:lineRule="auto"/>
        <w:ind w:firstLine="420"/>
        <w:rPr>
          <w:rFonts w:ascii="Times New Roman" w:hAnsi="Times New Roman"/>
          <w:sz w:val="24"/>
          <w:szCs w:val="24"/>
        </w:rPr>
      </w:pPr>
    </w:p>
    <w:p w:rsidR="00AD1FC3" w:rsidRPr="00AA0FF8" w:rsidRDefault="00092556">
      <w:pPr>
        <w:spacing w:line="360" w:lineRule="auto"/>
        <w:ind w:firstLine="420"/>
        <w:rPr>
          <w:rFonts w:ascii="Times New Roman" w:hAnsi="Times New Roman"/>
          <w:sz w:val="24"/>
          <w:szCs w:val="24"/>
        </w:rPr>
      </w:pPr>
      <w:r w:rsidRPr="00AA0FF8">
        <w:rPr>
          <w:rFonts w:ascii="Times New Roman" w:hAnsi="Times New Roman"/>
          <w:sz w:val="24"/>
          <w:szCs w:val="24"/>
        </w:rPr>
        <w:t>特此公告。</w:t>
      </w:r>
    </w:p>
    <w:p w:rsidR="00AD1FC3" w:rsidRPr="00AA0FF8" w:rsidRDefault="00AD1FC3">
      <w:pPr>
        <w:spacing w:line="360" w:lineRule="auto"/>
        <w:ind w:firstLine="420"/>
        <w:rPr>
          <w:rFonts w:ascii="Times New Roman" w:hAnsi="Times New Roman"/>
          <w:sz w:val="24"/>
          <w:szCs w:val="24"/>
        </w:rPr>
      </w:pPr>
    </w:p>
    <w:p w:rsidR="00AD1FC3" w:rsidRPr="00AA0FF8" w:rsidRDefault="00AD1FC3">
      <w:pPr>
        <w:spacing w:line="360" w:lineRule="auto"/>
        <w:ind w:firstLine="420"/>
        <w:rPr>
          <w:rFonts w:ascii="Times New Roman" w:hAnsi="Times New Roman"/>
          <w:sz w:val="24"/>
          <w:szCs w:val="24"/>
        </w:rPr>
      </w:pPr>
    </w:p>
    <w:p w:rsidR="00AD1FC3" w:rsidRPr="00AA0FF8" w:rsidRDefault="00092556">
      <w:pPr>
        <w:widowControl/>
        <w:spacing w:line="360" w:lineRule="auto"/>
        <w:ind w:firstLine="960"/>
        <w:jc w:val="right"/>
        <w:rPr>
          <w:rFonts w:ascii="Times New Roman" w:eastAsiaTheme="minorEastAsia" w:hAnsi="Times New Roman"/>
          <w:kern w:val="0"/>
          <w:sz w:val="24"/>
          <w:szCs w:val="24"/>
        </w:rPr>
      </w:pPr>
      <w:r w:rsidRPr="00AA0FF8">
        <w:rPr>
          <w:rFonts w:ascii="Times New Roman" w:eastAsiaTheme="minorEastAsia" w:hAnsi="Times New Roman"/>
          <w:kern w:val="0"/>
          <w:sz w:val="24"/>
          <w:szCs w:val="24"/>
        </w:rPr>
        <w:t>海</w:t>
      </w:r>
      <w:r w:rsidRPr="00AA0FF8">
        <w:rPr>
          <w:rFonts w:ascii="Times New Roman" w:eastAsiaTheme="minorEastAsia" w:hAnsi="Times New Roman"/>
          <w:sz w:val="24"/>
          <w:szCs w:val="24"/>
        </w:rPr>
        <w:t>富通基金管理有限公</w:t>
      </w:r>
      <w:r w:rsidRPr="00AA0FF8">
        <w:rPr>
          <w:rFonts w:ascii="Times New Roman" w:eastAsiaTheme="minorEastAsia" w:hAnsi="Times New Roman"/>
          <w:kern w:val="0"/>
          <w:sz w:val="24"/>
          <w:szCs w:val="24"/>
        </w:rPr>
        <w:t>司</w:t>
      </w:r>
    </w:p>
    <w:p w:rsidR="00AD1FC3" w:rsidRPr="00AA0FF8" w:rsidRDefault="00092556">
      <w:pPr>
        <w:widowControl/>
        <w:spacing w:line="360" w:lineRule="auto"/>
        <w:ind w:firstLine="960"/>
        <w:jc w:val="right"/>
        <w:rPr>
          <w:rFonts w:ascii="Times New Roman" w:eastAsiaTheme="minorEastAsia" w:hAnsi="Times New Roman"/>
          <w:sz w:val="24"/>
          <w:szCs w:val="24"/>
        </w:rPr>
      </w:pPr>
      <w:r w:rsidRPr="00AA0FF8">
        <w:rPr>
          <w:rFonts w:ascii="Times New Roman" w:eastAsiaTheme="minorEastAsia" w:hAnsi="Times New Roman"/>
          <w:kern w:val="0"/>
          <w:sz w:val="24"/>
          <w:szCs w:val="24"/>
        </w:rPr>
        <w:t>    2026</w:t>
      </w:r>
      <w:r w:rsidRPr="00AA0FF8">
        <w:rPr>
          <w:rFonts w:ascii="Times New Roman" w:eastAsiaTheme="minorEastAsia" w:hAnsi="Times New Roman"/>
          <w:kern w:val="0"/>
          <w:sz w:val="24"/>
          <w:szCs w:val="24"/>
        </w:rPr>
        <w:t>年</w:t>
      </w:r>
      <w:r w:rsidRPr="00AA0FF8">
        <w:rPr>
          <w:rFonts w:ascii="Times New Roman" w:eastAsiaTheme="minorEastAsia" w:hAnsi="Times New Roman"/>
          <w:kern w:val="0"/>
          <w:sz w:val="24"/>
          <w:szCs w:val="24"/>
        </w:rPr>
        <w:t>4</w:t>
      </w:r>
      <w:r w:rsidRPr="00AA0FF8">
        <w:rPr>
          <w:rFonts w:ascii="Times New Roman" w:eastAsiaTheme="minorEastAsia" w:hAnsi="Times New Roman"/>
          <w:kern w:val="0"/>
          <w:sz w:val="24"/>
          <w:szCs w:val="24"/>
        </w:rPr>
        <w:t>月</w:t>
      </w:r>
      <w:r w:rsidRPr="00AA0FF8">
        <w:rPr>
          <w:rFonts w:ascii="Times New Roman" w:eastAsiaTheme="minorEastAsia" w:hAnsi="Times New Roman"/>
          <w:kern w:val="0"/>
          <w:sz w:val="24"/>
          <w:szCs w:val="24"/>
        </w:rPr>
        <w:t>20</w:t>
      </w:r>
      <w:r w:rsidRPr="00AA0FF8">
        <w:rPr>
          <w:rFonts w:ascii="Times New Roman" w:eastAsiaTheme="minorEastAsia" w:hAnsi="Times New Roman"/>
          <w:kern w:val="0"/>
          <w:sz w:val="24"/>
          <w:szCs w:val="24"/>
        </w:rPr>
        <w:t>日</w:t>
      </w:r>
      <w:r w:rsidRPr="00AA0FF8">
        <w:rPr>
          <w:rFonts w:ascii="Times New Roman" w:eastAsiaTheme="minorEastAsia" w:hAnsi="Times New Roman"/>
          <w:kern w:val="0"/>
          <w:sz w:val="24"/>
          <w:szCs w:val="24"/>
        </w:rPr>
        <w:t xml:space="preserve"> </w:t>
      </w:r>
    </w:p>
    <w:sectPr w:rsidR="00AD1FC3" w:rsidRPr="00AA0FF8" w:rsidSect="002B03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B96FA5"/>
    <w:multiLevelType w:val="singleLevel"/>
    <w:tmpl w:val="A0B96F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2D5C"/>
    <w:rsid w:val="000356D3"/>
    <w:rsid w:val="00077E74"/>
    <w:rsid w:val="00092556"/>
    <w:rsid w:val="000A0C3C"/>
    <w:rsid w:val="000A377F"/>
    <w:rsid w:val="000B5BDA"/>
    <w:rsid w:val="000C2B6E"/>
    <w:rsid w:val="000D3DED"/>
    <w:rsid w:val="000F406E"/>
    <w:rsid w:val="00115369"/>
    <w:rsid w:val="00115E98"/>
    <w:rsid w:val="001539A5"/>
    <w:rsid w:val="00184873"/>
    <w:rsid w:val="00187E52"/>
    <w:rsid w:val="001901F0"/>
    <w:rsid w:val="001A2F6B"/>
    <w:rsid w:val="001B2E40"/>
    <w:rsid w:val="001D15E6"/>
    <w:rsid w:val="00243E9F"/>
    <w:rsid w:val="00252B2F"/>
    <w:rsid w:val="00253884"/>
    <w:rsid w:val="00271D8B"/>
    <w:rsid w:val="00274A7C"/>
    <w:rsid w:val="00280CB2"/>
    <w:rsid w:val="00297E7D"/>
    <w:rsid w:val="002B031B"/>
    <w:rsid w:val="002C1797"/>
    <w:rsid w:val="002D2BED"/>
    <w:rsid w:val="002E5012"/>
    <w:rsid w:val="0032491E"/>
    <w:rsid w:val="00327B91"/>
    <w:rsid w:val="003614B1"/>
    <w:rsid w:val="00363EF3"/>
    <w:rsid w:val="0036777F"/>
    <w:rsid w:val="003B5C3D"/>
    <w:rsid w:val="003C4EB0"/>
    <w:rsid w:val="003D2AF1"/>
    <w:rsid w:val="00444C2A"/>
    <w:rsid w:val="00445C82"/>
    <w:rsid w:val="00451982"/>
    <w:rsid w:val="00456236"/>
    <w:rsid w:val="004761FC"/>
    <w:rsid w:val="00485A5C"/>
    <w:rsid w:val="00492E37"/>
    <w:rsid w:val="00496DAC"/>
    <w:rsid w:val="004D508D"/>
    <w:rsid w:val="004F1D28"/>
    <w:rsid w:val="004F2837"/>
    <w:rsid w:val="00511356"/>
    <w:rsid w:val="00522213"/>
    <w:rsid w:val="00522235"/>
    <w:rsid w:val="0053409D"/>
    <w:rsid w:val="005566F6"/>
    <w:rsid w:val="005750D4"/>
    <w:rsid w:val="00581DF3"/>
    <w:rsid w:val="00582957"/>
    <w:rsid w:val="005838C7"/>
    <w:rsid w:val="00596B8E"/>
    <w:rsid w:val="005B5AE3"/>
    <w:rsid w:val="005B6057"/>
    <w:rsid w:val="005B620B"/>
    <w:rsid w:val="00601B46"/>
    <w:rsid w:val="0061763F"/>
    <w:rsid w:val="006216BC"/>
    <w:rsid w:val="00632703"/>
    <w:rsid w:val="00640072"/>
    <w:rsid w:val="0064500F"/>
    <w:rsid w:val="00655937"/>
    <w:rsid w:val="00662B36"/>
    <w:rsid w:val="006931F1"/>
    <w:rsid w:val="006A3ADA"/>
    <w:rsid w:val="006B44C5"/>
    <w:rsid w:val="007038A0"/>
    <w:rsid w:val="00747F1F"/>
    <w:rsid w:val="00765613"/>
    <w:rsid w:val="007824E6"/>
    <w:rsid w:val="007A20F0"/>
    <w:rsid w:val="007A65BB"/>
    <w:rsid w:val="007C38DE"/>
    <w:rsid w:val="007F7D08"/>
    <w:rsid w:val="0080344B"/>
    <w:rsid w:val="00803EF9"/>
    <w:rsid w:val="0080724A"/>
    <w:rsid w:val="00834FBD"/>
    <w:rsid w:val="00835526"/>
    <w:rsid w:val="0084506C"/>
    <w:rsid w:val="0087108B"/>
    <w:rsid w:val="00891D58"/>
    <w:rsid w:val="008C31D0"/>
    <w:rsid w:val="008D3889"/>
    <w:rsid w:val="008E04C7"/>
    <w:rsid w:val="008F2280"/>
    <w:rsid w:val="00902C79"/>
    <w:rsid w:val="00907B62"/>
    <w:rsid w:val="009144FB"/>
    <w:rsid w:val="00953FBE"/>
    <w:rsid w:val="009858DA"/>
    <w:rsid w:val="009931D7"/>
    <w:rsid w:val="009C733C"/>
    <w:rsid w:val="009E723C"/>
    <w:rsid w:val="00A01DFE"/>
    <w:rsid w:val="00A05166"/>
    <w:rsid w:val="00A152B5"/>
    <w:rsid w:val="00A30414"/>
    <w:rsid w:val="00A65186"/>
    <w:rsid w:val="00A7243C"/>
    <w:rsid w:val="00A81078"/>
    <w:rsid w:val="00A86218"/>
    <w:rsid w:val="00AA0FF8"/>
    <w:rsid w:val="00AA6D92"/>
    <w:rsid w:val="00AD1FC3"/>
    <w:rsid w:val="00AE48DA"/>
    <w:rsid w:val="00B536A2"/>
    <w:rsid w:val="00B66234"/>
    <w:rsid w:val="00B80BBE"/>
    <w:rsid w:val="00B830BD"/>
    <w:rsid w:val="00BB1579"/>
    <w:rsid w:val="00BE65CE"/>
    <w:rsid w:val="00BE7E5D"/>
    <w:rsid w:val="00BF1D9B"/>
    <w:rsid w:val="00BF511A"/>
    <w:rsid w:val="00C0685A"/>
    <w:rsid w:val="00C1047E"/>
    <w:rsid w:val="00C31688"/>
    <w:rsid w:val="00C42FC7"/>
    <w:rsid w:val="00C55191"/>
    <w:rsid w:val="00C816E7"/>
    <w:rsid w:val="00C84E2B"/>
    <w:rsid w:val="00CB421B"/>
    <w:rsid w:val="00CF6AB8"/>
    <w:rsid w:val="00D27D5C"/>
    <w:rsid w:val="00D32FF3"/>
    <w:rsid w:val="00D3495C"/>
    <w:rsid w:val="00D42D00"/>
    <w:rsid w:val="00D539D0"/>
    <w:rsid w:val="00D63727"/>
    <w:rsid w:val="00D84BB5"/>
    <w:rsid w:val="00D93663"/>
    <w:rsid w:val="00DD0039"/>
    <w:rsid w:val="00DE2DDA"/>
    <w:rsid w:val="00E26A1E"/>
    <w:rsid w:val="00E33E69"/>
    <w:rsid w:val="00E452D8"/>
    <w:rsid w:val="00EA4B45"/>
    <w:rsid w:val="00EC311C"/>
    <w:rsid w:val="00EF337C"/>
    <w:rsid w:val="00EF623B"/>
    <w:rsid w:val="00F10F5D"/>
    <w:rsid w:val="00F26525"/>
    <w:rsid w:val="00F3664F"/>
    <w:rsid w:val="00F8093B"/>
    <w:rsid w:val="00FA274D"/>
    <w:rsid w:val="00FE1717"/>
    <w:rsid w:val="00FE6D77"/>
    <w:rsid w:val="02E173D7"/>
    <w:rsid w:val="034651C6"/>
    <w:rsid w:val="03E06AA8"/>
    <w:rsid w:val="04E35064"/>
    <w:rsid w:val="0681305E"/>
    <w:rsid w:val="0BEA22EB"/>
    <w:rsid w:val="0D7D4EC4"/>
    <w:rsid w:val="0F5269F5"/>
    <w:rsid w:val="11305648"/>
    <w:rsid w:val="116A7885"/>
    <w:rsid w:val="12E86647"/>
    <w:rsid w:val="16725D33"/>
    <w:rsid w:val="1CD94AEC"/>
    <w:rsid w:val="21177CB8"/>
    <w:rsid w:val="24DE7C1A"/>
    <w:rsid w:val="24F31E8E"/>
    <w:rsid w:val="263D3B73"/>
    <w:rsid w:val="26D050FC"/>
    <w:rsid w:val="29161A17"/>
    <w:rsid w:val="2C97616D"/>
    <w:rsid w:val="2CC36FBF"/>
    <w:rsid w:val="30636963"/>
    <w:rsid w:val="35A16162"/>
    <w:rsid w:val="369F7DE4"/>
    <w:rsid w:val="372A7063"/>
    <w:rsid w:val="38F91027"/>
    <w:rsid w:val="3D124D7F"/>
    <w:rsid w:val="42120C82"/>
    <w:rsid w:val="447C1B25"/>
    <w:rsid w:val="44996E4A"/>
    <w:rsid w:val="48561E35"/>
    <w:rsid w:val="49184B2C"/>
    <w:rsid w:val="498F6228"/>
    <w:rsid w:val="49A05899"/>
    <w:rsid w:val="4AD54578"/>
    <w:rsid w:val="4C3B3E42"/>
    <w:rsid w:val="4F175F99"/>
    <w:rsid w:val="506C440A"/>
    <w:rsid w:val="50CA73A0"/>
    <w:rsid w:val="51337FC8"/>
    <w:rsid w:val="51B74BAF"/>
    <w:rsid w:val="535D7532"/>
    <w:rsid w:val="56A72014"/>
    <w:rsid w:val="56E464D8"/>
    <w:rsid w:val="5AD807DD"/>
    <w:rsid w:val="5B907E5A"/>
    <w:rsid w:val="5C492054"/>
    <w:rsid w:val="5D7824A0"/>
    <w:rsid w:val="632C337E"/>
    <w:rsid w:val="661D3E07"/>
    <w:rsid w:val="718A20A5"/>
    <w:rsid w:val="76515647"/>
    <w:rsid w:val="766512D1"/>
    <w:rsid w:val="7954122D"/>
    <w:rsid w:val="7EA81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31B"/>
    <w:pPr>
      <w:widowControl w:val="0"/>
      <w:jc w:val="both"/>
    </w:pPr>
    <w:rPr>
      <w:rFonts w:ascii="Calibri" w:hAnsi="Calibri"/>
      <w:kern w:val="2"/>
      <w:sz w:val="21"/>
      <w:szCs w:val="22"/>
    </w:rPr>
  </w:style>
  <w:style w:type="paragraph" w:styleId="1">
    <w:name w:val="heading 1"/>
    <w:basedOn w:val="a"/>
    <w:next w:val="a"/>
    <w:link w:val="1Char"/>
    <w:uiPriority w:val="9"/>
    <w:qFormat/>
    <w:rsid w:val="002B031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B031B"/>
    <w:rPr>
      <w:sz w:val="18"/>
      <w:szCs w:val="18"/>
    </w:rPr>
  </w:style>
  <w:style w:type="paragraph" w:styleId="a4">
    <w:name w:val="footer"/>
    <w:basedOn w:val="a"/>
    <w:link w:val="Char0"/>
    <w:uiPriority w:val="99"/>
    <w:unhideWhenUsed/>
    <w:qFormat/>
    <w:rsid w:val="002B031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B031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B031B"/>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2B0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2B031B"/>
    <w:rPr>
      <w:color w:val="0563C1" w:themeColor="hyperlink"/>
      <w:u w:val="single"/>
    </w:rPr>
  </w:style>
  <w:style w:type="character" w:styleId="a9">
    <w:name w:val="Placeholder Text"/>
    <w:basedOn w:val="a0"/>
    <w:uiPriority w:val="99"/>
    <w:semiHidden/>
    <w:qFormat/>
    <w:rsid w:val="002B031B"/>
    <w:rPr>
      <w:color w:val="808080"/>
    </w:rPr>
  </w:style>
  <w:style w:type="character" w:customStyle="1" w:styleId="1Char">
    <w:name w:val="标题 1 Char"/>
    <w:basedOn w:val="a0"/>
    <w:link w:val="1"/>
    <w:uiPriority w:val="9"/>
    <w:qFormat/>
    <w:rsid w:val="002B031B"/>
    <w:rPr>
      <w:rFonts w:ascii="宋体" w:eastAsia="宋体" w:hAnsi="宋体" w:cs="宋体"/>
      <w:b/>
      <w:bCs/>
      <w:kern w:val="36"/>
      <w:sz w:val="48"/>
      <w:szCs w:val="48"/>
    </w:rPr>
  </w:style>
  <w:style w:type="character" w:customStyle="1" w:styleId="Char1">
    <w:name w:val="页眉 Char"/>
    <w:basedOn w:val="a0"/>
    <w:link w:val="a5"/>
    <w:uiPriority w:val="99"/>
    <w:qFormat/>
    <w:rsid w:val="002B031B"/>
    <w:rPr>
      <w:rFonts w:ascii="Calibri" w:eastAsia="宋体" w:hAnsi="Calibri" w:cs="Times New Roman"/>
      <w:sz w:val="18"/>
      <w:szCs w:val="18"/>
    </w:rPr>
  </w:style>
  <w:style w:type="character" w:customStyle="1" w:styleId="Char0">
    <w:name w:val="页脚 Char"/>
    <w:basedOn w:val="a0"/>
    <w:link w:val="a4"/>
    <w:uiPriority w:val="99"/>
    <w:qFormat/>
    <w:rsid w:val="002B031B"/>
    <w:rPr>
      <w:rFonts w:ascii="Calibri" w:eastAsia="宋体" w:hAnsi="Calibri" w:cs="Times New Roman"/>
      <w:sz w:val="18"/>
      <w:szCs w:val="18"/>
    </w:rPr>
  </w:style>
  <w:style w:type="character" w:customStyle="1" w:styleId="Char">
    <w:name w:val="批注框文本 Char"/>
    <w:basedOn w:val="a0"/>
    <w:link w:val="a3"/>
    <w:uiPriority w:val="99"/>
    <w:semiHidden/>
    <w:qFormat/>
    <w:rsid w:val="002B031B"/>
    <w:rPr>
      <w:rFonts w:ascii="Calibri" w:eastAsia="宋体" w:hAnsi="Calibri" w:cs="Times New Roman"/>
      <w:sz w:val="18"/>
      <w:szCs w:val="18"/>
    </w:rPr>
  </w:style>
  <w:style w:type="paragraph" w:styleId="aa">
    <w:name w:val="List Paragraph"/>
    <w:basedOn w:val="a"/>
    <w:uiPriority w:val="34"/>
    <w:qFormat/>
    <w:rsid w:val="002B031B"/>
    <w:pPr>
      <w:ind w:firstLineChars="200" w:firstLine="420"/>
    </w:pPr>
  </w:style>
  <w:style w:type="table" w:customStyle="1" w:styleId="10">
    <w:name w:val="网格型1"/>
    <w:basedOn w:val="a1"/>
    <w:uiPriority w:val="39"/>
    <w:qFormat/>
    <w:rsid w:val="002B0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qFormat/>
    <w:rsid w:val="002B031B"/>
    <w:rPr>
      <w:rFonts w:ascii="Calibri" w:hAnsi="Calibri"/>
      <w:kern w:val="2"/>
      <w:sz w:val="21"/>
      <w:szCs w:val="22"/>
    </w:rPr>
  </w:style>
  <w:style w:type="paragraph" w:customStyle="1" w:styleId="2">
    <w:name w:val="修订2"/>
    <w:hidden/>
    <w:uiPriority w:val="99"/>
    <w:unhideWhenUsed/>
    <w:qFormat/>
    <w:rsid w:val="002B031B"/>
    <w:rPr>
      <w:rFonts w:ascii="Calibri" w:hAnsi="Calibri"/>
      <w:kern w:val="2"/>
      <w:sz w:val="21"/>
      <w:szCs w:val="22"/>
    </w:rPr>
  </w:style>
  <w:style w:type="paragraph" w:customStyle="1" w:styleId="3">
    <w:name w:val="修订3"/>
    <w:hidden/>
    <w:uiPriority w:val="99"/>
    <w:unhideWhenUsed/>
    <w:qFormat/>
    <w:rsid w:val="002B031B"/>
    <w:rPr>
      <w:rFonts w:ascii="Calibri" w:hAnsi="Calibri"/>
      <w:kern w:val="2"/>
      <w:sz w:val="21"/>
      <w:szCs w:val="22"/>
    </w:rPr>
  </w:style>
  <w:style w:type="paragraph" w:customStyle="1" w:styleId="4">
    <w:name w:val="修订4"/>
    <w:hidden/>
    <w:uiPriority w:val="99"/>
    <w:unhideWhenUsed/>
    <w:qFormat/>
    <w:rsid w:val="002B031B"/>
    <w:rPr>
      <w:rFonts w:ascii="Calibri" w:hAnsi="Calibri"/>
      <w:kern w:val="2"/>
      <w:sz w:val="21"/>
      <w:szCs w:val="22"/>
    </w:rPr>
  </w:style>
  <w:style w:type="paragraph" w:customStyle="1" w:styleId="5">
    <w:name w:val="修订5"/>
    <w:hidden/>
    <w:uiPriority w:val="99"/>
    <w:unhideWhenUsed/>
    <w:qFormat/>
    <w:rsid w:val="002B031B"/>
    <w:rPr>
      <w:rFonts w:ascii="Calibri" w:hAnsi="Calibri"/>
      <w:kern w:val="2"/>
      <w:sz w:val="21"/>
      <w:szCs w:val="22"/>
    </w:rPr>
  </w:style>
  <w:style w:type="paragraph" w:customStyle="1" w:styleId="6">
    <w:name w:val="修订6"/>
    <w:hidden/>
    <w:uiPriority w:val="99"/>
    <w:unhideWhenUsed/>
    <w:qFormat/>
    <w:rsid w:val="002B031B"/>
    <w:rPr>
      <w:rFonts w:ascii="Calibri" w:hAnsi="Calibri"/>
      <w:kern w:val="2"/>
      <w:sz w:val="21"/>
      <w:szCs w:val="22"/>
    </w:rPr>
  </w:style>
  <w:style w:type="paragraph" w:customStyle="1" w:styleId="7">
    <w:name w:val="修订7"/>
    <w:hidden/>
    <w:uiPriority w:val="99"/>
    <w:unhideWhenUsed/>
    <w:rsid w:val="002B031B"/>
    <w:rPr>
      <w:rFonts w:ascii="Calibri" w:hAnsi="Calibri"/>
      <w:kern w:val="2"/>
      <w:sz w:val="21"/>
      <w:szCs w:val="22"/>
    </w:rPr>
  </w:style>
  <w:style w:type="character" w:customStyle="1" w:styleId="font11">
    <w:name w:val="font11"/>
    <w:basedOn w:val="a0"/>
    <w:rsid w:val="002B031B"/>
    <w:rPr>
      <w:rFonts w:ascii="宋体" w:eastAsia="宋体" w:hAnsi="宋体" w:cs="宋体" w:hint="eastAsia"/>
      <w:color w:val="000000"/>
      <w:sz w:val="20"/>
      <w:szCs w:val="20"/>
      <w:u w:val="none"/>
    </w:rPr>
  </w:style>
  <w:style w:type="character" w:customStyle="1" w:styleId="font41">
    <w:name w:val="font41"/>
    <w:basedOn w:val="a0"/>
    <w:rsid w:val="002B031B"/>
    <w:rPr>
      <w:rFonts w:ascii="宋体" w:eastAsia="宋体" w:hAnsi="宋体" w:cs="宋体" w:hint="eastAsia"/>
      <w:color w:val="000000"/>
      <w:sz w:val="20"/>
      <w:szCs w:val="20"/>
      <w:u w:val="none"/>
    </w:rPr>
  </w:style>
  <w:style w:type="paragraph" w:styleId="ab">
    <w:name w:val="Revision"/>
    <w:hidden/>
    <w:uiPriority w:val="99"/>
    <w:unhideWhenUsed/>
    <w:rsid w:val="00AA0FF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4</DocSecurity>
  <Lines>13</Lines>
  <Paragraphs>3</Paragraphs>
  <ScaleCrop>false</ScaleCrop>
  <Company>Microsoft</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2026-04-19T16:00:00Z</dcterms:created>
  <dcterms:modified xsi:type="dcterms:W3CDTF">2026-04-19T16:00:00Z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BD4B6D03F69D476B80ACE977048885E7</vt:lpwstr>
  </property>
</Properties>
</file>